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696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1418A0" w:rsidRPr="000F4498" w14:paraId="6DAEBCE9" w14:textId="77777777" w:rsidTr="001418A0">
        <w:tc>
          <w:tcPr>
            <w:tcW w:w="2605" w:type="dxa"/>
          </w:tcPr>
          <w:p w14:paraId="59C38F9D" w14:textId="42C6C50E" w:rsidR="001418A0" w:rsidRPr="00B50EFD" w:rsidRDefault="00590154" w:rsidP="001418A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Sujet</w:t>
            </w:r>
          </w:p>
        </w:tc>
        <w:tc>
          <w:tcPr>
            <w:tcW w:w="6750" w:type="dxa"/>
          </w:tcPr>
          <w:p w14:paraId="3E696E06" w14:textId="0E77D2DC" w:rsidR="001418A0" w:rsidRPr="00B50EFD" w:rsidRDefault="00590154" w:rsidP="001418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Orientation proposée</w:t>
            </w:r>
          </w:p>
        </w:tc>
      </w:tr>
      <w:tr w:rsidR="001418A0" w14:paraId="6A5C4417" w14:textId="77777777" w:rsidTr="001418A0">
        <w:trPr>
          <w:trHeight w:val="3017"/>
        </w:trPr>
        <w:tc>
          <w:tcPr>
            <w:tcW w:w="2605" w:type="dxa"/>
          </w:tcPr>
          <w:p w14:paraId="63922397" w14:textId="35D918F3" w:rsidR="001418A0" w:rsidRPr="00B50EFD" w:rsidRDefault="00590154" w:rsidP="00141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Déplacement des appâts commerciaux (appâts achetés</w:t>
            </w:r>
            <w:r w:rsidR="001418A0" w:rsidRPr="00B50EFD">
              <w:rPr>
                <w:sz w:val="24"/>
              </w:rPr>
              <w:t xml:space="preserve">) </w:t>
            </w:r>
          </w:p>
        </w:tc>
        <w:tc>
          <w:tcPr>
            <w:tcW w:w="6750" w:type="dxa"/>
          </w:tcPr>
          <w:p w14:paraId="786C35E3" w14:textId="77777777" w:rsidR="001418A0" w:rsidRPr="00B50EFD" w:rsidRDefault="001418A0" w:rsidP="001418A0">
            <w:pPr>
              <w:jc w:val="center"/>
            </w:pPr>
            <w:r w:rsidRPr="00B50EFD">
              <w:rPr>
                <w:noProof/>
                <w:lang w:val="en-CA" w:eastAsia="en-CA"/>
              </w:rPr>
              <w:drawing>
                <wp:inline distT="0" distB="0" distL="0" distR="0" wp14:anchorId="6EF8743C" wp14:editId="44036F10">
                  <wp:extent cx="2448072" cy="1891692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MZ July 2019 Legen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72" cy="189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A0" w14:paraId="23FDB1B4" w14:textId="77777777" w:rsidTr="001418A0">
        <w:tc>
          <w:tcPr>
            <w:tcW w:w="2605" w:type="dxa"/>
          </w:tcPr>
          <w:p w14:paraId="70AD25A8" w14:textId="3798FFA3" w:rsidR="001418A0" w:rsidRPr="00B50EFD" w:rsidRDefault="00590154" w:rsidP="006B25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Exceptions </w:t>
            </w:r>
            <w:r w:rsidR="006B2546">
              <w:rPr>
                <w:sz w:val="24"/>
              </w:rPr>
              <w:t>concernant les déplacements</w:t>
            </w:r>
          </w:p>
        </w:tc>
        <w:tc>
          <w:tcPr>
            <w:tcW w:w="6750" w:type="dxa"/>
          </w:tcPr>
          <w:p w14:paraId="3D8A8F2C" w14:textId="20FF24D6" w:rsidR="001418A0" w:rsidRPr="00B50EFD" w:rsidRDefault="00590154" w:rsidP="001418A0">
            <w:pPr>
              <w:pStyle w:val="ListParagraph"/>
              <w:numPr>
                <w:ilvl w:val="0"/>
                <w:numId w:val="1"/>
              </w:numPr>
            </w:pPr>
            <w:r>
              <w:t xml:space="preserve">Les appâts peuvent être déplacés </w:t>
            </w:r>
            <w:r w:rsidR="00731135">
              <w:t>vers</w:t>
            </w:r>
            <w:r>
              <w:t xml:space="preserve"> les Grands Lacs à partir des zones adjacentes</w:t>
            </w:r>
            <w:r w:rsidR="001418A0" w:rsidRPr="00B50EFD">
              <w:t xml:space="preserve">. </w:t>
            </w:r>
          </w:p>
          <w:p w14:paraId="07A36F9E" w14:textId="216FBE83" w:rsidR="001418A0" w:rsidRPr="00B50EFD" w:rsidRDefault="00590154" w:rsidP="001418A0">
            <w:pPr>
              <w:pStyle w:val="ListParagraph"/>
              <w:numPr>
                <w:ilvl w:val="0"/>
                <w:numId w:val="1"/>
              </w:numPr>
            </w:pPr>
            <w:r>
              <w:t>Les appâts peuvent être déplacés à l’intérieur et à l’extérieur de la rivière des Outaouais à partir des zones adjacentes</w:t>
            </w:r>
            <w:r w:rsidR="001418A0" w:rsidRPr="00B50EFD">
              <w:t xml:space="preserve">. </w:t>
            </w:r>
          </w:p>
        </w:tc>
      </w:tr>
      <w:tr w:rsidR="001418A0" w14:paraId="420C3E88" w14:textId="77777777" w:rsidTr="001418A0">
        <w:tc>
          <w:tcPr>
            <w:tcW w:w="2605" w:type="dxa"/>
          </w:tcPr>
          <w:p w14:paraId="56970DCC" w14:textId="5D486970" w:rsidR="001418A0" w:rsidRPr="00B50EFD" w:rsidRDefault="00590154" w:rsidP="00141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Mise en </w:t>
            </w:r>
            <w:r w:rsidRPr="00590154">
              <w:rPr>
                <w:rFonts w:cs="Arial"/>
                <w:sz w:val="24"/>
              </w:rPr>
              <w:t>œ</w:t>
            </w:r>
            <w:r>
              <w:rPr>
                <w:sz w:val="24"/>
              </w:rPr>
              <w:t>uvre</w:t>
            </w:r>
          </w:p>
          <w:p w14:paraId="7BF928EB" w14:textId="77777777" w:rsidR="001418A0" w:rsidRPr="00B50EFD" w:rsidRDefault="001418A0" w:rsidP="001418A0">
            <w:pPr>
              <w:jc w:val="center"/>
              <w:rPr>
                <w:sz w:val="24"/>
              </w:rPr>
            </w:pPr>
          </w:p>
          <w:p w14:paraId="20A3A919" w14:textId="77777777" w:rsidR="001418A0" w:rsidRPr="00B50EFD" w:rsidRDefault="001418A0" w:rsidP="001418A0">
            <w:pPr>
              <w:jc w:val="center"/>
              <w:rPr>
                <w:sz w:val="24"/>
              </w:rPr>
            </w:pPr>
          </w:p>
        </w:tc>
        <w:tc>
          <w:tcPr>
            <w:tcW w:w="6750" w:type="dxa"/>
          </w:tcPr>
          <w:p w14:paraId="419AE2F2" w14:textId="475D95AF" w:rsidR="001418A0" w:rsidRDefault="00590154" w:rsidP="001418A0">
            <w:pPr>
              <w:pStyle w:val="ListParagraph"/>
              <w:numPr>
                <w:ilvl w:val="0"/>
                <w:numId w:val="2"/>
              </w:numPr>
            </w:pPr>
            <w:r>
              <w:t>Les pêcheurs à la ligne doivent conserver les reçus en dehors de la zone de leur résidence principale (zone du domicile). Les reçus expirent après deux semaines</w:t>
            </w:r>
            <w:r w:rsidR="001418A0" w:rsidRPr="00B50EFD">
              <w:t xml:space="preserve">. </w:t>
            </w:r>
          </w:p>
          <w:p w14:paraId="6E0146F6" w14:textId="7C9E6E3C" w:rsidR="00480FE4" w:rsidRPr="00B50EFD" w:rsidRDefault="00590154" w:rsidP="00590154">
            <w:pPr>
              <w:pStyle w:val="ListParagraph"/>
              <w:numPr>
                <w:ilvl w:val="0"/>
                <w:numId w:val="2"/>
              </w:numPr>
            </w:pPr>
            <w:r>
              <w:t xml:space="preserve">Les pêcheurs à la ligne ne sont </w:t>
            </w:r>
            <w:r w:rsidRPr="00590154">
              <w:rPr>
                <w:u w:val="single"/>
              </w:rPr>
              <w:t>pas</w:t>
            </w:r>
            <w:r>
              <w:t xml:space="preserve"> tenus de conserver les reçus dans la zone de leur domicile</w:t>
            </w:r>
            <w:r w:rsidR="00480FE4" w:rsidRPr="00B50EFD">
              <w:t xml:space="preserve">. </w:t>
            </w:r>
          </w:p>
        </w:tc>
      </w:tr>
      <w:tr w:rsidR="001418A0" w14:paraId="0D32AC10" w14:textId="77777777" w:rsidTr="001418A0">
        <w:trPr>
          <w:trHeight w:val="2543"/>
        </w:trPr>
        <w:tc>
          <w:tcPr>
            <w:tcW w:w="2605" w:type="dxa"/>
          </w:tcPr>
          <w:p w14:paraId="6AC7C849" w14:textId="5FC270CC" w:rsidR="001418A0" w:rsidRPr="00B50EFD" w:rsidRDefault="00590154" w:rsidP="00141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Déplacement des appâts récoltés à des fins personnelles</w:t>
            </w:r>
          </w:p>
        </w:tc>
        <w:tc>
          <w:tcPr>
            <w:tcW w:w="6750" w:type="dxa"/>
          </w:tcPr>
          <w:p w14:paraId="0D5B9368" w14:textId="77777777" w:rsidR="001418A0" w:rsidRPr="00B50EFD" w:rsidRDefault="001418A0" w:rsidP="001418A0">
            <w:pPr>
              <w:jc w:val="center"/>
            </w:pPr>
            <w:r w:rsidRPr="00B50EFD">
              <w:rPr>
                <w:noProof/>
                <w:lang w:val="en-CA" w:eastAsia="en-CA"/>
              </w:rPr>
              <w:drawing>
                <wp:inline distT="0" distB="0" distL="0" distR="0" wp14:anchorId="4E0E076C" wp14:editId="72980EE2">
                  <wp:extent cx="2448072" cy="1891692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MZ July 2019 Legen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72" cy="189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A0" w14:paraId="31B485CA" w14:textId="77777777" w:rsidTr="001418A0">
        <w:tc>
          <w:tcPr>
            <w:tcW w:w="2605" w:type="dxa"/>
          </w:tcPr>
          <w:p w14:paraId="248F1BA9" w14:textId="77777777" w:rsidR="00590154" w:rsidRPr="00B50EFD" w:rsidRDefault="00590154" w:rsidP="0059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Mise en </w:t>
            </w:r>
            <w:r w:rsidRPr="00590154">
              <w:rPr>
                <w:rFonts w:cs="Arial"/>
                <w:sz w:val="24"/>
              </w:rPr>
              <w:t>œ</w:t>
            </w:r>
            <w:r>
              <w:rPr>
                <w:sz w:val="24"/>
              </w:rPr>
              <w:t>uvre</w:t>
            </w:r>
          </w:p>
          <w:p w14:paraId="6BFFACE3" w14:textId="4F6659C8" w:rsidR="001418A0" w:rsidRPr="00B50EFD" w:rsidRDefault="001418A0" w:rsidP="001418A0">
            <w:pPr>
              <w:jc w:val="center"/>
              <w:rPr>
                <w:sz w:val="24"/>
              </w:rPr>
            </w:pPr>
          </w:p>
        </w:tc>
        <w:tc>
          <w:tcPr>
            <w:tcW w:w="6750" w:type="dxa"/>
          </w:tcPr>
          <w:p w14:paraId="4A9880D1" w14:textId="7223B3B2" w:rsidR="001418A0" w:rsidRPr="00B50EFD" w:rsidRDefault="00590154" w:rsidP="001418A0">
            <w:pPr>
              <w:pStyle w:val="ListParagraph"/>
              <w:numPr>
                <w:ilvl w:val="0"/>
                <w:numId w:val="3"/>
              </w:numPr>
            </w:pPr>
            <w:r>
              <w:t>Les appâts récoltés à des fins personnelles peuvent être utilisés et déplacés dans la zone du domicile des pêcheurs à la ligne</w:t>
            </w:r>
            <w:r w:rsidR="001418A0" w:rsidRPr="00B50EFD">
              <w:t xml:space="preserve">. </w:t>
            </w:r>
          </w:p>
          <w:p w14:paraId="5792B19C" w14:textId="325A92B8" w:rsidR="001418A0" w:rsidRPr="00B50EFD" w:rsidRDefault="00590154" w:rsidP="001418A0">
            <w:pPr>
              <w:pStyle w:val="ListParagraph"/>
              <w:numPr>
                <w:ilvl w:val="0"/>
                <w:numId w:val="3"/>
              </w:numPr>
            </w:pPr>
            <w:r>
              <w:t>Aucun autre permis ou document lié aux appâts n’est exigé</w:t>
            </w:r>
            <w:r w:rsidR="001418A0" w:rsidRPr="00B50EFD">
              <w:t xml:space="preserve">. </w:t>
            </w:r>
          </w:p>
        </w:tc>
      </w:tr>
      <w:tr w:rsidR="001418A0" w14:paraId="2E686E37" w14:textId="77777777" w:rsidTr="001418A0">
        <w:tc>
          <w:tcPr>
            <w:tcW w:w="2605" w:type="dxa"/>
          </w:tcPr>
          <w:p w14:paraId="757D613C" w14:textId="4836EF3D" w:rsidR="001418A0" w:rsidRPr="00B50EFD" w:rsidRDefault="00590154" w:rsidP="00141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Espèces d’appâts légales</w:t>
            </w:r>
          </w:p>
        </w:tc>
        <w:tc>
          <w:tcPr>
            <w:tcW w:w="6750" w:type="dxa"/>
          </w:tcPr>
          <w:p w14:paraId="6608263E" w14:textId="4BDE2CD6" w:rsidR="001418A0" w:rsidRPr="00B50EFD" w:rsidRDefault="00590154" w:rsidP="001418A0">
            <w:pPr>
              <w:pStyle w:val="ListParagraph"/>
              <w:numPr>
                <w:ilvl w:val="0"/>
                <w:numId w:val="4"/>
              </w:numPr>
            </w:pPr>
            <w:r>
              <w:t xml:space="preserve">On </w:t>
            </w:r>
            <w:r w:rsidR="0039201D">
              <w:t xml:space="preserve">a </w:t>
            </w:r>
            <w:r>
              <w:t>autorisé 34 espèces en guise d’appâts</w:t>
            </w:r>
            <w:r w:rsidR="001418A0" w:rsidRPr="00B50EFD">
              <w:t xml:space="preserve">. </w:t>
            </w:r>
          </w:p>
          <w:p w14:paraId="61B004A5" w14:textId="63112E9A" w:rsidR="001418A0" w:rsidRPr="00B50EFD" w:rsidRDefault="00590154" w:rsidP="001418A0">
            <w:pPr>
              <w:pStyle w:val="ListParagraph"/>
              <w:numPr>
                <w:ilvl w:val="0"/>
                <w:numId w:val="4"/>
              </w:numPr>
            </w:pPr>
            <w:r>
              <w:t>L’épinoche à cinq épingles et l’épinoche à neuf épines sont autorisées</w:t>
            </w:r>
            <w:r w:rsidR="001418A0" w:rsidRPr="00B50EFD">
              <w:t xml:space="preserve">. </w:t>
            </w:r>
          </w:p>
          <w:p w14:paraId="38AF0BE7" w14:textId="71C42A0E" w:rsidR="001418A0" w:rsidRPr="00B50EFD" w:rsidRDefault="00590154" w:rsidP="001418A0">
            <w:pPr>
              <w:pStyle w:val="ListParagraph"/>
              <w:numPr>
                <w:ilvl w:val="0"/>
                <w:numId w:val="4"/>
              </w:numPr>
            </w:pPr>
            <w:r>
              <w:t>Le fondule barré est autorisé</w:t>
            </w:r>
            <w:r w:rsidR="001418A0" w:rsidRPr="00B50EFD">
              <w:t xml:space="preserve">. </w:t>
            </w:r>
          </w:p>
        </w:tc>
      </w:tr>
      <w:tr w:rsidR="001418A0" w14:paraId="5CE96659" w14:textId="77777777" w:rsidTr="001418A0">
        <w:tc>
          <w:tcPr>
            <w:tcW w:w="2605" w:type="dxa"/>
          </w:tcPr>
          <w:p w14:paraId="775910E3" w14:textId="1A52C4BB" w:rsidR="001418A0" w:rsidRPr="00B50EFD" w:rsidRDefault="00590154" w:rsidP="001418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Omble de fontaine</w:t>
            </w:r>
          </w:p>
        </w:tc>
        <w:tc>
          <w:tcPr>
            <w:tcW w:w="6750" w:type="dxa"/>
          </w:tcPr>
          <w:p w14:paraId="2EE9DDA9" w14:textId="58A3BA7E" w:rsidR="001418A0" w:rsidRPr="00B50EFD" w:rsidRDefault="00590154" w:rsidP="001418A0">
            <w:pPr>
              <w:pStyle w:val="ListParagraph"/>
              <w:numPr>
                <w:ilvl w:val="0"/>
                <w:numId w:val="5"/>
              </w:numPr>
            </w:pPr>
            <w:r>
              <w:t>L’utilisation et l’entreposage des appâts ne sont pas autorisés dans les lacs d’ombles de fontaine indigènes</w:t>
            </w:r>
            <w:r w:rsidR="001418A0" w:rsidRPr="00B50EFD">
              <w:t xml:space="preserve">. </w:t>
            </w:r>
          </w:p>
        </w:tc>
      </w:tr>
      <w:tr w:rsidR="007219D0" w14:paraId="135CFFCA" w14:textId="77777777" w:rsidTr="003633C3">
        <w:trPr>
          <w:trHeight w:val="653"/>
        </w:trPr>
        <w:tc>
          <w:tcPr>
            <w:tcW w:w="2605" w:type="dxa"/>
          </w:tcPr>
          <w:p w14:paraId="010848E4" w14:textId="4C7B14DF" w:rsidR="007219D0" w:rsidRPr="00B50EFD" w:rsidRDefault="00590154" w:rsidP="00731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Sujets </w:t>
            </w:r>
            <w:r w:rsidR="00731135">
              <w:rPr>
                <w:sz w:val="24"/>
              </w:rPr>
              <w:t>de nature commerciale</w:t>
            </w:r>
          </w:p>
        </w:tc>
        <w:tc>
          <w:tcPr>
            <w:tcW w:w="6750" w:type="dxa"/>
          </w:tcPr>
          <w:p w14:paraId="35E0FD2A" w14:textId="2ABD670F" w:rsidR="007219D0" w:rsidRPr="00B50EFD" w:rsidRDefault="006B2546" w:rsidP="000A39AF">
            <w:pPr>
              <w:pStyle w:val="ListParagraph"/>
              <w:numPr>
                <w:ilvl w:val="0"/>
                <w:numId w:val="5"/>
              </w:numPr>
            </w:pPr>
            <w:r>
              <w:t xml:space="preserve">Des frais minimums sont proposés pour les sujets </w:t>
            </w:r>
            <w:r w:rsidR="00731135">
              <w:t>de nature commerciale</w:t>
            </w:r>
            <w:r>
              <w:t xml:space="preserve"> (y compris la conformité, la </w:t>
            </w:r>
            <w:r w:rsidR="000A39AF">
              <w:t>présentation</w:t>
            </w:r>
            <w:r>
              <w:t xml:space="preserve"> de rapports, les types </w:t>
            </w:r>
            <w:r w:rsidR="0039201D">
              <w:t>de matériel</w:t>
            </w:r>
            <w:r>
              <w:t>, les conditions des permis, l’acquisition des ZRA, etc.)</w:t>
            </w:r>
            <w:r w:rsidR="007219D0" w:rsidRPr="00B50EFD">
              <w:t xml:space="preserve">   </w:t>
            </w:r>
          </w:p>
        </w:tc>
      </w:tr>
    </w:tbl>
    <w:p w14:paraId="0E36FF9A" w14:textId="77777777" w:rsidR="00673494" w:rsidRDefault="00673494" w:rsidP="00862584"/>
    <w:sectPr w:rsidR="00673494" w:rsidSect="006E1E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3290E" w14:textId="77777777" w:rsidR="00E36E33" w:rsidRDefault="00E36E33" w:rsidP="00F029E3">
      <w:pPr>
        <w:spacing w:after="0" w:line="240" w:lineRule="auto"/>
      </w:pPr>
      <w:r>
        <w:separator/>
      </w:r>
    </w:p>
  </w:endnote>
  <w:endnote w:type="continuationSeparator" w:id="0">
    <w:p w14:paraId="4D07807F" w14:textId="77777777" w:rsidR="00E36E33" w:rsidRDefault="00E36E33" w:rsidP="00F0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6C81" w14:textId="77777777" w:rsidR="00C62A19" w:rsidRDefault="00C62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4B5FE" w14:textId="77777777" w:rsidR="00C62A19" w:rsidRDefault="00C62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356E" w14:textId="77777777" w:rsidR="00C62A19" w:rsidRDefault="00C62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AAF5" w14:textId="77777777" w:rsidR="00E36E33" w:rsidRDefault="00E36E33" w:rsidP="00F029E3">
      <w:pPr>
        <w:spacing w:after="0" w:line="240" w:lineRule="auto"/>
      </w:pPr>
      <w:r>
        <w:separator/>
      </w:r>
    </w:p>
  </w:footnote>
  <w:footnote w:type="continuationSeparator" w:id="0">
    <w:p w14:paraId="68A80DFC" w14:textId="77777777" w:rsidR="00E36E33" w:rsidRDefault="00E36E33" w:rsidP="00F0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D808" w14:textId="77777777" w:rsidR="00C62A19" w:rsidRDefault="00C62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4CB3" w14:textId="12B72305" w:rsidR="00B50EFD" w:rsidRPr="001418A0" w:rsidRDefault="00D22D48" w:rsidP="00B50EF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La</w:t>
    </w:r>
    <w:r w:rsidR="00590154">
      <w:rPr>
        <w:b/>
        <w:sz w:val="28"/>
        <w:szCs w:val="28"/>
      </w:rPr>
      <w:t xml:space="preserve"> Stratégie </w:t>
    </w:r>
    <w:r w:rsidR="0039201D">
      <w:rPr>
        <w:b/>
        <w:sz w:val="28"/>
        <w:szCs w:val="28"/>
      </w:rPr>
      <w:t xml:space="preserve">ontarienne </w:t>
    </w:r>
    <w:r w:rsidR="00590154">
      <w:rPr>
        <w:b/>
        <w:sz w:val="28"/>
        <w:szCs w:val="28"/>
      </w:rPr>
      <w:t>de gestion durable des appâts</w:t>
    </w:r>
    <w:r>
      <w:rPr>
        <w:b/>
        <w:sz w:val="28"/>
        <w:szCs w:val="28"/>
      </w:rPr>
      <w:t xml:space="preserve"> en résumé</w:t>
    </w:r>
    <w:r w:rsidR="00590154">
      <w:rPr>
        <w:b/>
        <w:sz w:val="28"/>
        <w:szCs w:val="28"/>
      </w:rPr>
      <w:t xml:space="preserve"> </w:t>
    </w:r>
  </w:p>
  <w:p w14:paraId="67336C15" w14:textId="77777777" w:rsidR="00341E23" w:rsidRDefault="00341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58B7B" w14:textId="77777777" w:rsidR="00C62A19" w:rsidRDefault="00C62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FBC"/>
    <w:multiLevelType w:val="hybridMultilevel"/>
    <w:tmpl w:val="AE301A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031CB"/>
    <w:multiLevelType w:val="hybridMultilevel"/>
    <w:tmpl w:val="B484AC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DB6261"/>
    <w:multiLevelType w:val="hybridMultilevel"/>
    <w:tmpl w:val="D5C6BF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D309A8"/>
    <w:multiLevelType w:val="hybridMultilevel"/>
    <w:tmpl w:val="33D4C8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726C9B"/>
    <w:multiLevelType w:val="hybridMultilevel"/>
    <w:tmpl w:val="97D20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94"/>
    <w:rsid w:val="000A39AF"/>
    <w:rsid w:val="000A4A87"/>
    <w:rsid w:val="000F4498"/>
    <w:rsid w:val="00135A28"/>
    <w:rsid w:val="001418A0"/>
    <w:rsid w:val="001807C6"/>
    <w:rsid w:val="00236165"/>
    <w:rsid w:val="0024576B"/>
    <w:rsid w:val="002578F0"/>
    <w:rsid w:val="00270A71"/>
    <w:rsid w:val="00341E23"/>
    <w:rsid w:val="003633C3"/>
    <w:rsid w:val="0039201D"/>
    <w:rsid w:val="00394426"/>
    <w:rsid w:val="00403A86"/>
    <w:rsid w:val="00420C29"/>
    <w:rsid w:val="00461809"/>
    <w:rsid w:val="00480FE4"/>
    <w:rsid w:val="004C1BF9"/>
    <w:rsid w:val="00511451"/>
    <w:rsid w:val="00574633"/>
    <w:rsid w:val="00583067"/>
    <w:rsid w:val="00590154"/>
    <w:rsid w:val="00593FD2"/>
    <w:rsid w:val="005B0190"/>
    <w:rsid w:val="005B4964"/>
    <w:rsid w:val="005D511D"/>
    <w:rsid w:val="005E1528"/>
    <w:rsid w:val="00625C62"/>
    <w:rsid w:val="00664F7C"/>
    <w:rsid w:val="00673494"/>
    <w:rsid w:val="006B2546"/>
    <w:rsid w:val="006B2563"/>
    <w:rsid w:val="006E1E07"/>
    <w:rsid w:val="006F602F"/>
    <w:rsid w:val="007219D0"/>
    <w:rsid w:val="00731135"/>
    <w:rsid w:val="00775F04"/>
    <w:rsid w:val="00850CEE"/>
    <w:rsid w:val="00862584"/>
    <w:rsid w:val="008C127D"/>
    <w:rsid w:val="009107CE"/>
    <w:rsid w:val="00A33B83"/>
    <w:rsid w:val="00A55AED"/>
    <w:rsid w:val="00A82EAD"/>
    <w:rsid w:val="00B261A5"/>
    <w:rsid w:val="00B30A5F"/>
    <w:rsid w:val="00B50EFD"/>
    <w:rsid w:val="00B7295A"/>
    <w:rsid w:val="00B81F60"/>
    <w:rsid w:val="00BB39C9"/>
    <w:rsid w:val="00BC051B"/>
    <w:rsid w:val="00BC352F"/>
    <w:rsid w:val="00C62A19"/>
    <w:rsid w:val="00C645C2"/>
    <w:rsid w:val="00CE75B4"/>
    <w:rsid w:val="00D035F4"/>
    <w:rsid w:val="00D05072"/>
    <w:rsid w:val="00D22D48"/>
    <w:rsid w:val="00DE5E42"/>
    <w:rsid w:val="00DF1CB6"/>
    <w:rsid w:val="00E13B93"/>
    <w:rsid w:val="00E36E33"/>
    <w:rsid w:val="00E61BF5"/>
    <w:rsid w:val="00F029E3"/>
    <w:rsid w:val="00F37132"/>
    <w:rsid w:val="00F42483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8F855F"/>
  <w15:chartTrackingRefBased/>
  <w15:docId w15:val="{E6574EBC-E402-428E-8B92-060810D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11D"/>
  </w:style>
  <w:style w:type="paragraph" w:styleId="Footer">
    <w:name w:val="footer"/>
    <w:basedOn w:val="Normal"/>
    <w:link w:val="FooterChar"/>
    <w:uiPriority w:val="99"/>
    <w:unhideWhenUsed/>
    <w:rsid w:val="005D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983CFC757864AB3A211FD54C8D127" ma:contentTypeVersion="7" ma:contentTypeDescription="Create a new document." ma:contentTypeScope="" ma:versionID="323ec0c3d498d460743237cdd4b14b89">
  <xsd:schema xmlns:xsd="http://www.w3.org/2001/XMLSchema" xmlns:xs="http://www.w3.org/2001/XMLSchema" xmlns:p="http://schemas.microsoft.com/office/2006/metadata/properties" xmlns:ns3="45aa67dd-e8a8-4f45-86d5-8f9f29db84c7" targetNamespace="http://schemas.microsoft.com/office/2006/metadata/properties" ma:root="true" ma:fieldsID="758d33184c3b9807636c1370a5b11030" ns3:_="">
    <xsd:import namespace="45aa67dd-e8a8-4f45-86d5-8f9f29db8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a67dd-e8a8-4f45-86d5-8f9f29db8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4624-9E15-4039-9573-193751412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E0C99-142E-4D32-ADD8-74548ECE9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a67dd-e8a8-4f45-86d5-8f9f29db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4DD35-0655-49B4-AAB7-1C871334FE83}">
  <ds:schemaRefs>
    <ds:schemaRef ds:uri="http://purl.org/dc/dcmitype/"/>
    <ds:schemaRef ds:uri="45aa67dd-e8a8-4f45-86d5-8f9f29db84c7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54AC77-77CF-45E5-B0BA-756BB970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Scott (MNRF)</dc:creator>
  <cp:keywords/>
  <dc:description/>
  <cp:lastModifiedBy>Kovios, Roula (MNRF)</cp:lastModifiedBy>
  <cp:revision>2</cp:revision>
  <cp:lastPrinted>2019-08-20T18:22:00Z</cp:lastPrinted>
  <dcterms:created xsi:type="dcterms:W3CDTF">2019-09-30T12:28:00Z</dcterms:created>
  <dcterms:modified xsi:type="dcterms:W3CDTF">2019-09-30T12:28:00Z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Scott.Gibson2@ontario.ca</vt:lpwstr>
  </property>
  <property fmtid="{D5CDD505-2E9C-101B-9397-08002B2CF9AE}" pid="5" name="MSIP_Label_034a106e-6316-442c-ad35-738afd673d2b_SetDate">
    <vt:lpwstr>2019-07-25T15:18:08.1263639Z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0x010100521983CFC757864AB3A211FD54C8D127</vt:lpwstr>
  </property>
</Properties>
</file>