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988E" w14:textId="2A9A4A09" w:rsidR="00A626BD" w:rsidRPr="00107057" w:rsidRDefault="0073556B" w:rsidP="005844C6">
      <w:pPr>
        <w:jc w:val="right"/>
        <w:rPr>
          <w:rFonts w:cs="Arial"/>
          <w:b/>
          <w:sz w:val="32"/>
          <w:szCs w:val="32"/>
        </w:rPr>
      </w:pPr>
      <w:r>
        <w:rPr>
          <w:noProof/>
        </w:rPr>
        <w:drawing>
          <wp:inline distT="0" distB="0" distL="0" distR="0" wp14:anchorId="69E6C9A7" wp14:editId="693F46A4">
            <wp:extent cx="1482090" cy="1153508"/>
            <wp:effectExtent l="0" t="0" r="3810" b="8890"/>
            <wp:docPr id="3" name="Picture 3" descr="Image result for 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ntario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7014" cy="1180689"/>
                    </a:xfrm>
                    <a:prstGeom prst="rect">
                      <a:avLst/>
                    </a:prstGeom>
                    <a:noFill/>
                    <a:ln>
                      <a:noFill/>
                    </a:ln>
                  </pic:spPr>
                </pic:pic>
              </a:graphicData>
            </a:graphic>
          </wp:inline>
        </w:drawing>
      </w:r>
    </w:p>
    <w:p w14:paraId="2CD53700" w14:textId="77777777" w:rsidR="00BD2345" w:rsidRDefault="00BD2345" w:rsidP="00D944CD">
      <w:pPr>
        <w:pStyle w:val="Heading1"/>
        <w:numPr>
          <w:ilvl w:val="0"/>
          <w:numId w:val="0"/>
        </w:numPr>
        <w:ind w:left="432"/>
        <w:jc w:val="center"/>
        <w:rPr>
          <w:sz w:val="36"/>
          <w:szCs w:val="36"/>
        </w:rPr>
        <w:sectPr w:rsidR="00BD2345" w:rsidSect="00DA3243">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pgNumType w:fmt="lowerRoman"/>
          <w:cols w:space="720"/>
          <w:docGrid w:linePitch="326"/>
        </w:sectPr>
      </w:pPr>
      <w:bookmarkStart w:id="0" w:name="_Toc17985921"/>
    </w:p>
    <w:p w14:paraId="56077B37" w14:textId="1911BECC" w:rsidR="0039057A" w:rsidRDefault="00CC1C49" w:rsidP="00D944CD">
      <w:pPr>
        <w:pStyle w:val="Heading1"/>
        <w:numPr>
          <w:ilvl w:val="0"/>
          <w:numId w:val="0"/>
        </w:numPr>
        <w:ind w:left="432"/>
        <w:jc w:val="center"/>
        <w:rPr>
          <w:b w:val="0"/>
          <w:sz w:val="36"/>
          <w:szCs w:val="36"/>
        </w:rPr>
      </w:pPr>
      <w:bookmarkStart w:id="1" w:name="_Toc45724792"/>
      <w:r>
        <w:rPr>
          <w:sz w:val="36"/>
        </w:rPr>
        <w:t>Stratégie ontarienne de gestion durable des appâts</w:t>
      </w:r>
      <w:bookmarkEnd w:id="0"/>
      <w:bookmarkEnd w:id="1"/>
    </w:p>
    <w:p w14:paraId="49BBE363" w14:textId="74107FD6" w:rsidR="00706271" w:rsidRPr="00A626BD" w:rsidRDefault="00706271" w:rsidP="00706271">
      <w:pPr>
        <w:spacing w:after="600"/>
        <w:jc w:val="center"/>
        <w:rPr>
          <w:rFonts w:cs="Arial"/>
          <w:b/>
          <w:sz w:val="36"/>
          <w:szCs w:val="36"/>
        </w:rPr>
      </w:pPr>
      <w:r>
        <w:rPr>
          <w:b/>
          <w:sz w:val="36"/>
        </w:rPr>
        <w:t>2020</w:t>
      </w:r>
    </w:p>
    <w:p w14:paraId="780EE217" w14:textId="3BB6A7C8" w:rsidR="003A174A" w:rsidRDefault="003A174A" w:rsidP="0039057A">
      <w:pPr>
        <w:spacing w:after="600"/>
        <w:jc w:val="right"/>
        <w:rPr>
          <w:b/>
          <w:sz w:val="32"/>
        </w:rPr>
      </w:pPr>
      <w:r>
        <w:br w:type="page"/>
      </w:r>
    </w:p>
    <w:p w14:paraId="3AF6AB8E" w14:textId="061D72B6" w:rsidR="00A626BD" w:rsidRPr="002D245D" w:rsidRDefault="003A174A" w:rsidP="00C46FEC">
      <w:pPr>
        <w:spacing w:after="0"/>
        <w:rPr>
          <w:rFonts w:cs="Arial"/>
          <w:b/>
          <w:sz w:val="22"/>
          <w:szCs w:val="22"/>
        </w:rPr>
      </w:pPr>
      <w:r>
        <w:rPr>
          <w:b/>
          <w:sz w:val="22"/>
        </w:rPr>
        <w:lastRenderedPageBreak/>
        <w:t>Résumé</w:t>
      </w:r>
    </w:p>
    <w:p w14:paraId="5C8B6C64" w14:textId="43F1F3F3" w:rsidR="00D057FF" w:rsidRDefault="003A174A" w:rsidP="00185FA3">
      <w:pPr>
        <w:spacing w:after="0"/>
        <w:rPr>
          <w:color w:val="0070C0"/>
          <w:szCs w:val="24"/>
        </w:rPr>
      </w:pPr>
      <w:r>
        <w:t>La gestion des ressources en appâts (c’est-à-dire les poissons-appâts et les sangsues) est compliquée à cause des tensions écologiques de plus en plus fortes comme les espèces envahissantes et les maladies qui menacent la santé des écosystèmes halieutiques et aquatiques indigènes. La récolte, le déplacement et l’utilisation des appâts représentent un risque majeur pour les pêches et la biodiversité de l’Ontario.  L’objectif de ce cadre de politique stratégique est de décrire l’orientation stratégique de l’Ontario à l’égard de la récolte, de l’utilisation et du déplacement des appâts par les pêcheurs à la ligne et les exploitants commerciaux.  L’orientation fournie dans le présent document vise à diminuer les risques écologiques associés à l’utilisation et au déplacement des appâts et à assurer une utilisation continue des appâts tout en apportant une transparence ainsi qu’une certitude pour une industrie des appâts durable.</w:t>
      </w:r>
      <w:r>
        <w:rPr>
          <w:color w:val="0070C0"/>
        </w:rPr>
        <w:t xml:space="preserve"> </w:t>
      </w:r>
    </w:p>
    <w:p w14:paraId="5B23FA7D" w14:textId="77777777" w:rsidR="00185FA3" w:rsidRPr="00C55A4B" w:rsidRDefault="00185FA3" w:rsidP="00185FA3">
      <w:pPr>
        <w:spacing w:after="0"/>
        <w:rPr>
          <w:szCs w:val="24"/>
        </w:rPr>
      </w:pPr>
    </w:p>
    <w:p w14:paraId="22C9C981" w14:textId="1C93B680" w:rsidR="00066EC0" w:rsidRPr="00C55A4B" w:rsidRDefault="00066EC0" w:rsidP="00EC712E">
      <w:pPr>
        <w:spacing w:after="0"/>
        <w:rPr>
          <w:rFonts w:cs="Arial"/>
          <w:b/>
          <w:sz w:val="22"/>
          <w:szCs w:val="22"/>
          <w:lang w:val="en-CA"/>
        </w:rPr>
      </w:pPr>
      <w:r w:rsidRPr="00C55A4B">
        <w:rPr>
          <w:b/>
          <w:sz w:val="22"/>
          <w:lang w:val="en-CA"/>
        </w:rPr>
        <w:t>Summary</w:t>
      </w:r>
    </w:p>
    <w:p w14:paraId="129C1884" w14:textId="09B62910" w:rsidR="00EC712E" w:rsidRPr="00D97FA2" w:rsidRDefault="00D97FA2" w:rsidP="00D97FA2">
      <w:pPr>
        <w:spacing w:after="0"/>
        <w:rPr>
          <w:color w:val="0070C0"/>
          <w:szCs w:val="24"/>
          <w:lang w:val="en-CA"/>
        </w:rPr>
      </w:pPr>
      <w:r>
        <w:rPr>
          <w:rFonts w:eastAsia="MS PGothic" w:cs="Arial"/>
          <w:szCs w:val="24"/>
          <w:lang w:val="en-CA"/>
        </w:rPr>
        <w:t xml:space="preserve">The management of Ontario’s bait resources </w:t>
      </w:r>
      <w:r>
        <w:rPr>
          <w:szCs w:val="24"/>
          <w:lang w:val="en-CA"/>
        </w:rPr>
        <w:t>(i.e., baitfish and leeches) is</w:t>
      </w:r>
      <w:r>
        <w:rPr>
          <w:rFonts w:eastAsia="MS PGothic" w:cs="Arial"/>
          <w:szCs w:val="24"/>
          <w:lang w:val="en-CA"/>
        </w:rPr>
        <w:t xml:space="preserve"> challenging due to increasing environmental pressures such as invasive species and diseases that threaten the health of native fisheries and aquatic ecosystems. </w:t>
      </w:r>
      <w:r>
        <w:rPr>
          <w:rFonts w:cs="Arial"/>
          <w:szCs w:val="24"/>
          <w:lang w:val="en-CA"/>
        </w:rPr>
        <w:t>The harvest, movement and use of bait pose a significant risk to Ontario’s fisheries and biodiversity.  The purpose of this strategic policy framework is to describe Ontario’s policy direction</w:t>
      </w:r>
      <w:r>
        <w:rPr>
          <w:szCs w:val="24"/>
          <w:lang w:val="en-CA"/>
        </w:rPr>
        <w:t xml:space="preserve"> regarding the harvest, use and movement of bait by anglers and commercial operators.  The direction provided in this document is intended to reduce the ecological risks associated with the use and movement of bait and support the continued use of bait while providing transparency and certainty for a sustainable bait industry.</w:t>
      </w:r>
      <w:r>
        <w:rPr>
          <w:color w:val="0070C0"/>
          <w:szCs w:val="24"/>
          <w:lang w:val="en-CA"/>
        </w:rPr>
        <w:t xml:space="preserve"> </w:t>
      </w:r>
    </w:p>
    <w:p w14:paraId="1CD847FB" w14:textId="77777777" w:rsidR="00BD2345" w:rsidRPr="00C55A4B" w:rsidRDefault="00BD2345" w:rsidP="00C46FEC">
      <w:pPr>
        <w:spacing w:after="120"/>
        <w:rPr>
          <w:sz w:val="22"/>
          <w:lang w:val="en-CA"/>
        </w:rPr>
        <w:sectPr w:rsidR="00BD2345" w:rsidRPr="00C55A4B" w:rsidSect="00BD2345">
          <w:type w:val="continuous"/>
          <w:pgSz w:w="12240" w:h="15840"/>
          <w:pgMar w:top="1440" w:right="1800" w:bottom="1440" w:left="1800" w:header="720" w:footer="720" w:gutter="0"/>
          <w:pgNumType w:fmt="lowerRoman"/>
          <w:cols w:space="720"/>
          <w:docGrid w:linePitch="326"/>
        </w:sectPr>
      </w:pPr>
    </w:p>
    <w:p w14:paraId="4C8EA05E" w14:textId="77777777" w:rsidR="00BD2345" w:rsidRPr="00C55A4B" w:rsidRDefault="00BD2345" w:rsidP="00C46FEC">
      <w:pPr>
        <w:spacing w:after="120"/>
        <w:rPr>
          <w:sz w:val="22"/>
          <w:lang w:val="en-CA"/>
        </w:rPr>
      </w:pPr>
    </w:p>
    <w:p w14:paraId="501DF2DA" w14:textId="12EA9624" w:rsidR="00066EC0" w:rsidRPr="00C55A4B" w:rsidRDefault="00066EC0" w:rsidP="00C46FEC">
      <w:pPr>
        <w:spacing w:after="120"/>
        <w:rPr>
          <w:sz w:val="22"/>
          <w:lang w:val="en-CA"/>
        </w:rPr>
      </w:pPr>
      <w:r w:rsidRPr="00C55A4B">
        <w:rPr>
          <w:sz w:val="22"/>
          <w:lang w:val="en-CA"/>
        </w:rPr>
        <w:t>This publication is also available in English.</w:t>
      </w:r>
    </w:p>
    <w:p w14:paraId="3C463DB3" w14:textId="77777777" w:rsidR="00066EC0" w:rsidRPr="00C55A4B" w:rsidRDefault="00066EC0" w:rsidP="00C46FEC">
      <w:pPr>
        <w:spacing w:after="120"/>
        <w:rPr>
          <w:sz w:val="22"/>
          <w:lang w:val="en-CA"/>
        </w:rPr>
      </w:pPr>
    </w:p>
    <w:p w14:paraId="7CE2392C" w14:textId="5C7C266B" w:rsidR="00066EC0" w:rsidRPr="002D245D" w:rsidRDefault="00066EC0" w:rsidP="00C46FEC">
      <w:pPr>
        <w:spacing w:after="120"/>
        <w:rPr>
          <w:rFonts w:cs="Arial"/>
          <w:sz w:val="22"/>
          <w:szCs w:val="22"/>
        </w:rPr>
      </w:pPr>
      <w:r>
        <w:rPr>
          <w:sz w:val="22"/>
        </w:rPr>
        <w:t>© Imprimeur de la Reine pour l’Ontario, 2020</w:t>
      </w:r>
    </w:p>
    <w:p w14:paraId="6DB9D14B" w14:textId="0C9F1F36" w:rsidR="00066EC0" w:rsidRPr="002D245D" w:rsidRDefault="00066EC0" w:rsidP="00C46FEC">
      <w:pPr>
        <w:spacing w:after="120"/>
        <w:rPr>
          <w:rFonts w:cs="Arial"/>
          <w:sz w:val="22"/>
          <w:szCs w:val="22"/>
        </w:rPr>
      </w:pPr>
      <w:r>
        <w:rPr>
          <w:sz w:val="22"/>
        </w:rPr>
        <w:t>Imprimé en Ontario, Canada</w:t>
      </w:r>
    </w:p>
    <w:p w14:paraId="2903F306" w14:textId="77777777" w:rsidR="00066EC0" w:rsidRPr="00C55A4B" w:rsidRDefault="00066EC0" w:rsidP="00C46FEC">
      <w:pPr>
        <w:spacing w:after="120"/>
        <w:rPr>
          <w:rFonts w:cs="Arial"/>
          <w:sz w:val="22"/>
          <w:szCs w:val="22"/>
        </w:rPr>
      </w:pPr>
    </w:p>
    <w:p w14:paraId="0EB19C71" w14:textId="21DAAB51" w:rsidR="00066EC0" w:rsidRPr="002D245D" w:rsidRDefault="00066EC0" w:rsidP="00C46FEC">
      <w:pPr>
        <w:spacing w:after="120"/>
        <w:rPr>
          <w:rFonts w:cs="Arial"/>
          <w:sz w:val="22"/>
          <w:szCs w:val="22"/>
        </w:rPr>
      </w:pPr>
      <w:r>
        <w:rPr>
          <w:sz w:val="22"/>
        </w:rPr>
        <w:t>Section des pêches, Direction des politiques relatives au poisson et à la faune</w:t>
      </w:r>
    </w:p>
    <w:p w14:paraId="600B162A" w14:textId="4F9F8C43" w:rsidR="00066EC0" w:rsidRPr="002D245D" w:rsidRDefault="00066EC0" w:rsidP="00C46FEC">
      <w:pPr>
        <w:spacing w:after="120"/>
        <w:rPr>
          <w:rFonts w:cs="Arial"/>
          <w:sz w:val="22"/>
          <w:szCs w:val="22"/>
        </w:rPr>
      </w:pPr>
      <w:r>
        <w:rPr>
          <w:sz w:val="22"/>
        </w:rPr>
        <w:t>Ministère des Richesses naturelles et des Forêts de l’Ontario</w:t>
      </w:r>
    </w:p>
    <w:p w14:paraId="245E4591" w14:textId="1E2A905D" w:rsidR="00066EC0" w:rsidRPr="00C55A4B" w:rsidRDefault="00066EC0" w:rsidP="00C46FEC">
      <w:pPr>
        <w:spacing w:after="120"/>
        <w:rPr>
          <w:rFonts w:cs="Arial"/>
          <w:sz w:val="22"/>
          <w:szCs w:val="22"/>
          <w:lang w:val="en-CA"/>
        </w:rPr>
      </w:pPr>
      <w:r w:rsidRPr="00C55A4B">
        <w:rPr>
          <w:sz w:val="22"/>
          <w:lang w:val="en-CA"/>
        </w:rPr>
        <w:t>Peterborough (Ontario)</w:t>
      </w:r>
    </w:p>
    <w:p w14:paraId="36D4D635" w14:textId="7607081C" w:rsidR="00066EC0" w:rsidRPr="00C55A4B" w:rsidRDefault="00066EC0" w:rsidP="00C46FEC">
      <w:pPr>
        <w:spacing w:after="120"/>
        <w:rPr>
          <w:rFonts w:cs="Arial"/>
          <w:sz w:val="22"/>
          <w:szCs w:val="22"/>
          <w:lang w:val="en-CA"/>
        </w:rPr>
      </w:pPr>
      <w:r w:rsidRPr="00C55A4B">
        <w:rPr>
          <w:sz w:val="22"/>
          <w:lang w:val="en-CA"/>
        </w:rPr>
        <w:t>300, rue Water</w:t>
      </w:r>
    </w:p>
    <w:p w14:paraId="61F102D8" w14:textId="50287E29" w:rsidR="00066EC0" w:rsidRPr="00C55A4B" w:rsidRDefault="00066EC0" w:rsidP="00C46FEC">
      <w:pPr>
        <w:spacing w:after="120"/>
        <w:rPr>
          <w:rFonts w:cs="Arial"/>
          <w:sz w:val="22"/>
          <w:szCs w:val="22"/>
          <w:lang w:val="en-CA"/>
        </w:rPr>
      </w:pPr>
      <w:r w:rsidRPr="00C55A4B">
        <w:rPr>
          <w:sz w:val="22"/>
          <w:lang w:val="en-CA"/>
        </w:rPr>
        <w:t>Peterborough (Ontario)</w:t>
      </w:r>
    </w:p>
    <w:p w14:paraId="06CF0CBE" w14:textId="17F92477" w:rsidR="00066EC0" w:rsidRPr="002D245D" w:rsidRDefault="00066EC0" w:rsidP="00C46FEC">
      <w:pPr>
        <w:spacing w:after="120"/>
        <w:rPr>
          <w:rFonts w:cs="Arial"/>
          <w:sz w:val="22"/>
          <w:szCs w:val="22"/>
        </w:rPr>
      </w:pPr>
      <w:r>
        <w:rPr>
          <w:sz w:val="22"/>
        </w:rPr>
        <w:t>K9J 8M5</w:t>
      </w:r>
    </w:p>
    <w:p w14:paraId="690809A9" w14:textId="77777777" w:rsidR="00C46FEC" w:rsidRPr="00C55A4B" w:rsidRDefault="00C46FEC" w:rsidP="00C46FEC">
      <w:pPr>
        <w:spacing w:after="120"/>
        <w:rPr>
          <w:rFonts w:cs="Arial"/>
          <w:sz w:val="22"/>
          <w:szCs w:val="22"/>
        </w:rPr>
      </w:pPr>
    </w:p>
    <w:p w14:paraId="0000C76F" w14:textId="5CEB1119" w:rsidR="00066EC0" w:rsidRPr="00923B3F" w:rsidRDefault="00F9004E" w:rsidP="00C46FEC">
      <w:pPr>
        <w:spacing w:after="120"/>
        <w:rPr>
          <w:rFonts w:cs="Arial"/>
          <w:sz w:val="22"/>
          <w:szCs w:val="22"/>
        </w:rPr>
      </w:pPr>
      <w:r>
        <w:rPr>
          <w:sz w:val="22"/>
        </w:rPr>
        <w:t>ISBN : 978-1-4868-1049-9 (version papier)</w:t>
      </w:r>
    </w:p>
    <w:p w14:paraId="5C9B24EB" w14:textId="40FBE1A5" w:rsidR="00185FA3" w:rsidRDefault="00F9004E" w:rsidP="00DA3243">
      <w:pPr>
        <w:spacing w:after="0"/>
        <w:rPr>
          <w:rFonts w:cs="Arial"/>
          <w:sz w:val="22"/>
          <w:szCs w:val="22"/>
        </w:rPr>
      </w:pPr>
      <w:r>
        <w:rPr>
          <w:sz w:val="22"/>
        </w:rPr>
        <w:t xml:space="preserve">ISBM : 978-1-4868-1050-5 (version PDF) </w:t>
      </w:r>
    </w:p>
    <w:p w14:paraId="19626DD3" w14:textId="77777777" w:rsidR="00D97FA2" w:rsidRDefault="006932F6" w:rsidP="00D97FA2">
      <w:pPr>
        <w:spacing w:after="0"/>
        <w:rPr>
          <w:b/>
          <w:sz w:val="32"/>
        </w:rPr>
      </w:pPr>
      <w:r w:rsidRPr="00D97FA2">
        <w:rPr>
          <w:b/>
          <w:sz w:val="32"/>
        </w:rPr>
        <w:lastRenderedPageBreak/>
        <w:t>Table des matières</w:t>
      </w:r>
    </w:p>
    <w:p w14:paraId="3E106512" w14:textId="0A9BE30F" w:rsidR="00C55A4B" w:rsidRPr="00D97FA2" w:rsidRDefault="00C62295" w:rsidP="00D97FA2">
      <w:pPr>
        <w:spacing w:after="0"/>
        <w:rPr>
          <w:rFonts w:cs="Arial"/>
          <w:b/>
          <w:noProof/>
          <w:sz w:val="32"/>
        </w:rPr>
      </w:pPr>
      <w:r w:rsidRPr="00107057">
        <w:rPr>
          <w:rFonts w:ascii="Calibri" w:hAnsi="Calibri"/>
        </w:rPr>
        <w:fldChar w:fldCharType="begin"/>
      </w:r>
      <w:r w:rsidR="003A6858" w:rsidRPr="00107057">
        <w:instrText xml:space="preserve"> TOC \o "1-3" \h \z \u </w:instrText>
      </w:r>
      <w:r w:rsidRPr="00107057">
        <w:rPr>
          <w:rFonts w:ascii="Calibri" w:hAnsi="Calibri"/>
        </w:rPr>
        <w:fldChar w:fldCharType="separate"/>
      </w:r>
    </w:p>
    <w:p w14:paraId="16024AA5" w14:textId="4CB08AC3" w:rsidR="00C55A4B" w:rsidRDefault="00483354" w:rsidP="00FC2FA0">
      <w:pPr>
        <w:pStyle w:val="TOC1"/>
        <w:rPr>
          <w:rFonts w:asciiTheme="minorHAnsi" w:eastAsiaTheme="minorEastAsia" w:hAnsiTheme="minorHAnsi" w:cstheme="minorBidi"/>
          <w:noProof/>
          <w:sz w:val="22"/>
          <w:szCs w:val="22"/>
          <w:lang w:eastAsia="fr-CA"/>
        </w:rPr>
      </w:pPr>
      <w:hyperlink w:anchor="_Toc45724793" w:history="1">
        <w:r w:rsidR="00C55A4B" w:rsidRPr="00FF503C">
          <w:rPr>
            <w:rStyle w:val="Hyperlink"/>
            <w:noProof/>
          </w:rPr>
          <w:t>1.0</w:t>
        </w:r>
        <w:r w:rsidR="00C55A4B">
          <w:rPr>
            <w:rFonts w:asciiTheme="minorHAnsi" w:eastAsiaTheme="minorEastAsia" w:hAnsiTheme="minorHAnsi" w:cstheme="minorBidi"/>
            <w:noProof/>
            <w:sz w:val="22"/>
            <w:szCs w:val="22"/>
            <w:lang w:eastAsia="fr-CA"/>
          </w:rPr>
          <w:tab/>
        </w:r>
        <w:r w:rsidR="00C55A4B" w:rsidRPr="00FF503C">
          <w:rPr>
            <w:rStyle w:val="Hyperlink"/>
            <w:noProof/>
          </w:rPr>
          <w:t>Introduction</w:t>
        </w:r>
        <w:r w:rsidR="00C55A4B">
          <w:rPr>
            <w:noProof/>
            <w:webHidden/>
          </w:rPr>
          <w:tab/>
        </w:r>
        <w:r w:rsidR="00C55A4B">
          <w:rPr>
            <w:noProof/>
            <w:webHidden/>
          </w:rPr>
          <w:fldChar w:fldCharType="begin"/>
        </w:r>
        <w:r w:rsidR="00C55A4B">
          <w:rPr>
            <w:noProof/>
            <w:webHidden/>
          </w:rPr>
          <w:instrText xml:space="preserve"> PAGEREF _Toc45724793 \h </w:instrText>
        </w:r>
        <w:r w:rsidR="00C55A4B">
          <w:rPr>
            <w:noProof/>
            <w:webHidden/>
          </w:rPr>
        </w:r>
        <w:r w:rsidR="00C55A4B">
          <w:rPr>
            <w:noProof/>
            <w:webHidden/>
          </w:rPr>
          <w:fldChar w:fldCharType="separate"/>
        </w:r>
        <w:r w:rsidR="00D45808">
          <w:rPr>
            <w:noProof/>
            <w:webHidden/>
          </w:rPr>
          <w:t>1</w:t>
        </w:r>
        <w:r w:rsidR="00C55A4B">
          <w:rPr>
            <w:noProof/>
            <w:webHidden/>
          </w:rPr>
          <w:fldChar w:fldCharType="end"/>
        </w:r>
      </w:hyperlink>
    </w:p>
    <w:p w14:paraId="70F64D04" w14:textId="5E54A9FC" w:rsidR="00C55A4B" w:rsidRDefault="00483354" w:rsidP="00D97FA2">
      <w:pPr>
        <w:pStyle w:val="TOC2"/>
        <w:rPr>
          <w:rFonts w:asciiTheme="minorHAnsi" w:eastAsiaTheme="minorEastAsia" w:hAnsiTheme="minorHAnsi" w:cstheme="minorBidi"/>
          <w:noProof/>
          <w:szCs w:val="22"/>
          <w:lang w:eastAsia="fr-CA"/>
        </w:rPr>
      </w:pPr>
      <w:hyperlink w:anchor="_Toc45724794" w:history="1">
        <w:r w:rsidR="00C55A4B" w:rsidRPr="00FF503C">
          <w:rPr>
            <w:rStyle w:val="Hyperlink"/>
            <w:noProof/>
          </w:rPr>
          <w:t>1.1</w:t>
        </w:r>
        <w:r w:rsidR="00C55A4B">
          <w:rPr>
            <w:rFonts w:asciiTheme="minorHAnsi" w:eastAsiaTheme="minorEastAsia" w:hAnsiTheme="minorHAnsi" w:cstheme="minorBidi"/>
            <w:noProof/>
            <w:szCs w:val="22"/>
            <w:lang w:eastAsia="fr-CA"/>
          </w:rPr>
          <w:tab/>
        </w:r>
        <w:r w:rsidR="00C55A4B" w:rsidRPr="00FF503C">
          <w:rPr>
            <w:rStyle w:val="Hyperlink"/>
            <w:noProof/>
          </w:rPr>
          <w:t>But et portée</w:t>
        </w:r>
        <w:r w:rsidR="00C55A4B">
          <w:rPr>
            <w:noProof/>
            <w:webHidden/>
          </w:rPr>
          <w:tab/>
        </w:r>
        <w:r w:rsidR="00C55A4B">
          <w:rPr>
            <w:noProof/>
            <w:webHidden/>
          </w:rPr>
          <w:fldChar w:fldCharType="begin"/>
        </w:r>
        <w:r w:rsidR="00C55A4B">
          <w:rPr>
            <w:noProof/>
            <w:webHidden/>
          </w:rPr>
          <w:instrText xml:space="preserve"> PAGEREF _Toc45724794 \h </w:instrText>
        </w:r>
        <w:r w:rsidR="00C55A4B">
          <w:rPr>
            <w:noProof/>
            <w:webHidden/>
          </w:rPr>
        </w:r>
        <w:r w:rsidR="00C55A4B">
          <w:rPr>
            <w:noProof/>
            <w:webHidden/>
          </w:rPr>
          <w:fldChar w:fldCharType="separate"/>
        </w:r>
        <w:r w:rsidR="00D45808">
          <w:rPr>
            <w:noProof/>
            <w:webHidden/>
          </w:rPr>
          <w:t>2</w:t>
        </w:r>
        <w:r w:rsidR="00C55A4B">
          <w:rPr>
            <w:noProof/>
            <w:webHidden/>
          </w:rPr>
          <w:fldChar w:fldCharType="end"/>
        </w:r>
      </w:hyperlink>
    </w:p>
    <w:p w14:paraId="33F591AF" w14:textId="424F6B26" w:rsidR="00C55A4B" w:rsidRDefault="00483354" w:rsidP="00D97FA2">
      <w:pPr>
        <w:pStyle w:val="TOC2"/>
        <w:rPr>
          <w:rFonts w:asciiTheme="minorHAnsi" w:eastAsiaTheme="minorEastAsia" w:hAnsiTheme="minorHAnsi" w:cstheme="minorBidi"/>
          <w:noProof/>
          <w:szCs w:val="22"/>
          <w:lang w:eastAsia="fr-CA"/>
        </w:rPr>
      </w:pPr>
      <w:hyperlink w:anchor="_Toc45724795" w:history="1">
        <w:r w:rsidR="00C55A4B" w:rsidRPr="00FF503C">
          <w:rPr>
            <w:rStyle w:val="Hyperlink"/>
            <w:noProof/>
          </w:rPr>
          <w:t>1.2</w:t>
        </w:r>
        <w:r w:rsidR="00C55A4B">
          <w:rPr>
            <w:rFonts w:asciiTheme="minorHAnsi" w:eastAsiaTheme="minorEastAsia" w:hAnsiTheme="minorHAnsi" w:cstheme="minorBidi"/>
            <w:noProof/>
            <w:szCs w:val="22"/>
            <w:lang w:eastAsia="fr-CA"/>
          </w:rPr>
          <w:tab/>
        </w:r>
        <w:r w:rsidR="00C55A4B" w:rsidRPr="00FF503C">
          <w:rPr>
            <w:rStyle w:val="Hyperlink"/>
            <w:noProof/>
          </w:rPr>
          <w:t>Contexte réglementaire</w:t>
        </w:r>
        <w:r w:rsidR="00C55A4B">
          <w:rPr>
            <w:noProof/>
            <w:webHidden/>
          </w:rPr>
          <w:tab/>
        </w:r>
        <w:r w:rsidR="00C55A4B">
          <w:rPr>
            <w:noProof/>
            <w:webHidden/>
          </w:rPr>
          <w:fldChar w:fldCharType="begin"/>
        </w:r>
        <w:r w:rsidR="00C55A4B">
          <w:rPr>
            <w:noProof/>
            <w:webHidden/>
          </w:rPr>
          <w:instrText xml:space="preserve"> PAGEREF _Toc45724795 \h </w:instrText>
        </w:r>
        <w:r w:rsidR="00C55A4B">
          <w:rPr>
            <w:noProof/>
            <w:webHidden/>
          </w:rPr>
        </w:r>
        <w:r w:rsidR="00C55A4B">
          <w:rPr>
            <w:noProof/>
            <w:webHidden/>
          </w:rPr>
          <w:fldChar w:fldCharType="separate"/>
        </w:r>
        <w:r w:rsidR="00D45808">
          <w:rPr>
            <w:noProof/>
            <w:webHidden/>
          </w:rPr>
          <w:t>2</w:t>
        </w:r>
        <w:r w:rsidR="00C55A4B">
          <w:rPr>
            <w:noProof/>
            <w:webHidden/>
          </w:rPr>
          <w:fldChar w:fldCharType="end"/>
        </w:r>
      </w:hyperlink>
    </w:p>
    <w:p w14:paraId="6EE2AA88" w14:textId="265AD98B" w:rsidR="00C55A4B" w:rsidRDefault="00483354" w:rsidP="00FC2FA0">
      <w:pPr>
        <w:pStyle w:val="TOC1"/>
        <w:rPr>
          <w:rFonts w:asciiTheme="minorHAnsi" w:eastAsiaTheme="minorEastAsia" w:hAnsiTheme="minorHAnsi" w:cstheme="minorBidi"/>
          <w:noProof/>
          <w:sz w:val="22"/>
          <w:szCs w:val="22"/>
          <w:lang w:eastAsia="fr-CA"/>
        </w:rPr>
      </w:pPr>
      <w:hyperlink w:anchor="_Toc45724796" w:history="1">
        <w:r w:rsidR="00C55A4B" w:rsidRPr="00FF503C">
          <w:rPr>
            <w:rStyle w:val="Hyperlink"/>
            <w:noProof/>
          </w:rPr>
          <w:t>2.0</w:t>
        </w:r>
        <w:r w:rsidR="00C55A4B">
          <w:rPr>
            <w:rFonts w:asciiTheme="minorHAnsi" w:eastAsiaTheme="minorEastAsia" w:hAnsiTheme="minorHAnsi" w:cstheme="minorBidi"/>
            <w:noProof/>
            <w:sz w:val="22"/>
            <w:szCs w:val="22"/>
            <w:lang w:eastAsia="fr-CA"/>
          </w:rPr>
          <w:tab/>
        </w:r>
        <w:r w:rsidR="00C55A4B" w:rsidRPr="00FF503C">
          <w:rPr>
            <w:rStyle w:val="Hyperlink"/>
            <w:noProof/>
          </w:rPr>
          <w:t>Espèces d’appâts autorisées et limites de possession</w:t>
        </w:r>
        <w:r w:rsidR="00C55A4B">
          <w:rPr>
            <w:noProof/>
            <w:webHidden/>
          </w:rPr>
          <w:tab/>
        </w:r>
        <w:r w:rsidR="00C55A4B">
          <w:rPr>
            <w:noProof/>
            <w:webHidden/>
          </w:rPr>
          <w:fldChar w:fldCharType="begin"/>
        </w:r>
        <w:r w:rsidR="00C55A4B">
          <w:rPr>
            <w:noProof/>
            <w:webHidden/>
          </w:rPr>
          <w:instrText xml:space="preserve"> PAGEREF _Toc45724796 \h </w:instrText>
        </w:r>
        <w:r w:rsidR="00C55A4B">
          <w:rPr>
            <w:noProof/>
            <w:webHidden/>
          </w:rPr>
        </w:r>
        <w:r w:rsidR="00C55A4B">
          <w:rPr>
            <w:noProof/>
            <w:webHidden/>
          </w:rPr>
          <w:fldChar w:fldCharType="separate"/>
        </w:r>
        <w:r w:rsidR="00D45808">
          <w:rPr>
            <w:noProof/>
            <w:webHidden/>
          </w:rPr>
          <w:t>3</w:t>
        </w:r>
        <w:r w:rsidR="00C55A4B">
          <w:rPr>
            <w:noProof/>
            <w:webHidden/>
          </w:rPr>
          <w:fldChar w:fldCharType="end"/>
        </w:r>
      </w:hyperlink>
    </w:p>
    <w:p w14:paraId="08B519F2" w14:textId="4C4F0C66" w:rsidR="00C55A4B" w:rsidRDefault="00483354" w:rsidP="00D97FA2">
      <w:pPr>
        <w:pStyle w:val="TOC2"/>
        <w:rPr>
          <w:rFonts w:asciiTheme="minorHAnsi" w:eastAsiaTheme="minorEastAsia" w:hAnsiTheme="minorHAnsi" w:cstheme="minorBidi"/>
          <w:noProof/>
          <w:szCs w:val="22"/>
          <w:lang w:eastAsia="fr-CA"/>
        </w:rPr>
      </w:pPr>
      <w:hyperlink w:anchor="_Toc45724797" w:history="1">
        <w:r w:rsidR="00C55A4B" w:rsidRPr="00FF503C">
          <w:rPr>
            <w:rStyle w:val="Hyperlink"/>
            <w:noProof/>
          </w:rPr>
          <w:t>2.1</w:t>
        </w:r>
        <w:r w:rsidR="00C55A4B">
          <w:rPr>
            <w:rFonts w:asciiTheme="minorHAnsi" w:eastAsiaTheme="minorEastAsia" w:hAnsiTheme="minorHAnsi" w:cstheme="minorBidi"/>
            <w:noProof/>
            <w:szCs w:val="22"/>
            <w:lang w:eastAsia="fr-CA"/>
          </w:rPr>
          <w:tab/>
        </w:r>
        <w:r w:rsidR="00C55A4B" w:rsidRPr="00FF503C">
          <w:rPr>
            <w:rStyle w:val="Hyperlink"/>
            <w:noProof/>
          </w:rPr>
          <w:t>Espèces d’appâts autorisées</w:t>
        </w:r>
        <w:r w:rsidR="00C55A4B">
          <w:rPr>
            <w:noProof/>
            <w:webHidden/>
          </w:rPr>
          <w:tab/>
        </w:r>
        <w:r w:rsidR="00C55A4B">
          <w:rPr>
            <w:noProof/>
            <w:webHidden/>
          </w:rPr>
          <w:fldChar w:fldCharType="begin"/>
        </w:r>
        <w:r w:rsidR="00C55A4B">
          <w:rPr>
            <w:noProof/>
            <w:webHidden/>
          </w:rPr>
          <w:instrText xml:space="preserve"> PAGEREF _Toc45724797 \h </w:instrText>
        </w:r>
        <w:r w:rsidR="00C55A4B">
          <w:rPr>
            <w:noProof/>
            <w:webHidden/>
          </w:rPr>
        </w:r>
        <w:r w:rsidR="00C55A4B">
          <w:rPr>
            <w:noProof/>
            <w:webHidden/>
          </w:rPr>
          <w:fldChar w:fldCharType="separate"/>
        </w:r>
        <w:r w:rsidR="00D45808">
          <w:rPr>
            <w:noProof/>
            <w:webHidden/>
          </w:rPr>
          <w:t>3</w:t>
        </w:r>
        <w:r w:rsidR="00C55A4B">
          <w:rPr>
            <w:noProof/>
            <w:webHidden/>
          </w:rPr>
          <w:fldChar w:fldCharType="end"/>
        </w:r>
      </w:hyperlink>
    </w:p>
    <w:p w14:paraId="26B11A2E" w14:textId="4A68B1B5" w:rsidR="00C55A4B" w:rsidRDefault="00483354" w:rsidP="00D97FA2">
      <w:pPr>
        <w:pStyle w:val="TOC2"/>
        <w:rPr>
          <w:rFonts w:asciiTheme="minorHAnsi" w:eastAsiaTheme="minorEastAsia" w:hAnsiTheme="minorHAnsi" w:cstheme="minorBidi"/>
          <w:noProof/>
          <w:szCs w:val="22"/>
          <w:lang w:eastAsia="fr-CA"/>
        </w:rPr>
      </w:pPr>
      <w:hyperlink w:anchor="_Toc45724798" w:history="1">
        <w:r w:rsidR="00C55A4B" w:rsidRPr="00FF503C">
          <w:rPr>
            <w:rStyle w:val="Hyperlink"/>
            <w:noProof/>
          </w:rPr>
          <w:t>2.2</w:t>
        </w:r>
        <w:r w:rsidR="00C55A4B">
          <w:rPr>
            <w:rFonts w:asciiTheme="minorHAnsi" w:eastAsiaTheme="minorEastAsia" w:hAnsiTheme="minorHAnsi" w:cstheme="minorBidi"/>
            <w:noProof/>
            <w:szCs w:val="22"/>
            <w:lang w:eastAsia="fr-CA"/>
          </w:rPr>
          <w:tab/>
        </w:r>
        <w:r w:rsidR="00C55A4B" w:rsidRPr="00FF503C">
          <w:rPr>
            <w:rStyle w:val="Hyperlink"/>
            <w:noProof/>
          </w:rPr>
          <w:t>Limites de possession</w:t>
        </w:r>
        <w:r w:rsidR="00C55A4B">
          <w:rPr>
            <w:noProof/>
            <w:webHidden/>
          </w:rPr>
          <w:tab/>
        </w:r>
        <w:r w:rsidR="00C55A4B">
          <w:rPr>
            <w:noProof/>
            <w:webHidden/>
          </w:rPr>
          <w:fldChar w:fldCharType="begin"/>
        </w:r>
        <w:r w:rsidR="00C55A4B">
          <w:rPr>
            <w:noProof/>
            <w:webHidden/>
          </w:rPr>
          <w:instrText xml:space="preserve"> PAGEREF _Toc45724798 \h </w:instrText>
        </w:r>
        <w:r w:rsidR="00C55A4B">
          <w:rPr>
            <w:noProof/>
            <w:webHidden/>
          </w:rPr>
        </w:r>
        <w:r w:rsidR="00C55A4B">
          <w:rPr>
            <w:noProof/>
            <w:webHidden/>
          </w:rPr>
          <w:fldChar w:fldCharType="separate"/>
        </w:r>
        <w:r w:rsidR="00D45808">
          <w:rPr>
            <w:noProof/>
            <w:webHidden/>
          </w:rPr>
          <w:t>4</w:t>
        </w:r>
        <w:r w:rsidR="00C55A4B">
          <w:rPr>
            <w:noProof/>
            <w:webHidden/>
          </w:rPr>
          <w:fldChar w:fldCharType="end"/>
        </w:r>
      </w:hyperlink>
    </w:p>
    <w:p w14:paraId="73461234" w14:textId="7D574F52" w:rsidR="00C55A4B" w:rsidRDefault="00483354" w:rsidP="00FC2FA0">
      <w:pPr>
        <w:pStyle w:val="TOC1"/>
        <w:rPr>
          <w:rFonts w:asciiTheme="minorHAnsi" w:eastAsiaTheme="minorEastAsia" w:hAnsiTheme="minorHAnsi" w:cstheme="minorBidi"/>
          <w:noProof/>
          <w:sz w:val="22"/>
          <w:szCs w:val="22"/>
          <w:lang w:eastAsia="fr-CA"/>
        </w:rPr>
      </w:pPr>
      <w:hyperlink w:anchor="_Toc45724799" w:history="1">
        <w:r w:rsidR="00C55A4B" w:rsidRPr="00FF503C">
          <w:rPr>
            <w:rStyle w:val="Hyperlink"/>
            <w:noProof/>
          </w:rPr>
          <w:t>3.0</w:t>
        </w:r>
        <w:r w:rsidR="00C55A4B">
          <w:rPr>
            <w:rFonts w:asciiTheme="minorHAnsi" w:eastAsiaTheme="minorEastAsia" w:hAnsiTheme="minorHAnsi" w:cstheme="minorBidi"/>
            <w:noProof/>
            <w:sz w:val="22"/>
            <w:szCs w:val="22"/>
            <w:lang w:eastAsia="fr-CA"/>
          </w:rPr>
          <w:tab/>
        </w:r>
        <w:r w:rsidR="00C55A4B" w:rsidRPr="00FF503C">
          <w:rPr>
            <w:rStyle w:val="Hyperlink"/>
            <w:noProof/>
          </w:rPr>
          <w:t>Déplacement des appâts</w:t>
        </w:r>
        <w:r w:rsidR="00C55A4B">
          <w:rPr>
            <w:noProof/>
            <w:webHidden/>
          </w:rPr>
          <w:tab/>
        </w:r>
        <w:r w:rsidR="00C55A4B">
          <w:rPr>
            <w:noProof/>
            <w:webHidden/>
          </w:rPr>
          <w:fldChar w:fldCharType="begin"/>
        </w:r>
        <w:r w:rsidR="00C55A4B">
          <w:rPr>
            <w:noProof/>
            <w:webHidden/>
          </w:rPr>
          <w:instrText xml:space="preserve"> PAGEREF _Toc45724799 \h </w:instrText>
        </w:r>
        <w:r w:rsidR="00C55A4B">
          <w:rPr>
            <w:noProof/>
            <w:webHidden/>
          </w:rPr>
        </w:r>
        <w:r w:rsidR="00C55A4B">
          <w:rPr>
            <w:noProof/>
            <w:webHidden/>
          </w:rPr>
          <w:fldChar w:fldCharType="separate"/>
        </w:r>
        <w:r w:rsidR="00D45808">
          <w:rPr>
            <w:noProof/>
            <w:webHidden/>
          </w:rPr>
          <w:t>4</w:t>
        </w:r>
        <w:r w:rsidR="00C55A4B">
          <w:rPr>
            <w:noProof/>
            <w:webHidden/>
          </w:rPr>
          <w:fldChar w:fldCharType="end"/>
        </w:r>
      </w:hyperlink>
    </w:p>
    <w:p w14:paraId="62353745" w14:textId="010ED2AE" w:rsidR="00C55A4B" w:rsidRDefault="00483354" w:rsidP="00D97FA2">
      <w:pPr>
        <w:pStyle w:val="TOC2"/>
        <w:rPr>
          <w:rFonts w:asciiTheme="minorHAnsi" w:eastAsiaTheme="minorEastAsia" w:hAnsiTheme="minorHAnsi" w:cstheme="minorBidi"/>
          <w:noProof/>
          <w:szCs w:val="22"/>
          <w:lang w:eastAsia="fr-CA"/>
        </w:rPr>
      </w:pPr>
      <w:hyperlink w:anchor="_Toc45724800" w:history="1">
        <w:r w:rsidR="00C55A4B" w:rsidRPr="00FF503C">
          <w:rPr>
            <w:rStyle w:val="Hyperlink"/>
            <w:noProof/>
          </w:rPr>
          <w:t>3.1</w:t>
        </w:r>
        <w:r w:rsidR="00C55A4B">
          <w:rPr>
            <w:rFonts w:asciiTheme="minorHAnsi" w:eastAsiaTheme="minorEastAsia" w:hAnsiTheme="minorHAnsi" w:cstheme="minorBidi"/>
            <w:noProof/>
            <w:szCs w:val="22"/>
            <w:lang w:eastAsia="fr-CA"/>
          </w:rPr>
          <w:tab/>
        </w:r>
        <w:r w:rsidR="00C55A4B" w:rsidRPr="00FF503C">
          <w:rPr>
            <w:rStyle w:val="Hyperlink"/>
            <w:noProof/>
          </w:rPr>
          <w:t>Zones de gestion des appâts</w:t>
        </w:r>
        <w:r w:rsidR="00C55A4B">
          <w:rPr>
            <w:noProof/>
            <w:webHidden/>
          </w:rPr>
          <w:tab/>
        </w:r>
        <w:r w:rsidR="00C55A4B">
          <w:rPr>
            <w:noProof/>
            <w:webHidden/>
          </w:rPr>
          <w:fldChar w:fldCharType="begin"/>
        </w:r>
        <w:r w:rsidR="00C55A4B">
          <w:rPr>
            <w:noProof/>
            <w:webHidden/>
          </w:rPr>
          <w:instrText xml:space="preserve"> PAGEREF _Toc45724800 \h </w:instrText>
        </w:r>
        <w:r w:rsidR="00C55A4B">
          <w:rPr>
            <w:noProof/>
            <w:webHidden/>
          </w:rPr>
        </w:r>
        <w:r w:rsidR="00C55A4B">
          <w:rPr>
            <w:noProof/>
            <w:webHidden/>
          </w:rPr>
          <w:fldChar w:fldCharType="separate"/>
        </w:r>
        <w:r w:rsidR="00D45808">
          <w:rPr>
            <w:noProof/>
            <w:webHidden/>
          </w:rPr>
          <w:t>5</w:t>
        </w:r>
        <w:r w:rsidR="00C55A4B">
          <w:rPr>
            <w:noProof/>
            <w:webHidden/>
          </w:rPr>
          <w:fldChar w:fldCharType="end"/>
        </w:r>
      </w:hyperlink>
    </w:p>
    <w:p w14:paraId="2E963EF0" w14:textId="1ADFF408" w:rsidR="00C55A4B" w:rsidRDefault="00483354" w:rsidP="00D97FA2">
      <w:pPr>
        <w:pStyle w:val="TOC2"/>
        <w:rPr>
          <w:rFonts w:asciiTheme="minorHAnsi" w:eastAsiaTheme="minorEastAsia" w:hAnsiTheme="minorHAnsi" w:cstheme="minorBidi"/>
          <w:noProof/>
          <w:szCs w:val="22"/>
          <w:lang w:eastAsia="fr-CA"/>
        </w:rPr>
      </w:pPr>
      <w:hyperlink w:anchor="_Toc45724801" w:history="1">
        <w:r w:rsidR="00C55A4B" w:rsidRPr="00FF503C">
          <w:rPr>
            <w:rStyle w:val="Hyperlink"/>
            <w:noProof/>
          </w:rPr>
          <w:t>3.2</w:t>
        </w:r>
        <w:r w:rsidR="00C55A4B">
          <w:rPr>
            <w:rFonts w:asciiTheme="minorHAnsi" w:eastAsiaTheme="minorEastAsia" w:hAnsiTheme="minorHAnsi" w:cstheme="minorBidi"/>
            <w:noProof/>
            <w:szCs w:val="22"/>
            <w:lang w:eastAsia="fr-CA"/>
          </w:rPr>
          <w:tab/>
        </w:r>
        <w:r w:rsidR="00C55A4B" w:rsidRPr="00FF503C">
          <w:rPr>
            <w:rStyle w:val="Hyperlink"/>
            <w:noProof/>
          </w:rPr>
          <w:t>Exceptions concernant le déplacement des appâts</w:t>
        </w:r>
        <w:r w:rsidR="00C55A4B">
          <w:rPr>
            <w:noProof/>
            <w:webHidden/>
          </w:rPr>
          <w:tab/>
        </w:r>
        <w:r w:rsidR="00C55A4B">
          <w:rPr>
            <w:noProof/>
            <w:webHidden/>
          </w:rPr>
          <w:fldChar w:fldCharType="begin"/>
        </w:r>
        <w:r w:rsidR="00C55A4B">
          <w:rPr>
            <w:noProof/>
            <w:webHidden/>
          </w:rPr>
          <w:instrText xml:space="preserve"> PAGEREF _Toc45724801 \h </w:instrText>
        </w:r>
        <w:r w:rsidR="00C55A4B">
          <w:rPr>
            <w:noProof/>
            <w:webHidden/>
          </w:rPr>
        </w:r>
        <w:r w:rsidR="00C55A4B">
          <w:rPr>
            <w:noProof/>
            <w:webHidden/>
          </w:rPr>
          <w:fldChar w:fldCharType="separate"/>
        </w:r>
        <w:r w:rsidR="00D45808">
          <w:rPr>
            <w:noProof/>
            <w:webHidden/>
          </w:rPr>
          <w:t>7</w:t>
        </w:r>
        <w:r w:rsidR="00C55A4B">
          <w:rPr>
            <w:noProof/>
            <w:webHidden/>
          </w:rPr>
          <w:fldChar w:fldCharType="end"/>
        </w:r>
      </w:hyperlink>
    </w:p>
    <w:p w14:paraId="54F9541A" w14:textId="0B26ADC0" w:rsidR="00C55A4B" w:rsidRDefault="00483354" w:rsidP="00D97FA2">
      <w:pPr>
        <w:pStyle w:val="TOC2"/>
        <w:rPr>
          <w:rFonts w:asciiTheme="minorHAnsi" w:eastAsiaTheme="minorEastAsia" w:hAnsiTheme="minorHAnsi" w:cstheme="minorBidi"/>
          <w:noProof/>
          <w:szCs w:val="22"/>
          <w:lang w:eastAsia="fr-CA"/>
        </w:rPr>
      </w:pPr>
      <w:hyperlink w:anchor="_Toc45724802" w:history="1">
        <w:r w:rsidR="00C55A4B" w:rsidRPr="00FF503C">
          <w:rPr>
            <w:rStyle w:val="Hyperlink"/>
            <w:noProof/>
          </w:rPr>
          <w:t>3.3</w:t>
        </w:r>
        <w:r w:rsidR="00C55A4B">
          <w:rPr>
            <w:rFonts w:asciiTheme="minorHAnsi" w:eastAsiaTheme="minorEastAsia" w:hAnsiTheme="minorHAnsi" w:cstheme="minorBidi"/>
            <w:noProof/>
            <w:szCs w:val="22"/>
            <w:lang w:eastAsia="fr-CA"/>
          </w:rPr>
          <w:tab/>
        </w:r>
        <w:r w:rsidR="00C55A4B" w:rsidRPr="00FF503C">
          <w:rPr>
            <w:rStyle w:val="Hyperlink"/>
            <w:noProof/>
          </w:rPr>
          <w:t>Exception : Programme d’analyse du lac Simcoe</w:t>
        </w:r>
        <w:r w:rsidR="00C55A4B">
          <w:rPr>
            <w:noProof/>
            <w:webHidden/>
          </w:rPr>
          <w:tab/>
        </w:r>
        <w:r w:rsidR="00C55A4B">
          <w:rPr>
            <w:noProof/>
            <w:webHidden/>
          </w:rPr>
          <w:fldChar w:fldCharType="begin"/>
        </w:r>
        <w:r w:rsidR="00C55A4B">
          <w:rPr>
            <w:noProof/>
            <w:webHidden/>
          </w:rPr>
          <w:instrText xml:space="preserve"> PAGEREF _Toc45724802 \h </w:instrText>
        </w:r>
        <w:r w:rsidR="00C55A4B">
          <w:rPr>
            <w:noProof/>
            <w:webHidden/>
          </w:rPr>
        </w:r>
        <w:r w:rsidR="00C55A4B">
          <w:rPr>
            <w:noProof/>
            <w:webHidden/>
          </w:rPr>
          <w:fldChar w:fldCharType="separate"/>
        </w:r>
        <w:r w:rsidR="00D45808">
          <w:rPr>
            <w:noProof/>
            <w:webHidden/>
          </w:rPr>
          <w:t>9</w:t>
        </w:r>
        <w:r w:rsidR="00C55A4B">
          <w:rPr>
            <w:noProof/>
            <w:webHidden/>
          </w:rPr>
          <w:fldChar w:fldCharType="end"/>
        </w:r>
      </w:hyperlink>
      <w:bookmarkStart w:id="2" w:name="_GoBack"/>
      <w:bookmarkEnd w:id="2"/>
    </w:p>
    <w:p w14:paraId="7C1C5E41" w14:textId="351E4DE0" w:rsidR="00C55A4B" w:rsidRDefault="00483354" w:rsidP="00D97FA2">
      <w:pPr>
        <w:pStyle w:val="TOC2"/>
        <w:rPr>
          <w:rFonts w:asciiTheme="minorHAnsi" w:eastAsiaTheme="minorEastAsia" w:hAnsiTheme="minorHAnsi" w:cstheme="minorBidi"/>
          <w:noProof/>
          <w:szCs w:val="22"/>
          <w:lang w:eastAsia="fr-CA"/>
        </w:rPr>
      </w:pPr>
      <w:hyperlink w:anchor="_Toc45724803" w:history="1">
        <w:r w:rsidR="00C55A4B" w:rsidRPr="00FF503C">
          <w:rPr>
            <w:rStyle w:val="Hyperlink"/>
            <w:noProof/>
          </w:rPr>
          <w:t>3.4</w:t>
        </w:r>
        <w:r w:rsidR="00C55A4B">
          <w:rPr>
            <w:rFonts w:asciiTheme="minorHAnsi" w:eastAsiaTheme="minorEastAsia" w:hAnsiTheme="minorHAnsi" w:cstheme="minorBidi"/>
            <w:noProof/>
            <w:szCs w:val="22"/>
            <w:lang w:eastAsia="fr-CA"/>
          </w:rPr>
          <w:tab/>
        </w:r>
        <w:r w:rsidR="00C55A4B" w:rsidRPr="00FF503C">
          <w:rPr>
            <w:rStyle w:val="Hyperlink"/>
            <w:noProof/>
          </w:rPr>
          <w:t>Reçus commerciaux et documentation</w:t>
        </w:r>
        <w:r w:rsidR="00C55A4B">
          <w:rPr>
            <w:noProof/>
            <w:webHidden/>
          </w:rPr>
          <w:tab/>
        </w:r>
        <w:r w:rsidR="00C55A4B">
          <w:rPr>
            <w:noProof/>
            <w:webHidden/>
          </w:rPr>
          <w:fldChar w:fldCharType="begin"/>
        </w:r>
        <w:r w:rsidR="00C55A4B">
          <w:rPr>
            <w:noProof/>
            <w:webHidden/>
          </w:rPr>
          <w:instrText xml:space="preserve"> PAGEREF _Toc45724803 \h </w:instrText>
        </w:r>
        <w:r w:rsidR="00C55A4B">
          <w:rPr>
            <w:noProof/>
            <w:webHidden/>
          </w:rPr>
        </w:r>
        <w:r w:rsidR="00C55A4B">
          <w:rPr>
            <w:noProof/>
            <w:webHidden/>
          </w:rPr>
          <w:fldChar w:fldCharType="separate"/>
        </w:r>
        <w:r w:rsidR="00D45808">
          <w:rPr>
            <w:noProof/>
            <w:webHidden/>
          </w:rPr>
          <w:t>9</w:t>
        </w:r>
        <w:r w:rsidR="00C55A4B">
          <w:rPr>
            <w:noProof/>
            <w:webHidden/>
          </w:rPr>
          <w:fldChar w:fldCharType="end"/>
        </w:r>
      </w:hyperlink>
    </w:p>
    <w:p w14:paraId="6758EAA2" w14:textId="2629638B" w:rsidR="00C55A4B" w:rsidRDefault="00483354" w:rsidP="00D97FA2">
      <w:pPr>
        <w:pStyle w:val="TOC2"/>
        <w:rPr>
          <w:rFonts w:asciiTheme="minorHAnsi" w:eastAsiaTheme="minorEastAsia" w:hAnsiTheme="minorHAnsi" w:cstheme="minorBidi"/>
          <w:noProof/>
          <w:szCs w:val="22"/>
          <w:lang w:eastAsia="fr-CA"/>
        </w:rPr>
      </w:pPr>
      <w:hyperlink w:anchor="_Toc45724804" w:history="1">
        <w:r w:rsidR="00C55A4B" w:rsidRPr="00FF503C">
          <w:rPr>
            <w:rStyle w:val="Hyperlink"/>
            <w:noProof/>
          </w:rPr>
          <w:t>3.5</w:t>
        </w:r>
        <w:r w:rsidR="00C55A4B">
          <w:rPr>
            <w:rFonts w:asciiTheme="minorHAnsi" w:eastAsiaTheme="minorEastAsia" w:hAnsiTheme="minorHAnsi" w:cstheme="minorBidi"/>
            <w:noProof/>
            <w:szCs w:val="22"/>
            <w:lang w:eastAsia="fr-CA"/>
          </w:rPr>
          <w:tab/>
        </w:r>
        <w:r w:rsidR="00C55A4B" w:rsidRPr="00FF503C">
          <w:rPr>
            <w:rStyle w:val="Hyperlink"/>
            <w:noProof/>
          </w:rPr>
          <w:t>Entreposage</w:t>
        </w:r>
        <w:r w:rsidR="00C55A4B">
          <w:rPr>
            <w:noProof/>
            <w:webHidden/>
          </w:rPr>
          <w:tab/>
        </w:r>
        <w:r w:rsidR="00C55A4B">
          <w:rPr>
            <w:noProof/>
            <w:webHidden/>
          </w:rPr>
          <w:fldChar w:fldCharType="begin"/>
        </w:r>
        <w:r w:rsidR="00C55A4B">
          <w:rPr>
            <w:noProof/>
            <w:webHidden/>
          </w:rPr>
          <w:instrText xml:space="preserve"> PAGEREF _Toc45724804 \h </w:instrText>
        </w:r>
        <w:r w:rsidR="00C55A4B">
          <w:rPr>
            <w:noProof/>
            <w:webHidden/>
          </w:rPr>
        </w:r>
        <w:r w:rsidR="00C55A4B">
          <w:rPr>
            <w:noProof/>
            <w:webHidden/>
          </w:rPr>
          <w:fldChar w:fldCharType="separate"/>
        </w:r>
        <w:r w:rsidR="00D45808">
          <w:rPr>
            <w:noProof/>
            <w:webHidden/>
          </w:rPr>
          <w:t>10</w:t>
        </w:r>
        <w:r w:rsidR="00C55A4B">
          <w:rPr>
            <w:noProof/>
            <w:webHidden/>
          </w:rPr>
          <w:fldChar w:fldCharType="end"/>
        </w:r>
      </w:hyperlink>
    </w:p>
    <w:p w14:paraId="592E2EFA" w14:textId="0EACEE22" w:rsidR="00C55A4B" w:rsidRDefault="00483354" w:rsidP="00FC2FA0">
      <w:pPr>
        <w:pStyle w:val="TOC1"/>
        <w:rPr>
          <w:rFonts w:asciiTheme="minorHAnsi" w:eastAsiaTheme="minorEastAsia" w:hAnsiTheme="minorHAnsi" w:cstheme="minorBidi"/>
          <w:noProof/>
          <w:sz w:val="22"/>
          <w:szCs w:val="22"/>
          <w:lang w:eastAsia="fr-CA"/>
        </w:rPr>
      </w:pPr>
      <w:hyperlink w:anchor="_Toc45724805" w:history="1">
        <w:r w:rsidR="00C55A4B" w:rsidRPr="00FF503C">
          <w:rPr>
            <w:rStyle w:val="Hyperlink"/>
            <w:noProof/>
          </w:rPr>
          <w:t>4.0</w:t>
        </w:r>
        <w:r w:rsidR="00C55A4B">
          <w:rPr>
            <w:rFonts w:asciiTheme="minorHAnsi" w:eastAsiaTheme="minorEastAsia" w:hAnsiTheme="minorHAnsi" w:cstheme="minorBidi"/>
            <w:noProof/>
            <w:sz w:val="22"/>
            <w:szCs w:val="22"/>
            <w:lang w:eastAsia="fr-CA"/>
          </w:rPr>
          <w:tab/>
        </w:r>
        <w:r w:rsidR="00C55A4B" w:rsidRPr="00FF503C">
          <w:rPr>
            <w:rStyle w:val="Hyperlink"/>
            <w:noProof/>
          </w:rPr>
          <w:t>Utilisation d’appâts dans les lacs d’ombles de fontaine indigènes</w:t>
        </w:r>
        <w:r w:rsidR="00C55A4B">
          <w:rPr>
            <w:noProof/>
            <w:webHidden/>
          </w:rPr>
          <w:tab/>
        </w:r>
        <w:r w:rsidR="00C55A4B">
          <w:rPr>
            <w:noProof/>
            <w:webHidden/>
          </w:rPr>
          <w:fldChar w:fldCharType="begin"/>
        </w:r>
        <w:r w:rsidR="00C55A4B">
          <w:rPr>
            <w:noProof/>
            <w:webHidden/>
          </w:rPr>
          <w:instrText xml:space="preserve"> PAGEREF _Toc45724805 \h </w:instrText>
        </w:r>
        <w:r w:rsidR="00C55A4B">
          <w:rPr>
            <w:noProof/>
            <w:webHidden/>
          </w:rPr>
        </w:r>
        <w:r w:rsidR="00C55A4B">
          <w:rPr>
            <w:noProof/>
            <w:webHidden/>
          </w:rPr>
          <w:fldChar w:fldCharType="separate"/>
        </w:r>
        <w:r w:rsidR="00D45808">
          <w:rPr>
            <w:noProof/>
            <w:webHidden/>
          </w:rPr>
          <w:t>10</w:t>
        </w:r>
        <w:r w:rsidR="00C55A4B">
          <w:rPr>
            <w:noProof/>
            <w:webHidden/>
          </w:rPr>
          <w:fldChar w:fldCharType="end"/>
        </w:r>
      </w:hyperlink>
    </w:p>
    <w:p w14:paraId="5BCD1CC3" w14:textId="1C26E909" w:rsidR="00C55A4B" w:rsidRDefault="00483354" w:rsidP="00FC2FA0">
      <w:pPr>
        <w:pStyle w:val="TOC1"/>
        <w:rPr>
          <w:rFonts w:asciiTheme="minorHAnsi" w:eastAsiaTheme="minorEastAsia" w:hAnsiTheme="minorHAnsi" w:cstheme="minorBidi"/>
          <w:noProof/>
          <w:sz w:val="22"/>
          <w:szCs w:val="22"/>
          <w:lang w:eastAsia="fr-CA"/>
        </w:rPr>
      </w:pPr>
      <w:hyperlink w:anchor="_Toc45724806" w:history="1">
        <w:r w:rsidR="00C55A4B" w:rsidRPr="00FF503C">
          <w:rPr>
            <w:rStyle w:val="Hyperlink"/>
            <w:noProof/>
          </w:rPr>
          <w:t>5.0</w:t>
        </w:r>
        <w:r w:rsidR="00C55A4B">
          <w:rPr>
            <w:rFonts w:asciiTheme="minorHAnsi" w:eastAsiaTheme="minorEastAsia" w:hAnsiTheme="minorHAnsi" w:cstheme="minorBidi"/>
            <w:noProof/>
            <w:sz w:val="22"/>
            <w:szCs w:val="22"/>
            <w:lang w:eastAsia="fr-CA"/>
          </w:rPr>
          <w:tab/>
        </w:r>
        <w:r w:rsidR="00C55A4B" w:rsidRPr="00FF503C">
          <w:rPr>
            <w:rStyle w:val="Hyperlink"/>
            <w:noProof/>
          </w:rPr>
          <w:t>Exploitation commerciale des appâts</w:t>
        </w:r>
        <w:r w:rsidR="00C55A4B">
          <w:rPr>
            <w:noProof/>
            <w:webHidden/>
          </w:rPr>
          <w:tab/>
        </w:r>
        <w:r w:rsidR="00C55A4B">
          <w:rPr>
            <w:noProof/>
            <w:webHidden/>
          </w:rPr>
          <w:fldChar w:fldCharType="begin"/>
        </w:r>
        <w:r w:rsidR="00C55A4B">
          <w:rPr>
            <w:noProof/>
            <w:webHidden/>
          </w:rPr>
          <w:instrText xml:space="preserve"> PAGEREF _Toc45724806 \h </w:instrText>
        </w:r>
        <w:r w:rsidR="00C55A4B">
          <w:rPr>
            <w:noProof/>
            <w:webHidden/>
          </w:rPr>
        </w:r>
        <w:r w:rsidR="00C55A4B">
          <w:rPr>
            <w:noProof/>
            <w:webHidden/>
          </w:rPr>
          <w:fldChar w:fldCharType="separate"/>
        </w:r>
        <w:r w:rsidR="00D45808">
          <w:rPr>
            <w:noProof/>
            <w:webHidden/>
          </w:rPr>
          <w:t>11</w:t>
        </w:r>
        <w:r w:rsidR="00C55A4B">
          <w:rPr>
            <w:noProof/>
            <w:webHidden/>
          </w:rPr>
          <w:fldChar w:fldCharType="end"/>
        </w:r>
      </w:hyperlink>
    </w:p>
    <w:p w14:paraId="66D54CEA" w14:textId="7CD4CD50" w:rsidR="00C55A4B" w:rsidRDefault="00483354" w:rsidP="00D97FA2">
      <w:pPr>
        <w:pStyle w:val="TOC2"/>
        <w:rPr>
          <w:rFonts w:asciiTheme="minorHAnsi" w:eastAsiaTheme="minorEastAsia" w:hAnsiTheme="minorHAnsi" w:cstheme="minorBidi"/>
          <w:noProof/>
          <w:szCs w:val="22"/>
          <w:lang w:eastAsia="fr-CA"/>
        </w:rPr>
      </w:pPr>
      <w:hyperlink w:anchor="_Toc45724807" w:history="1">
        <w:r w:rsidR="00C55A4B" w:rsidRPr="00FF503C">
          <w:rPr>
            <w:rStyle w:val="Hyperlink"/>
            <w:noProof/>
          </w:rPr>
          <w:t>5.1</w:t>
        </w:r>
        <w:r w:rsidR="00C55A4B">
          <w:rPr>
            <w:rFonts w:asciiTheme="minorHAnsi" w:eastAsiaTheme="minorEastAsia" w:hAnsiTheme="minorHAnsi" w:cstheme="minorBidi"/>
            <w:noProof/>
            <w:szCs w:val="22"/>
            <w:lang w:eastAsia="fr-CA"/>
          </w:rPr>
          <w:tab/>
        </w:r>
        <w:r w:rsidR="00C55A4B" w:rsidRPr="00FF503C">
          <w:rPr>
            <w:rStyle w:val="Hyperlink"/>
            <w:noProof/>
          </w:rPr>
          <w:t>Formation</w:t>
        </w:r>
        <w:r w:rsidR="00C55A4B">
          <w:rPr>
            <w:noProof/>
            <w:webHidden/>
          </w:rPr>
          <w:tab/>
        </w:r>
        <w:r w:rsidR="00C55A4B">
          <w:rPr>
            <w:noProof/>
            <w:webHidden/>
          </w:rPr>
          <w:fldChar w:fldCharType="begin"/>
        </w:r>
        <w:r w:rsidR="00C55A4B">
          <w:rPr>
            <w:noProof/>
            <w:webHidden/>
          </w:rPr>
          <w:instrText xml:space="preserve"> PAGEREF _Toc45724807 \h </w:instrText>
        </w:r>
        <w:r w:rsidR="00C55A4B">
          <w:rPr>
            <w:noProof/>
            <w:webHidden/>
          </w:rPr>
        </w:r>
        <w:r w:rsidR="00C55A4B">
          <w:rPr>
            <w:noProof/>
            <w:webHidden/>
          </w:rPr>
          <w:fldChar w:fldCharType="separate"/>
        </w:r>
        <w:r w:rsidR="00D45808">
          <w:rPr>
            <w:noProof/>
            <w:webHidden/>
          </w:rPr>
          <w:t>11</w:t>
        </w:r>
        <w:r w:rsidR="00C55A4B">
          <w:rPr>
            <w:noProof/>
            <w:webHidden/>
          </w:rPr>
          <w:fldChar w:fldCharType="end"/>
        </w:r>
      </w:hyperlink>
    </w:p>
    <w:p w14:paraId="1FF49250" w14:textId="29891750" w:rsidR="00C55A4B" w:rsidRDefault="00483354" w:rsidP="00D97FA2">
      <w:pPr>
        <w:pStyle w:val="TOC2"/>
        <w:rPr>
          <w:rFonts w:asciiTheme="minorHAnsi" w:eastAsiaTheme="minorEastAsia" w:hAnsiTheme="minorHAnsi" w:cstheme="minorBidi"/>
          <w:noProof/>
          <w:szCs w:val="22"/>
          <w:lang w:eastAsia="fr-CA"/>
        </w:rPr>
      </w:pPr>
      <w:hyperlink w:anchor="_Toc45724808" w:history="1">
        <w:r w:rsidR="00C55A4B" w:rsidRPr="00FF503C">
          <w:rPr>
            <w:rStyle w:val="Hyperlink"/>
            <w:noProof/>
          </w:rPr>
          <w:t>5.2</w:t>
        </w:r>
        <w:r w:rsidR="00C55A4B">
          <w:rPr>
            <w:rFonts w:asciiTheme="minorHAnsi" w:eastAsiaTheme="minorEastAsia" w:hAnsiTheme="minorHAnsi" w:cstheme="minorBidi"/>
            <w:noProof/>
            <w:szCs w:val="22"/>
            <w:lang w:eastAsia="fr-CA"/>
          </w:rPr>
          <w:tab/>
        </w:r>
        <w:r w:rsidR="00C55A4B" w:rsidRPr="00FF503C">
          <w:rPr>
            <w:rStyle w:val="Hyperlink"/>
            <w:noProof/>
          </w:rPr>
          <w:t>Équipement</w:t>
        </w:r>
        <w:r w:rsidR="00C55A4B">
          <w:rPr>
            <w:noProof/>
            <w:webHidden/>
          </w:rPr>
          <w:tab/>
        </w:r>
        <w:r w:rsidR="00C55A4B">
          <w:rPr>
            <w:noProof/>
            <w:webHidden/>
          </w:rPr>
          <w:fldChar w:fldCharType="begin"/>
        </w:r>
        <w:r w:rsidR="00C55A4B">
          <w:rPr>
            <w:noProof/>
            <w:webHidden/>
          </w:rPr>
          <w:instrText xml:space="preserve"> PAGEREF _Toc45724808 \h </w:instrText>
        </w:r>
        <w:r w:rsidR="00C55A4B">
          <w:rPr>
            <w:noProof/>
            <w:webHidden/>
          </w:rPr>
        </w:r>
        <w:r w:rsidR="00C55A4B">
          <w:rPr>
            <w:noProof/>
            <w:webHidden/>
          </w:rPr>
          <w:fldChar w:fldCharType="separate"/>
        </w:r>
        <w:r w:rsidR="00D45808">
          <w:rPr>
            <w:noProof/>
            <w:webHidden/>
          </w:rPr>
          <w:t>12</w:t>
        </w:r>
        <w:r w:rsidR="00C55A4B">
          <w:rPr>
            <w:noProof/>
            <w:webHidden/>
          </w:rPr>
          <w:fldChar w:fldCharType="end"/>
        </w:r>
      </w:hyperlink>
    </w:p>
    <w:p w14:paraId="049DD0B9" w14:textId="379CC1B3" w:rsidR="00C55A4B" w:rsidRDefault="00483354" w:rsidP="00D97FA2">
      <w:pPr>
        <w:pStyle w:val="TOC2"/>
        <w:rPr>
          <w:rFonts w:asciiTheme="minorHAnsi" w:eastAsiaTheme="minorEastAsia" w:hAnsiTheme="minorHAnsi" w:cstheme="minorBidi"/>
          <w:noProof/>
          <w:szCs w:val="22"/>
          <w:lang w:eastAsia="fr-CA"/>
        </w:rPr>
      </w:pPr>
      <w:hyperlink w:anchor="_Toc45724809" w:history="1">
        <w:r w:rsidR="00C55A4B" w:rsidRPr="00FF503C">
          <w:rPr>
            <w:rStyle w:val="Hyperlink"/>
            <w:noProof/>
          </w:rPr>
          <w:t>5.3</w:t>
        </w:r>
        <w:r w:rsidR="00C55A4B">
          <w:rPr>
            <w:rFonts w:asciiTheme="minorHAnsi" w:eastAsiaTheme="minorEastAsia" w:hAnsiTheme="minorHAnsi" w:cstheme="minorBidi"/>
            <w:noProof/>
            <w:szCs w:val="22"/>
            <w:lang w:eastAsia="fr-CA"/>
          </w:rPr>
          <w:tab/>
        </w:r>
        <w:r w:rsidR="00C55A4B" w:rsidRPr="00FF503C">
          <w:rPr>
            <w:rStyle w:val="Hyperlink"/>
            <w:noProof/>
          </w:rPr>
          <w:t>Présentation de rapports</w:t>
        </w:r>
        <w:r w:rsidR="00C55A4B">
          <w:rPr>
            <w:noProof/>
            <w:webHidden/>
          </w:rPr>
          <w:tab/>
        </w:r>
        <w:r w:rsidR="00C55A4B">
          <w:rPr>
            <w:noProof/>
            <w:webHidden/>
          </w:rPr>
          <w:fldChar w:fldCharType="begin"/>
        </w:r>
        <w:r w:rsidR="00C55A4B">
          <w:rPr>
            <w:noProof/>
            <w:webHidden/>
          </w:rPr>
          <w:instrText xml:space="preserve"> PAGEREF _Toc45724809 \h </w:instrText>
        </w:r>
        <w:r w:rsidR="00C55A4B">
          <w:rPr>
            <w:noProof/>
            <w:webHidden/>
          </w:rPr>
        </w:r>
        <w:r w:rsidR="00C55A4B">
          <w:rPr>
            <w:noProof/>
            <w:webHidden/>
          </w:rPr>
          <w:fldChar w:fldCharType="separate"/>
        </w:r>
        <w:r w:rsidR="00D45808">
          <w:rPr>
            <w:noProof/>
            <w:webHidden/>
          </w:rPr>
          <w:t>13</w:t>
        </w:r>
        <w:r w:rsidR="00C55A4B">
          <w:rPr>
            <w:noProof/>
            <w:webHidden/>
          </w:rPr>
          <w:fldChar w:fldCharType="end"/>
        </w:r>
      </w:hyperlink>
    </w:p>
    <w:p w14:paraId="355CEB86" w14:textId="0FE45E78" w:rsidR="00C55A4B" w:rsidRDefault="00483354" w:rsidP="00D97FA2">
      <w:pPr>
        <w:pStyle w:val="TOC2"/>
        <w:rPr>
          <w:rFonts w:asciiTheme="minorHAnsi" w:eastAsiaTheme="minorEastAsia" w:hAnsiTheme="minorHAnsi" w:cstheme="minorBidi"/>
          <w:noProof/>
          <w:szCs w:val="22"/>
          <w:lang w:eastAsia="fr-CA"/>
        </w:rPr>
      </w:pPr>
      <w:hyperlink w:anchor="_Toc45724810" w:history="1">
        <w:r w:rsidR="00C55A4B" w:rsidRPr="00FF503C">
          <w:rPr>
            <w:rStyle w:val="Hyperlink"/>
            <w:noProof/>
          </w:rPr>
          <w:t>5.4</w:t>
        </w:r>
        <w:r w:rsidR="00C55A4B">
          <w:rPr>
            <w:rFonts w:asciiTheme="minorHAnsi" w:eastAsiaTheme="minorEastAsia" w:hAnsiTheme="minorHAnsi" w:cstheme="minorBidi"/>
            <w:noProof/>
            <w:szCs w:val="22"/>
            <w:lang w:eastAsia="fr-CA"/>
          </w:rPr>
          <w:tab/>
        </w:r>
        <w:r w:rsidR="00C55A4B" w:rsidRPr="00FF503C">
          <w:rPr>
            <w:rStyle w:val="Hyperlink"/>
            <w:noProof/>
          </w:rPr>
          <w:t>Conformité</w:t>
        </w:r>
        <w:r w:rsidR="00C55A4B">
          <w:rPr>
            <w:noProof/>
            <w:webHidden/>
          </w:rPr>
          <w:tab/>
        </w:r>
        <w:r w:rsidR="00C55A4B">
          <w:rPr>
            <w:noProof/>
            <w:webHidden/>
          </w:rPr>
          <w:fldChar w:fldCharType="begin"/>
        </w:r>
        <w:r w:rsidR="00C55A4B">
          <w:rPr>
            <w:noProof/>
            <w:webHidden/>
          </w:rPr>
          <w:instrText xml:space="preserve"> PAGEREF _Toc45724810 \h </w:instrText>
        </w:r>
        <w:r w:rsidR="00C55A4B">
          <w:rPr>
            <w:noProof/>
            <w:webHidden/>
          </w:rPr>
        </w:r>
        <w:r w:rsidR="00C55A4B">
          <w:rPr>
            <w:noProof/>
            <w:webHidden/>
          </w:rPr>
          <w:fldChar w:fldCharType="separate"/>
        </w:r>
        <w:r w:rsidR="00D45808">
          <w:rPr>
            <w:noProof/>
            <w:webHidden/>
          </w:rPr>
          <w:t>13</w:t>
        </w:r>
        <w:r w:rsidR="00C55A4B">
          <w:rPr>
            <w:noProof/>
            <w:webHidden/>
          </w:rPr>
          <w:fldChar w:fldCharType="end"/>
        </w:r>
      </w:hyperlink>
    </w:p>
    <w:p w14:paraId="48C454DD" w14:textId="3A667A72" w:rsidR="00C55A4B" w:rsidRDefault="00483354" w:rsidP="00D97FA2">
      <w:pPr>
        <w:pStyle w:val="TOC2"/>
        <w:rPr>
          <w:rFonts w:asciiTheme="minorHAnsi" w:eastAsiaTheme="minorEastAsia" w:hAnsiTheme="minorHAnsi" w:cstheme="minorBidi"/>
          <w:noProof/>
          <w:szCs w:val="22"/>
          <w:lang w:eastAsia="fr-CA"/>
        </w:rPr>
      </w:pPr>
      <w:hyperlink w:anchor="_Toc45724811" w:history="1">
        <w:r w:rsidR="00C55A4B" w:rsidRPr="00FF503C">
          <w:rPr>
            <w:rStyle w:val="Hyperlink"/>
            <w:noProof/>
          </w:rPr>
          <w:t>5.5</w:t>
        </w:r>
        <w:r w:rsidR="00C55A4B">
          <w:rPr>
            <w:rFonts w:asciiTheme="minorHAnsi" w:eastAsiaTheme="minorEastAsia" w:hAnsiTheme="minorHAnsi" w:cstheme="minorBidi"/>
            <w:noProof/>
            <w:szCs w:val="22"/>
            <w:lang w:eastAsia="fr-CA"/>
          </w:rPr>
          <w:tab/>
        </w:r>
        <w:r w:rsidR="00C55A4B" w:rsidRPr="00FF503C">
          <w:rPr>
            <w:rStyle w:val="Hyperlink"/>
            <w:noProof/>
          </w:rPr>
          <w:t>Permis d’appât commercial</w:t>
        </w:r>
        <w:r w:rsidR="00C55A4B">
          <w:rPr>
            <w:noProof/>
            <w:webHidden/>
          </w:rPr>
          <w:tab/>
        </w:r>
        <w:r w:rsidR="00C55A4B">
          <w:rPr>
            <w:noProof/>
            <w:webHidden/>
          </w:rPr>
          <w:fldChar w:fldCharType="begin"/>
        </w:r>
        <w:r w:rsidR="00C55A4B">
          <w:rPr>
            <w:noProof/>
            <w:webHidden/>
          </w:rPr>
          <w:instrText xml:space="preserve"> PAGEREF _Toc45724811 \h </w:instrText>
        </w:r>
        <w:r w:rsidR="00C55A4B">
          <w:rPr>
            <w:noProof/>
            <w:webHidden/>
          </w:rPr>
        </w:r>
        <w:r w:rsidR="00C55A4B">
          <w:rPr>
            <w:noProof/>
            <w:webHidden/>
          </w:rPr>
          <w:fldChar w:fldCharType="separate"/>
        </w:r>
        <w:r w:rsidR="00D45808">
          <w:rPr>
            <w:noProof/>
            <w:webHidden/>
          </w:rPr>
          <w:t>14</w:t>
        </w:r>
        <w:r w:rsidR="00C55A4B">
          <w:rPr>
            <w:noProof/>
            <w:webHidden/>
          </w:rPr>
          <w:fldChar w:fldCharType="end"/>
        </w:r>
      </w:hyperlink>
    </w:p>
    <w:p w14:paraId="2EF86C51" w14:textId="5FA5630B" w:rsidR="00C55A4B" w:rsidRDefault="00483354">
      <w:pPr>
        <w:pStyle w:val="TOC3"/>
        <w:tabs>
          <w:tab w:val="left" w:pos="1100"/>
          <w:tab w:val="right" w:leader="dot" w:pos="8630"/>
        </w:tabs>
        <w:rPr>
          <w:rFonts w:asciiTheme="minorHAnsi" w:eastAsiaTheme="minorEastAsia" w:hAnsiTheme="minorHAnsi" w:cstheme="minorBidi"/>
          <w:noProof/>
          <w:szCs w:val="22"/>
          <w:lang w:eastAsia="fr-CA"/>
        </w:rPr>
      </w:pPr>
      <w:hyperlink w:anchor="_Toc45724812" w:history="1">
        <w:r w:rsidR="00C55A4B" w:rsidRPr="00FF503C">
          <w:rPr>
            <w:rStyle w:val="Hyperlink"/>
            <w:noProof/>
          </w:rPr>
          <w:t>5.5.1</w:t>
        </w:r>
        <w:r w:rsidR="00C55A4B">
          <w:rPr>
            <w:rFonts w:asciiTheme="minorHAnsi" w:eastAsiaTheme="minorEastAsia" w:hAnsiTheme="minorHAnsi" w:cstheme="minorBidi"/>
            <w:noProof/>
            <w:szCs w:val="22"/>
            <w:lang w:eastAsia="fr-CA"/>
          </w:rPr>
          <w:tab/>
        </w:r>
        <w:r w:rsidR="00C55A4B" w:rsidRPr="00FF503C">
          <w:rPr>
            <w:rStyle w:val="Hyperlink"/>
            <w:noProof/>
          </w:rPr>
          <w:t>Durée et renouvellement</w:t>
        </w:r>
        <w:r w:rsidR="00C55A4B">
          <w:rPr>
            <w:noProof/>
            <w:webHidden/>
          </w:rPr>
          <w:tab/>
        </w:r>
        <w:r w:rsidR="00C55A4B">
          <w:rPr>
            <w:noProof/>
            <w:webHidden/>
          </w:rPr>
          <w:fldChar w:fldCharType="begin"/>
        </w:r>
        <w:r w:rsidR="00C55A4B">
          <w:rPr>
            <w:noProof/>
            <w:webHidden/>
          </w:rPr>
          <w:instrText xml:space="preserve"> PAGEREF _Toc45724812 \h </w:instrText>
        </w:r>
        <w:r w:rsidR="00C55A4B">
          <w:rPr>
            <w:noProof/>
            <w:webHidden/>
          </w:rPr>
        </w:r>
        <w:r w:rsidR="00C55A4B">
          <w:rPr>
            <w:noProof/>
            <w:webHidden/>
          </w:rPr>
          <w:fldChar w:fldCharType="separate"/>
        </w:r>
        <w:r w:rsidR="00D45808">
          <w:rPr>
            <w:noProof/>
            <w:webHidden/>
          </w:rPr>
          <w:t>14</w:t>
        </w:r>
        <w:r w:rsidR="00C55A4B">
          <w:rPr>
            <w:noProof/>
            <w:webHidden/>
          </w:rPr>
          <w:fldChar w:fldCharType="end"/>
        </w:r>
      </w:hyperlink>
    </w:p>
    <w:p w14:paraId="0B602497" w14:textId="4ABB3156" w:rsidR="00C55A4B" w:rsidRDefault="00483354">
      <w:pPr>
        <w:pStyle w:val="TOC3"/>
        <w:tabs>
          <w:tab w:val="left" w:pos="1100"/>
          <w:tab w:val="right" w:leader="dot" w:pos="8630"/>
        </w:tabs>
        <w:rPr>
          <w:rFonts w:asciiTheme="minorHAnsi" w:eastAsiaTheme="minorEastAsia" w:hAnsiTheme="minorHAnsi" w:cstheme="minorBidi"/>
          <w:noProof/>
          <w:szCs w:val="22"/>
          <w:lang w:eastAsia="fr-CA"/>
        </w:rPr>
      </w:pPr>
      <w:hyperlink w:anchor="_Toc45724813" w:history="1">
        <w:r w:rsidR="00C55A4B" w:rsidRPr="00FF503C">
          <w:rPr>
            <w:rStyle w:val="Hyperlink"/>
            <w:noProof/>
          </w:rPr>
          <w:t>5.5.2</w:t>
        </w:r>
        <w:r w:rsidR="00C55A4B">
          <w:rPr>
            <w:rFonts w:asciiTheme="minorHAnsi" w:eastAsiaTheme="minorEastAsia" w:hAnsiTheme="minorHAnsi" w:cstheme="minorBidi"/>
            <w:noProof/>
            <w:szCs w:val="22"/>
            <w:lang w:eastAsia="fr-CA"/>
          </w:rPr>
          <w:tab/>
        </w:r>
        <w:r w:rsidR="00C55A4B" w:rsidRPr="00FF503C">
          <w:rPr>
            <w:rStyle w:val="Hyperlink"/>
            <w:noProof/>
          </w:rPr>
          <w:t>Attribution</w:t>
        </w:r>
        <w:r w:rsidR="00C55A4B">
          <w:rPr>
            <w:noProof/>
            <w:webHidden/>
          </w:rPr>
          <w:tab/>
        </w:r>
        <w:r w:rsidR="00C55A4B">
          <w:rPr>
            <w:noProof/>
            <w:webHidden/>
          </w:rPr>
          <w:fldChar w:fldCharType="begin"/>
        </w:r>
        <w:r w:rsidR="00C55A4B">
          <w:rPr>
            <w:noProof/>
            <w:webHidden/>
          </w:rPr>
          <w:instrText xml:space="preserve"> PAGEREF _Toc45724813 \h </w:instrText>
        </w:r>
        <w:r w:rsidR="00C55A4B">
          <w:rPr>
            <w:noProof/>
            <w:webHidden/>
          </w:rPr>
        </w:r>
        <w:r w:rsidR="00C55A4B">
          <w:rPr>
            <w:noProof/>
            <w:webHidden/>
          </w:rPr>
          <w:fldChar w:fldCharType="separate"/>
        </w:r>
        <w:r w:rsidR="00D45808">
          <w:rPr>
            <w:noProof/>
            <w:webHidden/>
          </w:rPr>
          <w:t>14</w:t>
        </w:r>
        <w:r w:rsidR="00C55A4B">
          <w:rPr>
            <w:noProof/>
            <w:webHidden/>
          </w:rPr>
          <w:fldChar w:fldCharType="end"/>
        </w:r>
      </w:hyperlink>
    </w:p>
    <w:p w14:paraId="02685B13" w14:textId="4E1B157F" w:rsidR="00C55A4B" w:rsidRDefault="00483354">
      <w:pPr>
        <w:pStyle w:val="TOC3"/>
        <w:tabs>
          <w:tab w:val="left" w:pos="1100"/>
          <w:tab w:val="right" w:leader="dot" w:pos="8630"/>
        </w:tabs>
        <w:rPr>
          <w:rFonts w:asciiTheme="minorHAnsi" w:eastAsiaTheme="minorEastAsia" w:hAnsiTheme="minorHAnsi" w:cstheme="minorBidi"/>
          <w:noProof/>
          <w:szCs w:val="22"/>
          <w:lang w:eastAsia="fr-CA"/>
        </w:rPr>
      </w:pPr>
      <w:hyperlink w:anchor="_Toc45724814" w:history="1">
        <w:r w:rsidR="00C55A4B" w:rsidRPr="00FF503C">
          <w:rPr>
            <w:rStyle w:val="Hyperlink"/>
            <w:noProof/>
          </w:rPr>
          <w:t>5.5.3</w:t>
        </w:r>
        <w:r w:rsidR="00C55A4B">
          <w:rPr>
            <w:rFonts w:asciiTheme="minorHAnsi" w:eastAsiaTheme="minorEastAsia" w:hAnsiTheme="minorHAnsi" w:cstheme="minorBidi"/>
            <w:noProof/>
            <w:szCs w:val="22"/>
            <w:lang w:eastAsia="fr-CA"/>
          </w:rPr>
          <w:tab/>
        </w:r>
        <w:r w:rsidR="00C55A4B" w:rsidRPr="00FF503C">
          <w:rPr>
            <w:rStyle w:val="Hyperlink"/>
            <w:noProof/>
          </w:rPr>
          <w:t>Inutilisation</w:t>
        </w:r>
        <w:r w:rsidR="00C55A4B">
          <w:rPr>
            <w:noProof/>
            <w:webHidden/>
          </w:rPr>
          <w:tab/>
        </w:r>
        <w:r w:rsidR="00C55A4B">
          <w:rPr>
            <w:noProof/>
            <w:webHidden/>
          </w:rPr>
          <w:fldChar w:fldCharType="begin"/>
        </w:r>
        <w:r w:rsidR="00C55A4B">
          <w:rPr>
            <w:noProof/>
            <w:webHidden/>
          </w:rPr>
          <w:instrText xml:space="preserve"> PAGEREF _Toc45724814 \h </w:instrText>
        </w:r>
        <w:r w:rsidR="00C55A4B">
          <w:rPr>
            <w:noProof/>
            <w:webHidden/>
          </w:rPr>
        </w:r>
        <w:r w:rsidR="00C55A4B">
          <w:rPr>
            <w:noProof/>
            <w:webHidden/>
          </w:rPr>
          <w:fldChar w:fldCharType="separate"/>
        </w:r>
        <w:r w:rsidR="00D45808">
          <w:rPr>
            <w:noProof/>
            <w:webHidden/>
          </w:rPr>
          <w:t>16</w:t>
        </w:r>
        <w:r w:rsidR="00C55A4B">
          <w:rPr>
            <w:noProof/>
            <w:webHidden/>
          </w:rPr>
          <w:fldChar w:fldCharType="end"/>
        </w:r>
      </w:hyperlink>
    </w:p>
    <w:p w14:paraId="787A8D70" w14:textId="0F8179D3" w:rsidR="00C55A4B" w:rsidRDefault="00483354" w:rsidP="00FC2FA0">
      <w:pPr>
        <w:pStyle w:val="TOC1"/>
        <w:rPr>
          <w:rFonts w:asciiTheme="minorHAnsi" w:eastAsiaTheme="minorEastAsia" w:hAnsiTheme="minorHAnsi" w:cstheme="minorBidi"/>
          <w:noProof/>
          <w:sz w:val="22"/>
          <w:szCs w:val="22"/>
          <w:lang w:eastAsia="fr-CA"/>
        </w:rPr>
      </w:pPr>
      <w:hyperlink w:anchor="_Toc45724815" w:history="1">
        <w:r w:rsidR="00C55A4B" w:rsidRPr="00FF503C">
          <w:rPr>
            <w:rStyle w:val="Hyperlink"/>
            <w:noProof/>
          </w:rPr>
          <w:t>6.0</w:t>
        </w:r>
        <w:r w:rsidR="00C55A4B">
          <w:rPr>
            <w:rFonts w:asciiTheme="minorHAnsi" w:eastAsiaTheme="minorEastAsia" w:hAnsiTheme="minorHAnsi" w:cstheme="minorBidi"/>
            <w:noProof/>
            <w:sz w:val="22"/>
            <w:szCs w:val="22"/>
            <w:lang w:eastAsia="fr-CA"/>
          </w:rPr>
          <w:tab/>
        </w:r>
        <w:r w:rsidR="00C55A4B" w:rsidRPr="00FF503C">
          <w:rPr>
            <w:rStyle w:val="Hyperlink"/>
            <w:noProof/>
          </w:rPr>
          <w:t>Conclusion</w:t>
        </w:r>
        <w:r w:rsidR="00C55A4B">
          <w:rPr>
            <w:noProof/>
            <w:webHidden/>
          </w:rPr>
          <w:tab/>
        </w:r>
        <w:r w:rsidR="00C55A4B">
          <w:rPr>
            <w:noProof/>
            <w:webHidden/>
          </w:rPr>
          <w:fldChar w:fldCharType="begin"/>
        </w:r>
        <w:r w:rsidR="00C55A4B">
          <w:rPr>
            <w:noProof/>
            <w:webHidden/>
          </w:rPr>
          <w:instrText xml:space="preserve"> PAGEREF _Toc45724815 \h </w:instrText>
        </w:r>
        <w:r w:rsidR="00C55A4B">
          <w:rPr>
            <w:noProof/>
            <w:webHidden/>
          </w:rPr>
        </w:r>
        <w:r w:rsidR="00C55A4B">
          <w:rPr>
            <w:noProof/>
            <w:webHidden/>
          </w:rPr>
          <w:fldChar w:fldCharType="separate"/>
        </w:r>
        <w:r w:rsidR="00D45808">
          <w:rPr>
            <w:noProof/>
            <w:webHidden/>
          </w:rPr>
          <w:t>16</w:t>
        </w:r>
        <w:r w:rsidR="00C55A4B">
          <w:rPr>
            <w:noProof/>
            <w:webHidden/>
          </w:rPr>
          <w:fldChar w:fldCharType="end"/>
        </w:r>
      </w:hyperlink>
    </w:p>
    <w:p w14:paraId="109101F8" w14:textId="341E8530" w:rsidR="00C55A4B" w:rsidRDefault="00483354" w:rsidP="00FC2FA0">
      <w:pPr>
        <w:pStyle w:val="TOC1"/>
        <w:rPr>
          <w:rFonts w:asciiTheme="minorHAnsi" w:eastAsiaTheme="minorEastAsia" w:hAnsiTheme="minorHAnsi" w:cstheme="minorBidi"/>
          <w:noProof/>
          <w:sz w:val="22"/>
          <w:szCs w:val="22"/>
          <w:lang w:eastAsia="fr-CA"/>
        </w:rPr>
      </w:pPr>
      <w:hyperlink w:anchor="_Toc45724816" w:history="1">
        <w:r w:rsidR="00C55A4B" w:rsidRPr="00FF503C">
          <w:rPr>
            <w:rStyle w:val="Hyperlink"/>
            <w:noProof/>
          </w:rPr>
          <w:t>7.0</w:t>
        </w:r>
        <w:r w:rsidR="00C55A4B">
          <w:rPr>
            <w:rFonts w:asciiTheme="minorHAnsi" w:eastAsiaTheme="minorEastAsia" w:hAnsiTheme="minorHAnsi" w:cstheme="minorBidi"/>
            <w:noProof/>
            <w:sz w:val="22"/>
            <w:szCs w:val="22"/>
            <w:lang w:eastAsia="fr-CA"/>
          </w:rPr>
          <w:tab/>
        </w:r>
        <w:r w:rsidR="00C55A4B" w:rsidRPr="00FF503C">
          <w:rPr>
            <w:rStyle w:val="Hyperlink"/>
            <w:noProof/>
          </w:rPr>
          <w:t>Glossaire</w:t>
        </w:r>
        <w:r w:rsidR="00C55A4B">
          <w:rPr>
            <w:noProof/>
            <w:webHidden/>
          </w:rPr>
          <w:tab/>
        </w:r>
        <w:r w:rsidR="00C55A4B">
          <w:rPr>
            <w:noProof/>
            <w:webHidden/>
          </w:rPr>
          <w:fldChar w:fldCharType="begin"/>
        </w:r>
        <w:r w:rsidR="00C55A4B">
          <w:rPr>
            <w:noProof/>
            <w:webHidden/>
          </w:rPr>
          <w:instrText xml:space="preserve"> PAGEREF _Toc45724816 \h </w:instrText>
        </w:r>
        <w:r w:rsidR="00C55A4B">
          <w:rPr>
            <w:noProof/>
            <w:webHidden/>
          </w:rPr>
        </w:r>
        <w:r w:rsidR="00C55A4B">
          <w:rPr>
            <w:noProof/>
            <w:webHidden/>
          </w:rPr>
          <w:fldChar w:fldCharType="separate"/>
        </w:r>
        <w:r w:rsidR="00D45808">
          <w:rPr>
            <w:noProof/>
            <w:webHidden/>
          </w:rPr>
          <w:t>17</w:t>
        </w:r>
        <w:r w:rsidR="00C55A4B">
          <w:rPr>
            <w:noProof/>
            <w:webHidden/>
          </w:rPr>
          <w:fldChar w:fldCharType="end"/>
        </w:r>
      </w:hyperlink>
    </w:p>
    <w:p w14:paraId="26055073" w14:textId="0230920B" w:rsidR="00C55A4B" w:rsidRDefault="00483354" w:rsidP="00FC2FA0">
      <w:pPr>
        <w:pStyle w:val="TOC1"/>
        <w:rPr>
          <w:rFonts w:asciiTheme="minorHAnsi" w:eastAsiaTheme="minorEastAsia" w:hAnsiTheme="minorHAnsi" w:cstheme="minorBidi"/>
          <w:noProof/>
          <w:sz w:val="22"/>
          <w:szCs w:val="22"/>
          <w:lang w:eastAsia="fr-CA"/>
        </w:rPr>
      </w:pPr>
      <w:hyperlink w:anchor="_Toc45724817" w:history="1">
        <w:r w:rsidR="00C55A4B" w:rsidRPr="00FF503C">
          <w:rPr>
            <w:rStyle w:val="Hyperlink"/>
            <w:noProof/>
          </w:rPr>
          <w:t>8.0</w:t>
        </w:r>
        <w:r w:rsidR="00C55A4B">
          <w:rPr>
            <w:rFonts w:asciiTheme="minorHAnsi" w:eastAsiaTheme="minorEastAsia" w:hAnsiTheme="minorHAnsi" w:cstheme="minorBidi"/>
            <w:noProof/>
            <w:sz w:val="22"/>
            <w:szCs w:val="22"/>
            <w:lang w:eastAsia="fr-CA"/>
          </w:rPr>
          <w:tab/>
        </w:r>
        <w:r w:rsidR="00C55A4B" w:rsidRPr="00FF503C">
          <w:rPr>
            <w:rStyle w:val="Hyperlink"/>
            <w:noProof/>
          </w:rPr>
          <w:t>Documents de référence juridiques</w:t>
        </w:r>
        <w:r w:rsidR="00C55A4B">
          <w:rPr>
            <w:noProof/>
            <w:webHidden/>
          </w:rPr>
          <w:tab/>
        </w:r>
        <w:r w:rsidR="00C55A4B">
          <w:rPr>
            <w:noProof/>
            <w:webHidden/>
          </w:rPr>
          <w:fldChar w:fldCharType="begin"/>
        </w:r>
        <w:r w:rsidR="00C55A4B">
          <w:rPr>
            <w:noProof/>
            <w:webHidden/>
          </w:rPr>
          <w:instrText xml:space="preserve"> PAGEREF _Toc45724817 \h </w:instrText>
        </w:r>
        <w:r w:rsidR="00C55A4B">
          <w:rPr>
            <w:noProof/>
            <w:webHidden/>
          </w:rPr>
        </w:r>
        <w:r w:rsidR="00C55A4B">
          <w:rPr>
            <w:noProof/>
            <w:webHidden/>
          </w:rPr>
          <w:fldChar w:fldCharType="separate"/>
        </w:r>
        <w:r w:rsidR="00D45808">
          <w:rPr>
            <w:noProof/>
            <w:webHidden/>
          </w:rPr>
          <w:t>19</w:t>
        </w:r>
        <w:r w:rsidR="00C55A4B">
          <w:rPr>
            <w:noProof/>
            <w:webHidden/>
          </w:rPr>
          <w:fldChar w:fldCharType="end"/>
        </w:r>
      </w:hyperlink>
    </w:p>
    <w:p w14:paraId="34EC1EF3" w14:textId="0DBD7DF2" w:rsidR="00C55A4B" w:rsidRDefault="00483354" w:rsidP="00FC2FA0">
      <w:pPr>
        <w:pStyle w:val="TOC1"/>
        <w:rPr>
          <w:rFonts w:asciiTheme="minorHAnsi" w:eastAsiaTheme="minorEastAsia" w:hAnsiTheme="minorHAnsi" w:cstheme="minorBidi"/>
          <w:noProof/>
          <w:sz w:val="22"/>
          <w:szCs w:val="22"/>
          <w:lang w:eastAsia="fr-CA"/>
        </w:rPr>
      </w:pPr>
      <w:hyperlink w:anchor="_Toc45724818" w:history="1">
        <w:r w:rsidR="00C55A4B" w:rsidRPr="00FF503C">
          <w:rPr>
            <w:rStyle w:val="Hyperlink"/>
            <w:noProof/>
          </w:rPr>
          <w:t>Annexe A – Zones de gestion des pêches (ZGP).</w:t>
        </w:r>
        <w:r w:rsidR="00C55A4B">
          <w:rPr>
            <w:noProof/>
            <w:webHidden/>
          </w:rPr>
          <w:tab/>
        </w:r>
        <w:r w:rsidR="00C55A4B">
          <w:rPr>
            <w:noProof/>
            <w:webHidden/>
          </w:rPr>
          <w:fldChar w:fldCharType="begin"/>
        </w:r>
        <w:r w:rsidR="00C55A4B">
          <w:rPr>
            <w:noProof/>
            <w:webHidden/>
          </w:rPr>
          <w:instrText xml:space="preserve"> PAGEREF _Toc45724818 \h </w:instrText>
        </w:r>
        <w:r w:rsidR="00C55A4B">
          <w:rPr>
            <w:noProof/>
            <w:webHidden/>
          </w:rPr>
        </w:r>
        <w:r w:rsidR="00C55A4B">
          <w:rPr>
            <w:noProof/>
            <w:webHidden/>
          </w:rPr>
          <w:fldChar w:fldCharType="separate"/>
        </w:r>
        <w:r w:rsidR="00D45808">
          <w:rPr>
            <w:noProof/>
            <w:webHidden/>
          </w:rPr>
          <w:t>20</w:t>
        </w:r>
        <w:r w:rsidR="00C55A4B">
          <w:rPr>
            <w:noProof/>
            <w:webHidden/>
          </w:rPr>
          <w:fldChar w:fldCharType="end"/>
        </w:r>
      </w:hyperlink>
    </w:p>
    <w:p w14:paraId="4D9FCEEF" w14:textId="78F2C321" w:rsidR="0003326A" w:rsidRPr="00FC2FA0" w:rsidRDefault="00C62295" w:rsidP="00FC2FA0">
      <w:pPr>
        <w:rPr>
          <w:b/>
        </w:rPr>
        <w:sectPr w:rsidR="0003326A" w:rsidRPr="00FC2FA0" w:rsidSect="00BD2345">
          <w:type w:val="continuous"/>
          <w:pgSz w:w="12240" w:h="15840"/>
          <w:pgMar w:top="1440" w:right="1800" w:bottom="1440" w:left="1800" w:header="720" w:footer="720" w:gutter="0"/>
          <w:pgNumType w:fmt="lowerRoman"/>
          <w:cols w:space="720"/>
          <w:docGrid w:linePitch="326"/>
        </w:sectPr>
      </w:pPr>
      <w:r w:rsidRPr="00107057">
        <w:rPr>
          <w:b/>
        </w:rPr>
        <w:fldChar w:fldCharType="end"/>
      </w:r>
    </w:p>
    <w:p w14:paraId="06D29533" w14:textId="2FE8FDDF" w:rsidR="00D514CC" w:rsidRPr="009D707B" w:rsidRDefault="00D514CC" w:rsidP="00A80EB3">
      <w:pPr>
        <w:pStyle w:val="Heading1"/>
      </w:pPr>
      <w:bookmarkStart w:id="3" w:name="_Toc473560467"/>
      <w:bookmarkStart w:id="4" w:name="_Toc45724793"/>
      <w:r>
        <w:lastRenderedPageBreak/>
        <w:t>Introduction</w:t>
      </w:r>
      <w:bookmarkEnd w:id="3"/>
      <w:bookmarkEnd w:id="4"/>
    </w:p>
    <w:p w14:paraId="57B267FE" w14:textId="4587C64A" w:rsidR="009C02EA" w:rsidRPr="009D707B" w:rsidRDefault="009C02EA" w:rsidP="00826C94">
      <w:pPr>
        <w:rPr>
          <w:rFonts w:eastAsia="MS PGothic" w:cs="Arial"/>
        </w:rPr>
      </w:pPr>
      <w:bookmarkStart w:id="5" w:name="_Toc389487989"/>
      <w:r>
        <w:t>Les ressources halieutiques de l’Ontario contribuent à raison de plus de 2,2 milliards de dollars à l’économie de la province et procurent du travail à environ 41 000 personnes chaque année.  Les pêches de l’Ontario procurent des aliments nutritifs ainsi que des loisirs, font partie intégrante de la culture et du mode de vie des populations autochtones et servent d’indicateurs de la qualité de l’environnement, en plus de contribuer au bien-être économique, social et environnemental de la province. La province recense plus d’un million de pêcheurs à la ligne titulaires d’un permis, et selon des estimations, entre 60 et 80 pour cent de ces pêcheurs utilisent des poissons-appâts vivants à un moment ou à un autre au cours de l’année. La récolte et l’utilisation de poissons-appâts vivants représentent un volet important de l’industrie ontarienne de la pêche depuis près d’un siècle.</w:t>
      </w:r>
    </w:p>
    <w:p w14:paraId="724C6A64" w14:textId="6297F096" w:rsidR="009C02EA" w:rsidRPr="009D707B" w:rsidRDefault="009C02EA" w:rsidP="009C02EA">
      <w:pPr>
        <w:rPr>
          <w:rFonts w:eastAsia="MS PGothic" w:cs="Arial"/>
        </w:rPr>
      </w:pPr>
      <w:r>
        <w:t xml:space="preserve">L’industrie commerciale des appâts en Ontario, la plus importante au Canada, a un long passé et délivre chaque année environ 1 100 permis de pêche commerciale d’appâts.  La valeur au détail de l’industrie des appâts, qui est estimée à 23 millions de dollars (2005), contribue aux millions de dollars engrangés par les industries de la pêche et du tourisme. </w:t>
      </w:r>
    </w:p>
    <w:p w14:paraId="565A42BE" w14:textId="2CF6F1E6" w:rsidR="003F60F6" w:rsidRDefault="00944309" w:rsidP="00CE51C4">
      <w:pPr>
        <w:rPr>
          <w:rFonts w:eastAsia="MS PGothic" w:cs="Arial"/>
        </w:rPr>
      </w:pPr>
      <w:r>
        <w:t xml:space="preserve">La gestion des ressources que constituent les poissons-appâts en Ontario est compliquée. L’utilisation des appâts est un vecteur qui contribue à la propagation possible des maladies d’origine halieutique (p. ex. la septicémie hémorragique virale [S.H.V.]) et des espèces envahissantes (p. ex. le gobie à taches noires) à l’échelle de l’Ontario. Les trajectoires empruntées par les appâts pourraient également donner lieu au déplacement occasionnel d’espèces indigènes (p. ex. la perchaude ou l’achigan) vers des eaux dans lesquelles elles ne sont pas naturellement présentes, ce qui pourrait perturber la dynamique de la communauté de poissons dans le plan d’eau de réception, en provoquant notamment la disparition d’espèces indigènes (p. ex. l’omble de fontaine).  </w:t>
      </w:r>
    </w:p>
    <w:p w14:paraId="1313BE94" w14:textId="18AAC585" w:rsidR="002455B1" w:rsidRPr="00107057" w:rsidRDefault="002455B1" w:rsidP="00CE51C4">
      <w:pPr>
        <w:rPr>
          <w:rFonts w:eastAsia="MS PGothic" w:cs="Arial"/>
        </w:rPr>
      </w:pPr>
      <w:r>
        <w:t>Les efforts à déployer afin d’atténuer les risques associés à la propagation d’espèces envahissantes et de maladies provoquée par l’utilisation et le déplacement des appâts est une responsabilité partagée entre toutes les parties concernées tout au long de la trajectoire des appâts, y compris les récoltants, les vendeurs et les pêcheurs à la ligne.</w:t>
      </w:r>
    </w:p>
    <w:p w14:paraId="5FBF4691" w14:textId="77777777" w:rsidR="00CE51C4" w:rsidRPr="00107057" w:rsidRDefault="00CE51C4" w:rsidP="00CE51C4">
      <w:pPr>
        <w:rPr>
          <w:rFonts w:eastAsia="MS PGothic" w:cs="Arial"/>
        </w:rPr>
      </w:pPr>
      <w:r>
        <w:t>Des espèces non visées et des maladies peuvent être introduites par la récolte ou l’utilisation d’appâts de plusieurs façons :</w:t>
      </w:r>
    </w:p>
    <w:p w14:paraId="480316D2" w14:textId="77777777" w:rsidR="00CE51C4" w:rsidRPr="00107057" w:rsidRDefault="00CE51C4" w:rsidP="00FD3030">
      <w:pPr>
        <w:pStyle w:val="ListParagraph"/>
        <w:numPr>
          <w:ilvl w:val="0"/>
          <w:numId w:val="2"/>
        </w:numPr>
        <w:spacing w:after="100" w:afterAutospacing="1" w:line="240" w:lineRule="auto"/>
        <w:rPr>
          <w:rFonts w:ascii="Arial" w:eastAsia="MS PGothic" w:hAnsi="Arial" w:cs="Arial"/>
          <w:sz w:val="24"/>
        </w:rPr>
      </w:pPr>
      <w:r>
        <w:rPr>
          <w:rFonts w:ascii="Arial" w:hAnsi="Arial"/>
          <w:sz w:val="24"/>
        </w:rPr>
        <w:t>Le déversement illégal du contenu des seaux à appâts, qui peuvent contenir des espèces attrapées par accident, par des pêcheurs à la ligne;</w:t>
      </w:r>
    </w:p>
    <w:p w14:paraId="398F5094" w14:textId="77777777" w:rsidR="00CE51C4" w:rsidRPr="00107057" w:rsidRDefault="00CE51C4" w:rsidP="00FD3030">
      <w:pPr>
        <w:pStyle w:val="ListParagraph"/>
        <w:numPr>
          <w:ilvl w:val="0"/>
          <w:numId w:val="2"/>
        </w:numPr>
        <w:spacing w:after="100" w:afterAutospacing="1" w:line="240" w:lineRule="auto"/>
        <w:rPr>
          <w:rFonts w:ascii="Arial" w:eastAsia="MS PGothic" w:hAnsi="Arial" w:cs="Arial"/>
          <w:sz w:val="24"/>
        </w:rPr>
      </w:pPr>
      <w:r>
        <w:rPr>
          <w:rFonts w:ascii="Arial" w:hAnsi="Arial"/>
          <w:sz w:val="24"/>
        </w:rPr>
        <w:t>L’échappement d’espèces non visées capturées de manière accidentelle hors des conteneurs utilisés par les pêcheurs à la ligne ou les exploitants commerciaux;</w:t>
      </w:r>
    </w:p>
    <w:p w14:paraId="4A1312E2" w14:textId="77777777" w:rsidR="00CE51C4" w:rsidRPr="00107057" w:rsidRDefault="00CE51C4" w:rsidP="00FD3030">
      <w:pPr>
        <w:pStyle w:val="ListParagraph"/>
        <w:numPr>
          <w:ilvl w:val="0"/>
          <w:numId w:val="2"/>
        </w:numPr>
        <w:spacing w:after="100" w:afterAutospacing="1" w:line="240" w:lineRule="auto"/>
        <w:rPr>
          <w:rFonts w:ascii="Arial" w:eastAsia="MS PGothic" w:hAnsi="Arial" w:cs="Arial"/>
          <w:sz w:val="24"/>
        </w:rPr>
      </w:pPr>
      <w:r>
        <w:rPr>
          <w:rFonts w:ascii="Arial" w:hAnsi="Arial"/>
          <w:sz w:val="24"/>
        </w:rPr>
        <w:lastRenderedPageBreak/>
        <w:t>Le transport d’espèces autres que des appâts (p. ex. le cladocère épineux, le myriophylle en épi) dans l’eau qui les contient ou sur du matériel de pêche.</w:t>
      </w:r>
    </w:p>
    <w:p w14:paraId="1BF70CDB" w14:textId="3EAABD5B" w:rsidR="008B6C4C" w:rsidRPr="00107057" w:rsidRDefault="008B6C4C" w:rsidP="008B6C4C">
      <w:pPr>
        <w:pStyle w:val="Heading2"/>
      </w:pPr>
      <w:bookmarkStart w:id="6" w:name="_Toc473560468"/>
      <w:bookmarkStart w:id="7" w:name="_Toc45724794"/>
      <w:r>
        <w:t>But</w:t>
      </w:r>
      <w:bookmarkEnd w:id="6"/>
      <w:r>
        <w:t xml:space="preserve"> et portée</w:t>
      </w:r>
      <w:bookmarkEnd w:id="7"/>
    </w:p>
    <w:p w14:paraId="1ACA5A9E" w14:textId="753E6481" w:rsidR="00BE7188" w:rsidRPr="009D707B" w:rsidRDefault="008B6C4C" w:rsidP="00413DD4">
      <w:r>
        <w:t xml:space="preserve">Le but de la présente politique stratégique est de proposer une orientation pour l’utilisation et la récolte durables des appâts (c.-à-d. les poissons-appâts et les sangsues) en Ontario.  Dans cette politique, le terme « appâts » fait référence à la fois aux poissons-appâts et aux sangsues (vivants ou morts). Il ne comprend pas les écrevisses, les grenouilles ou les vers. </w:t>
      </w:r>
    </w:p>
    <w:p w14:paraId="0B8E2C66" w14:textId="1C361C0F" w:rsidR="008B6C4C" w:rsidRPr="00107057" w:rsidRDefault="008B6C4C" w:rsidP="008B6C4C">
      <w:r>
        <w:t xml:space="preserve">L’orientation formulée dans la présente politique assure un juste équilibre entre les quatre objectifs suivants : </w:t>
      </w:r>
    </w:p>
    <w:p w14:paraId="6849FCB9" w14:textId="62DF296A" w:rsidR="008B6C4C" w:rsidRPr="00107057" w:rsidRDefault="008B6C4C" w:rsidP="00FD3030">
      <w:pPr>
        <w:pStyle w:val="ListParagraph"/>
        <w:numPr>
          <w:ilvl w:val="0"/>
          <w:numId w:val="3"/>
        </w:numPr>
        <w:rPr>
          <w:rFonts w:ascii="Arial" w:hAnsi="Arial" w:cs="Arial"/>
          <w:sz w:val="24"/>
        </w:rPr>
      </w:pPr>
      <w:r>
        <w:rPr>
          <w:rFonts w:ascii="Arial" w:hAnsi="Arial"/>
          <w:sz w:val="24"/>
        </w:rPr>
        <w:t xml:space="preserve">Protéger la vitalité des écosystèmes aquatiques; </w:t>
      </w:r>
    </w:p>
    <w:p w14:paraId="797143D5" w14:textId="2644A9AA" w:rsidR="008B6C4C" w:rsidRPr="00107057" w:rsidRDefault="008B6C4C" w:rsidP="00FD3030">
      <w:pPr>
        <w:pStyle w:val="ListParagraph"/>
        <w:numPr>
          <w:ilvl w:val="0"/>
          <w:numId w:val="3"/>
        </w:numPr>
        <w:rPr>
          <w:rFonts w:ascii="Arial" w:hAnsi="Arial" w:cs="Arial"/>
          <w:sz w:val="24"/>
        </w:rPr>
      </w:pPr>
      <w:r>
        <w:rPr>
          <w:rFonts w:ascii="Arial" w:hAnsi="Arial"/>
          <w:sz w:val="24"/>
        </w:rPr>
        <w:t xml:space="preserve">Améliorer la qualité de vie de la population ontarienne en lui offrant des avantages récréatifs, sociaux et économiques. </w:t>
      </w:r>
    </w:p>
    <w:p w14:paraId="09444189" w14:textId="4C67F645" w:rsidR="008B6C4C" w:rsidRPr="00107057" w:rsidRDefault="008B6C4C" w:rsidP="00FD3030">
      <w:pPr>
        <w:pStyle w:val="ListParagraph"/>
        <w:numPr>
          <w:ilvl w:val="0"/>
          <w:numId w:val="3"/>
        </w:numPr>
        <w:rPr>
          <w:rFonts w:ascii="Arial" w:hAnsi="Arial" w:cs="Arial"/>
          <w:sz w:val="24"/>
        </w:rPr>
      </w:pPr>
      <w:r>
        <w:rPr>
          <w:rFonts w:ascii="Arial" w:hAnsi="Arial"/>
          <w:sz w:val="24"/>
        </w:rPr>
        <w:t>Conserver les ressources que constituent les appâts et assurer la viabilité de cette industrie.</w:t>
      </w:r>
    </w:p>
    <w:p w14:paraId="1A92E1B0" w14:textId="5C76CA9D" w:rsidR="008B6C4C" w:rsidRPr="00107057" w:rsidRDefault="008B6C4C" w:rsidP="00FD3030">
      <w:pPr>
        <w:pStyle w:val="ListParagraph"/>
        <w:numPr>
          <w:ilvl w:val="0"/>
          <w:numId w:val="3"/>
        </w:numPr>
        <w:rPr>
          <w:rFonts w:ascii="Arial" w:hAnsi="Arial" w:cs="Arial"/>
          <w:sz w:val="24"/>
        </w:rPr>
      </w:pPr>
      <w:r>
        <w:rPr>
          <w:rFonts w:ascii="Arial" w:hAnsi="Arial"/>
          <w:sz w:val="24"/>
        </w:rPr>
        <w:t>Élaborer des politiques qui sont adaptables, efficaces, uniformes dans toute la province, et simples à mettre en œuvre.</w:t>
      </w:r>
    </w:p>
    <w:p w14:paraId="54F7EC43" w14:textId="7BA749A5" w:rsidR="0047081B" w:rsidRPr="009D707B" w:rsidRDefault="009C006A" w:rsidP="00B0204A">
      <w:bookmarkStart w:id="8" w:name="_Toc389487990"/>
      <w:bookmarkEnd w:id="5"/>
      <w:r>
        <w:t xml:space="preserve">L’orientation énoncée dans la présente politique s’applique à l’échelle provinciale, sauf indication contraire. Cette orientation s’ajoute aux règlements existants sur l’utilisation ou la récolte des appâts pour les régions et les lacs précisés sans toutefois les éliminer (p. ex. l’interdiction actuelle de posséder et d’utiliser dans la zone de gestion des pêches (ZGP) 1, les restrictions imposées sur la récolte commerciale dans la ZGP 9). </w:t>
      </w:r>
    </w:p>
    <w:p w14:paraId="0939B920" w14:textId="77777777" w:rsidR="008B0DD8" w:rsidRPr="00107057" w:rsidRDefault="008B0DD8" w:rsidP="008B6C4C">
      <w:pPr>
        <w:pStyle w:val="Heading2"/>
      </w:pPr>
      <w:bookmarkStart w:id="9" w:name="_Toc473560471"/>
      <w:bookmarkStart w:id="10" w:name="_Toc45724795"/>
      <w:r>
        <w:t>Contexte réglementaire</w:t>
      </w:r>
      <w:bookmarkEnd w:id="9"/>
      <w:bookmarkEnd w:id="10"/>
    </w:p>
    <w:p w14:paraId="067FBA19" w14:textId="0604BD6E" w:rsidR="00563FE1" w:rsidRPr="00396DBD" w:rsidRDefault="003013E9" w:rsidP="003013E9">
      <w:pPr>
        <w:rPr>
          <w:rFonts w:cs="Arial"/>
        </w:rPr>
      </w:pPr>
      <w:r>
        <w:t xml:space="preserve">La réglementation de l’Ontario qui régit la gestion des appâts au palier provincial est fondée sur deux textes législatifs clés : la </w:t>
      </w:r>
      <w:r>
        <w:rPr>
          <w:i/>
          <w:iCs/>
        </w:rPr>
        <w:t>Loi sur les pêches fédérale</w:t>
      </w:r>
      <w:r>
        <w:t xml:space="preserve"> (mise en œuvre dans le Règlement de pêche de l’Ontario (2007) [RPO]) et la </w:t>
      </w:r>
      <w:r>
        <w:rPr>
          <w:i/>
          <w:iCs/>
        </w:rPr>
        <w:t>Loi de 1997 sur la protection du poisson et de la faune</w:t>
      </w:r>
      <w:r>
        <w:t xml:space="preserve"> (LPPF). Les politiques et les lignes directrices provinciales donnent une orientation opérationnelle pour la gestion des permis de pêche commerciale d’appâts. Afin de mettre en place l’orientation indiquée dans le présent document, on exigera la création de nouveaux règlements ou l’apport de modifications aux règlements existants. Ces démarches s’étendront sur une période d’un à trois ans. </w:t>
      </w:r>
    </w:p>
    <w:p w14:paraId="5CA5205D" w14:textId="1CAF00C5" w:rsidR="00DA5905" w:rsidRPr="00396DBD" w:rsidRDefault="00A95889" w:rsidP="005129B7">
      <w:pPr>
        <w:spacing w:after="0"/>
      </w:pPr>
      <w:bookmarkStart w:id="11" w:name="_Hlk17287638"/>
      <w:r>
        <w:t xml:space="preserve">Le MRNF, qui respecte les droits des Autochtones et issus des traités qui sont reconnus et affirmés par l’article 35 de la </w:t>
      </w:r>
      <w:r>
        <w:rPr>
          <w:i/>
          <w:iCs/>
        </w:rPr>
        <w:t>Loi constitutionnelle de 1982</w:t>
      </w:r>
      <w:r>
        <w:t xml:space="preserve">, s’est engagé à remplir ses devoirs constitutionnels ainsi que ses autres obligations juridiques à l’égard des peuples autochtones. Le Ministère continuera de </w:t>
      </w:r>
      <w:r>
        <w:lastRenderedPageBreak/>
        <w:t>collaborer avec les communautés des Premières Nations et des Métis afin d’atteindre les objectifs mutuels pour la gestion des appâts en Ontario.</w:t>
      </w:r>
    </w:p>
    <w:bookmarkEnd w:id="11"/>
    <w:p w14:paraId="6CC90B82" w14:textId="77777777" w:rsidR="008B0DD8" w:rsidRPr="00C55A4B" w:rsidRDefault="008B0DD8" w:rsidP="00516A1C">
      <w:pPr>
        <w:spacing w:after="0"/>
      </w:pPr>
    </w:p>
    <w:p w14:paraId="77CB5B8E" w14:textId="0453B4B3" w:rsidR="0033508C" w:rsidRPr="009D707B" w:rsidRDefault="00F42E87" w:rsidP="00F035E4">
      <w:pPr>
        <w:pStyle w:val="Heading1"/>
      </w:pPr>
      <w:bookmarkStart w:id="12" w:name="_Toc473560472"/>
      <w:bookmarkStart w:id="13" w:name="_Toc45724796"/>
      <w:bookmarkEnd w:id="8"/>
      <w:r>
        <w:t>Espèces d’appâts autorisées et limites de possession</w:t>
      </w:r>
      <w:bookmarkEnd w:id="12"/>
      <w:bookmarkEnd w:id="13"/>
      <w:r>
        <w:t xml:space="preserve"> </w:t>
      </w:r>
    </w:p>
    <w:p w14:paraId="4F8454FD" w14:textId="77777777" w:rsidR="008B6C4C" w:rsidRPr="009D707B" w:rsidRDefault="001205E9" w:rsidP="008B6C4C">
      <w:pPr>
        <w:pStyle w:val="Heading2"/>
      </w:pPr>
      <w:bookmarkStart w:id="14" w:name="_Toc473560473"/>
      <w:bookmarkStart w:id="15" w:name="_Toc45724797"/>
      <w:r>
        <w:t>Espèces d’appâts autorisées</w:t>
      </w:r>
      <w:bookmarkEnd w:id="14"/>
      <w:bookmarkEnd w:id="15"/>
    </w:p>
    <w:p w14:paraId="45520728" w14:textId="34890EAB" w:rsidR="005F0F09" w:rsidRDefault="00AB5A14" w:rsidP="0033508C">
      <w:r>
        <w:t>On recense plus de 165 espèces halieutiques en Ontario. Bien qu’un grand nombre d’entre elles soient indigènes à l’Ontario, d’autres y ont été introduites. Il peut être difficile de faire la distinction entre des espèces courantes d’appâts, des poissons de sport et des espèces de poissons envahissantes ou en péril. Le fait de limiter la liste des espèces qui pourraient servir d’appâts réduit au minimum le risque de déplacement des espèces non visées à travers le paysage.</w:t>
      </w:r>
    </w:p>
    <w:p w14:paraId="54EEC5F8" w14:textId="042C1016" w:rsidR="009F6E02" w:rsidRPr="00516A1C" w:rsidRDefault="00F02318" w:rsidP="00912DEF">
      <w:pPr>
        <w:rPr>
          <w:b/>
        </w:rPr>
        <w:sectPr w:rsidR="009F6E02" w:rsidRPr="00516A1C" w:rsidSect="00DA3243">
          <w:footerReference w:type="default" r:id="rId18"/>
          <w:type w:val="continuous"/>
          <w:pgSz w:w="12240" w:h="15840"/>
          <w:pgMar w:top="1440" w:right="1800" w:bottom="1440" w:left="1800" w:header="720" w:footer="720" w:gutter="0"/>
          <w:pgNumType w:start="1"/>
          <w:cols w:space="720"/>
          <w:docGrid w:linePitch="326"/>
        </w:sectPr>
      </w:pPr>
      <w:r>
        <w:rPr>
          <w:b/>
        </w:rPr>
        <w:t>Voici la liste des 34 espèces de poissons qui peuvent servir d’appâts en Ontario :</w:t>
      </w:r>
    </w:p>
    <w:p w14:paraId="672DA291" w14:textId="77777777" w:rsidR="007771D4" w:rsidRPr="009D707B" w:rsidRDefault="007771D4" w:rsidP="00912DEF">
      <w:pPr>
        <w:pStyle w:val="ListParagraph"/>
        <w:ind w:left="360"/>
        <w:rPr>
          <w:rFonts w:ascii="Arial" w:hAnsi="Arial" w:cs="Arial"/>
          <w:b/>
          <w:sz w:val="24"/>
        </w:rPr>
      </w:pPr>
      <w:r>
        <w:rPr>
          <w:rFonts w:ascii="Arial" w:hAnsi="Arial"/>
          <w:b/>
          <w:sz w:val="24"/>
        </w:rPr>
        <w:t xml:space="preserve">Les </w:t>
      </w:r>
      <w:proofErr w:type="spellStart"/>
      <w:r>
        <w:rPr>
          <w:rFonts w:ascii="Arial" w:hAnsi="Arial"/>
          <w:b/>
          <w:sz w:val="24"/>
        </w:rPr>
        <w:t>ménés</w:t>
      </w:r>
      <w:proofErr w:type="spellEnd"/>
    </w:p>
    <w:p w14:paraId="5CC28EF5" w14:textId="77777777" w:rsidR="009F6E02" w:rsidRPr="009D707B" w:rsidRDefault="009F6E02" w:rsidP="00FD3030">
      <w:pPr>
        <w:pStyle w:val="ListParagraph"/>
        <w:numPr>
          <w:ilvl w:val="0"/>
          <w:numId w:val="7"/>
        </w:numPr>
        <w:rPr>
          <w:rFonts w:ascii="Arial" w:hAnsi="Arial" w:cs="Arial"/>
          <w:sz w:val="24"/>
        </w:rPr>
      </w:pPr>
      <w:r>
        <w:rPr>
          <w:rFonts w:ascii="Arial" w:hAnsi="Arial"/>
          <w:sz w:val="24"/>
        </w:rPr>
        <w:t xml:space="preserve">Le </w:t>
      </w:r>
      <w:proofErr w:type="spellStart"/>
      <w:r>
        <w:rPr>
          <w:rFonts w:ascii="Arial" w:hAnsi="Arial"/>
          <w:sz w:val="24"/>
        </w:rPr>
        <w:t>naseux</w:t>
      </w:r>
      <w:proofErr w:type="spellEnd"/>
      <w:r>
        <w:rPr>
          <w:rFonts w:ascii="Arial" w:hAnsi="Arial"/>
          <w:sz w:val="24"/>
        </w:rPr>
        <w:t xml:space="preserve"> noir</w:t>
      </w:r>
    </w:p>
    <w:p w14:paraId="2EF337A1" w14:textId="77777777" w:rsidR="009F6E02" w:rsidRPr="009D707B" w:rsidRDefault="009F6E02" w:rsidP="00FD3030">
      <w:pPr>
        <w:pStyle w:val="ListParagraph"/>
        <w:numPr>
          <w:ilvl w:val="0"/>
          <w:numId w:val="7"/>
        </w:numPr>
        <w:rPr>
          <w:rFonts w:ascii="Arial" w:hAnsi="Arial" w:cs="Arial"/>
          <w:sz w:val="24"/>
        </w:rPr>
      </w:pPr>
      <w:r>
        <w:rPr>
          <w:rFonts w:ascii="Arial" w:hAnsi="Arial"/>
          <w:sz w:val="24"/>
        </w:rPr>
        <w:t>Le museau noir</w:t>
      </w:r>
    </w:p>
    <w:p w14:paraId="43A9E12C" w14:textId="77777777" w:rsidR="009F6E02" w:rsidRPr="009D707B" w:rsidRDefault="009F6E02" w:rsidP="00FD3030">
      <w:pPr>
        <w:pStyle w:val="ListParagraph"/>
        <w:numPr>
          <w:ilvl w:val="0"/>
          <w:numId w:val="7"/>
        </w:numPr>
        <w:rPr>
          <w:rFonts w:ascii="Arial" w:hAnsi="Arial" w:cs="Arial"/>
          <w:sz w:val="24"/>
        </w:rPr>
      </w:pPr>
      <w:r>
        <w:rPr>
          <w:rFonts w:ascii="Arial" w:hAnsi="Arial"/>
          <w:sz w:val="24"/>
        </w:rPr>
        <w:t>Le menton noir</w:t>
      </w:r>
    </w:p>
    <w:p w14:paraId="67302BF9" w14:textId="77777777" w:rsidR="009F6E02" w:rsidRPr="009D707B" w:rsidRDefault="009F6E02" w:rsidP="00FD3030">
      <w:pPr>
        <w:pStyle w:val="ListParagraph"/>
        <w:numPr>
          <w:ilvl w:val="0"/>
          <w:numId w:val="7"/>
        </w:numPr>
        <w:rPr>
          <w:rFonts w:ascii="Arial" w:hAnsi="Arial" w:cs="Arial"/>
          <w:sz w:val="24"/>
        </w:rPr>
      </w:pPr>
      <w:r>
        <w:rPr>
          <w:rFonts w:ascii="Arial" w:hAnsi="Arial"/>
          <w:sz w:val="24"/>
        </w:rPr>
        <w:t>Le ventre-pourri</w:t>
      </w:r>
    </w:p>
    <w:p w14:paraId="3E13EB3D" w14:textId="77777777" w:rsidR="009F6E02" w:rsidRPr="009D707B" w:rsidRDefault="009F6E02" w:rsidP="00FD3030">
      <w:pPr>
        <w:pStyle w:val="ListParagraph"/>
        <w:numPr>
          <w:ilvl w:val="0"/>
          <w:numId w:val="7"/>
        </w:numPr>
        <w:rPr>
          <w:rFonts w:ascii="Arial" w:hAnsi="Arial" w:cs="Arial"/>
          <w:sz w:val="24"/>
        </w:rPr>
      </w:pPr>
      <w:r>
        <w:rPr>
          <w:rFonts w:ascii="Arial" w:hAnsi="Arial"/>
          <w:sz w:val="24"/>
        </w:rPr>
        <w:t xml:space="preserve">Le </w:t>
      </w:r>
      <w:proofErr w:type="spellStart"/>
      <w:r>
        <w:rPr>
          <w:rFonts w:ascii="Arial" w:hAnsi="Arial"/>
          <w:sz w:val="24"/>
        </w:rPr>
        <w:t>méné</w:t>
      </w:r>
      <w:proofErr w:type="spellEnd"/>
      <w:r>
        <w:rPr>
          <w:rFonts w:ascii="Arial" w:hAnsi="Arial"/>
          <w:sz w:val="24"/>
        </w:rPr>
        <w:t xml:space="preserve"> laiton</w:t>
      </w:r>
    </w:p>
    <w:p w14:paraId="1D345FB3" w14:textId="77777777" w:rsidR="009F6E02" w:rsidRPr="009D707B" w:rsidRDefault="009F6E02" w:rsidP="00FD3030">
      <w:pPr>
        <w:pStyle w:val="ListParagraph"/>
        <w:numPr>
          <w:ilvl w:val="0"/>
          <w:numId w:val="7"/>
        </w:numPr>
        <w:rPr>
          <w:rFonts w:ascii="Arial" w:hAnsi="Arial" w:cs="Arial"/>
          <w:sz w:val="24"/>
        </w:rPr>
      </w:pPr>
      <w:r>
        <w:rPr>
          <w:rFonts w:ascii="Arial" w:hAnsi="Arial"/>
          <w:sz w:val="24"/>
        </w:rPr>
        <w:t>Le roule-caillou</w:t>
      </w:r>
    </w:p>
    <w:p w14:paraId="7D481603" w14:textId="77777777" w:rsidR="009F6E02" w:rsidRPr="009D707B" w:rsidRDefault="009F6E02" w:rsidP="00FD3030">
      <w:pPr>
        <w:pStyle w:val="ListParagraph"/>
        <w:numPr>
          <w:ilvl w:val="0"/>
          <w:numId w:val="7"/>
        </w:numPr>
        <w:rPr>
          <w:rFonts w:ascii="Arial" w:hAnsi="Arial" w:cs="Arial"/>
          <w:sz w:val="24"/>
        </w:rPr>
      </w:pPr>
      <w:r>
        <w:rPr>
          <w:rFonts w:ascii="Arial" w:hAnsi="Arial"/>
          <w:sz w:val="24"/>
        </w:rPr>
        <w:t>Le mené à nageoires rouges</w:t>
      </w:r>
    </w:p>
    <w:p w14:paraId="518175F0" w14:textId="77777777" w:rsidR="009F6E02" w:rsidRPr="009D707B" w:rsidRDefault="009F6E02" w:rsidP="00FD3030">
      <w:pPr>
        <w:pStyle w:val="ListParagraph"/>
        <w:numPr>
          <w:ilvl w:val="0"/>
          <w:numId w:val="7"/>
        </w:numPr>
        <w:rPr>
          <w:rFonts w:ascii="Arial" w:hAnsi="Arial" w:cs="Arial"/>
          <w:sz w:val="24"/>
        </w:rPr>
      </w:pPr>
      <w:r>
        <w:rPr>
          <w:rFonts w:ascii="Arial" w:hAnsi="Arial"/>
          <w:sz w:val="24"/>
        </w:rPr>
        <w:t>Le mulot à cornes</w:t>
      </w:r>
    </w:p>
    <w:p w14:paraId="6E9653F9" w14:textId="77777777" w:rsidR="009F6E02" w:rsidRPr="009D707B" w:rsidRDefault="009F6E02" w:rsidP="00FD3030">
      <w:pPr>
        <w:pStyle w:val="ListParagraph"/>
        <w:numPr>
          <w:ilvl w:val="0"/>
          <w:numId w:val="7"/>
        </w:numPr>
        <w:rPr>
          <w:rFonts w:ascii="Arial" w:hAnsi="Arial" w:cs="Arial"/>
          <w:sz w:val="24"/>
        </w:rPr>
      </w:pPr>
      <w:r>
        <w:rPr>
          <w:rFonts w:ascii="Arial" w:hAnsi="Arial"/>
          <w:sz w:val="24"/>
        </w:rPr>
        <w:t xml:space="preserve">Le </w:t>
      </w:r>
      <w:proofErr w:type="spellStart"/>
      <w:r>
        <w:rPr>
          <w:rFonts w:ascii="Arial" w:hAnsi="Arial"/>
          <w:sz w:val="24"/>
        </w:rPr>
        <w:t>méné</w:t>
      </w:r>
      <w:proofErr w:type="spellEnd"/>
      <w:r>
        <w:rPr>
          <w:rFonts w:ascii="Arial" w:hAnsi="Arial"/>
          <w:sz w:val="24"/>
        </w:rPr>
        <w:t xml:space="preserve"> émeraude</w:t>
      </w:r>
    </w:p>
    <w:p w14:paraId="182064DB" w14:textId="77777777" w:rsidR="009F6E02" w:rsidRPr="009D707B" w:rsidRDefault="009F6E02" w:rsidP="00FD3030">
      <w:pPr>
        <w:pStyle w:val="ListParagraph"/>
        <w:numPr>
          <w:ilvl w:val="0"/>
          <w:numId w:val="7"/>
        </w:numPr>
        <w:rPr>
          <w:rFonts w:ascii="Arial" w:hAnsi="Arial" w:cs="Arial"/>
          <w:sz w:val="24"/>
        </w:rPr>
      </w:pPr>
      <w:r>
        <w:rPr>
          <w:rFonts w:ascii="Arial" w:hAnsi="Arial"/>
          <w:sz w:val="24"/>
        </w:rPr>
        <w:t xml:space="preserve">La </w:t>
      </w:r>
      <w:proofErr w:type="spellStart"/>
      <w:r>
        <w:rPr>
          <w:rFonts w:ascii="Arial" w:hAnsi="Arial"/>
          <w:sz w:val="24"/>
        </w:rPr>
        <w:t>ouitouche</w:t>
      </w:r>
      <w:proofErr w:type="spellEnd"/>
    </w:p>
    <w:p w14:paraId="2DC9E087" w14:textId="77777777" w:rsidR="009F6E02" w:rsidRPr="009D707B" w:rsidRDefault="009F6E02" w:rsidP="00FD3030">
      <w:pPr>
        <w:pStyle w:val="ListParagraph"/>
        <w:numPr>
          <w:ilvl w:val="0"/>
          <w:numId w:val="7"/>
        </w:numPr>
        <w:rPr>
          <w:rFonts w:ascii="Arial" w:hAnsi="Arial" w:cs="Arial"/>
          <w:sz w:val="24"/>
        </w:rPr>
      </w:pPr>
      <w:r>
        <w:rPr>
          <w:rFonts w:ascii="Arial" w:hAnsi="Arial"/>
          <w:sz w:val="24"/>
        </w:rPr>
        <w:t xml:space="preserve">Le </w:t>
      </w:r>
      <w:proofErr w:type="spellStart"/>
      <w:r>
        <w:rPr>
          <w:rFonts w:ascii="Arial" w:hAnsi="Arial"/>
          <w:sz w:val="24"/>
        </w:rPr>
        <w:t>méné</w:t>
      </w:r>
      <w:proofErr w:type="spellEnd"/>
      <w:r>
        <w:rPr>
          <w:rFonts w:ascii="Arial" w:hAnsi="Arial"/>
          <w:sz w:val="24"/>
        </w:rPr>
        <w:t xml:space="preserve"> à grosse tête du Nord</w:t>
      </w:r>
    </w:p>
    <w:p w14:paraId="34B77303" w14:textId="77777777" w:rsidR="009F6E02" w:rsidRPr="009D707B" w:rsidRDefault="009F6E02" w:rsidP="00FD3030">
      <w:pPr>
        <w:pStyle w:val="ListParagraph"/>
        <w:numPr>
          <w:ilvl w:val="0"/>
          <w:numId w:val="7"/>
        </w:numPr>
        <w:rPr>
          <w:rFonts w:ascii="Arial" w:hAnsi="Arial" w:cs="Arial"/>
          <w:sz w:val="24"/>
        </w:rPr>
      </w:pPr>
      <w:r>
        <w:rPr>
          <w:rFonts w:ascii="Arial" w:hAnsi="Arial"/>
          <w:sz w:val="24"/>
        </w:rPr>
        <w:t>Le ventre citron</w:t>
      </w:r>
    </w:p>
    <w:p w14:paraId="7CC3F701" w14:textId="77777777" w:rsidR="009F6E02" w:rsidRPr="009D707B" w:rsidRDefault="009F6E02" w:rsidP="00FD3030">
      <w:pPr>
        <w:pStyle w:val="ListParagraph"/>
        <w:numPr>
          <w:ilvl w:val="0"/>
          <w:numId w:val="7"/>
        </w:numPr>
        <w:rPr>
          <w:rFonts w:ascii="Arial" w:hAnsi="Arial" w:cs="Arial"/>
          <w:sz w:val="24"/>
        </w:rPr>
      </w:pPr>
      <w:r>
        <w:rPr>
          <w:rFonts w:ascii="Arial" w:hAnsi="Arial"/>
          <w:sz w:val="24"/>
        </w:rPr>
        <w:t xml:space="preserve">Le </w:t>
      </w:r>
      <w:proofErr w:type="spellStart"/>
      <w:r>
        <w:rPr>
          <w:rFonts w:ascii="Arial" w:hAnsi="Arial"/>
          <w:sz w:val="24"/>
        </w:rPr>
        <w:t>méné</w:t>
      </w:r>
      <w:proofErr w:type="spellEnd"/>
      <w:r>
        <w:rPr>
          <w:rFonts w:ascii="Arial" w:hAnsi="Arial"/>
          <w:sz w:val="24"/>
        </w:rPr>
        <w:t xml:space="preserve"> jaune</w:t>
      </w:r>
    </w:p>
    <w:p w14:paraId="04E7D50E" w14:textId="77777777" w:rsidR="009F6E02" w:rsidRPr="009D707B" w:rsidRDefault="009F6E02" w:rsidP="00FD3030">
      <w:pPr>
        <w:pStyle w:val="ListParagraph"/>
        <w:numPr>
          <w:ilvl w:val="0"/>
          <w:numId w:val="7"/>
        </w:numPr>
        <w:rPr>
          <w:rFonts w:ascii="Arial" w:hAnsi="Arial" w:cs="Arial"/>
          <w:sz w:val="24"/>
        </w:rPr>
      </w:pPr>
      <w:r>
        <w:rPr>
          <w:rFonts w:ascii="Arial" w:hAnsi="Arial"/>
          <w:sz w:val="24"/>
        </w:rPr>
        <w:t>La tête à taches rouges</w:t>
      </w:r>
    </w:p>
    <w:p w14:paraId="4CE53EF2" w14:textId="77777777" w:rsidR="009F6E02" w:rsidRPr="009D707B" w:rsidRDefault="009F6E02" w:rsidP="00FD3030">
      <w:pPr>
        <w:pStyle w:val="ListParagraph"/>
        <w:numPr>
          <w:ilvl w:val="0"/>
          <w:numId w:val="7"/>
        </w:numPr>
        <w:rPr>
          <w:rFonts w:ascii="Arial" w:hAnsi="Arial" w:cs="Arial"/>
          <w:sz w:val="24"/>
        </w:rPr>
      </w:pPr>
      <w:r>
        <w:rPr>
          <w:rFonts w:ascii="Arial" w:hAnsi="Arial"/>
          <w:sz w:val="24"/>
        </w:rPr>
        <w:t xml:space="preserve">Le </w:t>
      </w:r>
      <w:proofErr w:type="spellStart"/>
      <w:r>
        <w:rPr>
          <w:rFonts w:ascii="Arial" w:hAnsi="Arial"/>
          <w:sz w:val="24"/>
        </w:rPr>
        <w:t>méné</w:t>
      </w:r>
      <w:proofErr w:type="spellEnd"/>
      <w:r>
        <w:rPr>
          <w:rFonts w:ascii="Arial" w:hAnsi="Arial"/>
          <w:sz w:val="24"/>
        </w:rPr>
        <w:t xml:space="preserve"> de lac</w:t>
      </w:r>
    </w:p>
    <w:p w14:paraId="11ACA0FC" w14:textId="77777777" w:rsidR="009F6E02" w:rsidRPr="009D707B" w:rsidRDefault="009F6E02" w:rsidP="00FD3030">
      <w:pPr>
        <w:pStyle w:val="ListParagraph"/>
        <w:numPr>
          <w:ilvl w:val="0"/>
          <w:numId w:val="7"/>
        </w:numPr>
        <w:rPr>
          <w:rFonts w:ascii="Arial" w:hAnsi="Arial" w:cs="Arial"/>
          <w:sz w:val="24"/>
        </w:rPr>
      </w:pPr>
      <w:r>
        <w:rPr>
          <w:rFonts w:ascii="Arial" w:hAnsi="Arial"/>
          <w:sz w:val="24"/>
        </w:rPr>
        <w:t xml:space="preserve">Le </w:t>
      </w:r>
      <w:proofErr w:type="spellStart"/>
      <w:r>
        <w:rPr>
          <w:rFonts w:ascii="Arial" w:hAnsi="Arial"/>
          <w:sz w:val="24"/>
        </w:rPr>
        <w:t>naseux</w:t>
      </w:r>
      <w:proofErr w:type="spellEnd"/>
      <w:r>
        <w:rPr>
          <w:rFonts w:ascii="Arial" w:hAnsi="Arial"/>
          <w:sz w:val="24"/>
        </w:rPr>
        <w:t xml:space="preserve"> des rapides</w:t>
      </w:r>
    </w:p>
    <w:p w14:paraId="26A89992" w14:textId="77777777" w:rsidR="0089425A" w:rsidRPr="009D707B" w:rsidRDefault="007771D4" w:rsidP="00912DEF">
      <w:pPr>
        <w:pStyle w:val="ListParagraph"/>
        <w:numPr>
          <w:ilvl w:val="0"/>
          <w:numId w:val="7"/>
        </w:numPr>
        <w:rPr>
          <w:rFonts w:ascii="Arial" w:hAnsi="Arial" w:cs="Arial"/>
          <w:sz w:val="24"/>
        </w:rPr>
      </w:pPr>
      <w:r>
        <w:rPr>
          <w:rFonts w:ascii="Arial" w:hAnsi="Arial"/>
          <w:sz w:val="24"/>
        </w:rPr>
        <w:t xml:space="preserve">Le </w:t>
      </w:r>
      <w:proofErr w:type="spellStart"/>
      <w:r>
        <w:rPr>
          <w:rFonts w:ascii="Arial" w:hAnsi="Arial"/>
          <w:sz w:val="24"/>
        </w:rPr>
        <w:t>méné</w:t>
      </w:r>
      <w:proofErr w:type="spellEnd"/>
      <w:r>
        <w:rPr>
          <w:rFonts w:ascii="Arial" w:hAnsi="Arial"/>
          <w:sz w:val="24"/>
        </w:rPr>
        <w:t xml:space="preserve"> pâle</w:t>
      </w:r>
    </w:p>
    <w:p w14:paraId="2D184E75" w14:textId="77777777" w:rsidR="00AD1C3E" w:rsidRPr="009D707B" w:rsidRDefault="0089425A" w:rsidP="00FD3030">
      <w:pPr>
        <w:pStyle w:val="ListParagraph"/>
        <w:numPr>
          <w:ilvl w:val="0"/>
          <w:numId w:val="7"/>
        </w:numPr>
        <w:rPr>
          <w:rFonts w:ascii="Arial" w:hAnsi="Arial" w:cs="Arial"/>
          <w:sz w:val="24"/>
        </w:rPr>
      </w:pPr>
      <w:r>
        <w:rPr>
          <w:rFonts w:ascii="Arial" w:hAnsi="Arial"/>
          <w:sz w:val="24"/>
        </w:rPr>
        <w:t>Le ventre rouge du Nord</w:t>
      </w:r>
    </w:p>
    <w:p w14:paraId="18869EDF" w14:textId="0F2FA6B2" w:rsidR="00415A84" w:rsidRPr="009D707B" w:rsidRDefault="00A16C8B" w:rsidP="00FD3030">
      <w:pPr>
        <w:pStyle w:val="ListParagraph"/>
        <w:numPr>
          <w:ilvl w:val="0"/>
          <w:numId w:val="7"/>
        </w:numPr>
        <w:rPr>
          <w:rFonts w:ascii="Arial" w:hAnsi="Arial" w:cs="Arial"/>
          <w:sz w:val="24"/>
        </w:rPr>
      </w:pPr>
      <w:r>
        <w:rPr>
          <w:rFonts w:ascii="Arial" w:hAnsi="Arial"/>
          <w:sz w:val="24"/>
        </w:rPr>
        <w:t>Le mulet perlé du Nord</w:t>
      </w:r>
    </w:p>
    <w:p w14:paraId="7F89859C" w14:textId="77777777" w:rsidR="009F6E02" w:rsidRPr="009D707B" w:rsidRDefault="009F6E02" w:rsidP="00FD3030">
      <w:pPr>
        <w:pStyle w:val="ListParagraph"/>
        <w:numPr>
          <w:ilvl w:val="0"/>
          <w:numId w:val="7"/>
        </w:numPr>
        <w:rPr>
          <w:rFonts w:ascii="Arial" w:hAnsi="Arial" w:cs="Arial"/>
          <w:sz w:val="24"/>
        </w:rPr>
      </w:pPr>
      <w:r>
        <w:rPr>
          <w:rFonts w:ascii="Arial" w:hAnsi="Arial"/>
          <w:sz w:val="24"/>
        </w:rPr>
        <w:t xml:space="preserve">Le </w:t>
      </w:r>
      <w:proofErr w:type="spellStart"/>
      <w:r>
        <w:rPr>
          <w:rFonts w:ascii="Arial" w:hAnsi="Arial"/>
          <w:sz w:val="24"/>
        </w:rPr>
        <w:t>méné</w:t>
      </w:r>
      <w:proofErr w:type="spellEnd"/>
      <w:r>
        <w:rPr>
          <w:rFonts w:ascii="Arial" w:hAnsi="Arial"/>
          <w:sz w:val="24"/>
        </w:rPr>
        <w:t xml:space="preserve"> d’ombre</w:t>
      </w:r>
    </w:p>
    <w:p w14:paraId="59D79F24" w14:textId="77777777" w:rsidR="009F6E02" w:rsidRPr="009D707B" w:rsidRDefault="009F6E02" w:rsidP="00FD3030">
      <w:pPr>
        <w:pStyle w:val="ListParagraph"/>
        <w:numPr>
          <w:ilvl w:val="0"/>
          <w:numId w:val="7"/>
        </w:numPr>
        <w:rPr>
          <w:rFonts w:ascii="Arial" w:hAnsi="Arial" w:cs="Arial"/>
          <w:sz w:val="24"/>
        </w:rPr>
      </w:pPr>
      <w:r>
        <w:rPr>
          <w:rFonts w:ascii="Arial" w:hAnsi="Arial"/>
          <w:sz w:val="24"/>
        </w:rPr>
        <w:t xml:space="preserve">Le </w:t>
      </w:r>
      <w:proofErr w:type="spellStart"/>
      <w:r>
        <w:rPr>
          <w:rFonts w:ascii="Arial" w:hAnsi="Arial"/>
          <w:sz w:val="24"/>
        </w:rPr>
        <w:t>méné</w:t>
      </w:r>
      <w:proofErr w:type="spellEnd"/>
      <w:r>
        <w:rPr>
          <w:rFonts w:ascii="Arial" w:hAnsi="Arial"/>
          <w:sz w:val="24"/>
        </w:rPr>
        <w:t xml:space="preserve"> bâton</w:t>
      </w:r>
    </w:p>
    <w:p w14:paraId="40011074" w14:textId="77777777" w:rsidR="009F6E02" w:rsidRPr="009D707B" w:rsidRDefault="009F6E02" w:rsidP="00FD3030">
      <w:pPr>
        <w:pStyle w:val="ListParagraph"/>
        <w:numPr>
          <w:ilvl w:val="0"/>
          <w:numId w:val="7"/>
        </w:numPr>
        <w:rPr>
          <w:rFonts w:ascii="Arial" w:hAnsi="Arial" w:cs="Arial"/>
          <w:sz w:val="24"/>
        </w:rPr>
      </w:pPr>
      <w:r>
        <w:rPr>
          <w:rFonts w:ascii="Arial" w:hAnsi="Arial"/>
          <w:sz w:val="24"/>
        </w:rPr>
        <w:t>La tête rose</w:t>
      </w:r>
    </w:p>
    <w:p w14:paraId="03E10CF5" w14:textId="77777777" w:rsidR="009F6E02" w:rsidRPr="009D707B" w:rsidRDefault="009F6E02" w:rsidP="00FD3030">
      <w:pPr>
        <w:pStyle w:val="ListParagraph"/>
        <w:numPr>
          <w:ilvl w:val="0"/>
          <w:numId w:val="7"/>
        </w:numPr>
        <w:rPr>
          <w:rFonts w:ascii="Arial" w:hAnsi="Arial" w:cs="Arial"/>
          <w:sz w:val="24"/>
        </w:rPr>
      </w:pPr>
      <w:r>
        <w:rPr>
          <w:rFonts w:ascii="Arial" w:hAnsi="Arial"/>
          <w:sz w:val="24"/>
        </w:rPr>
        <w:t xml:space="preserve">Le </w:t>
      </w:r>
      <w:proofErr w:type="spellStart"/>
      <w:r>
        <w:rPr>
          <w:rFonts w:ascii="Arial" w:hAnsi="Arial"/>
          <w:sz w:val="24"/>
        </w:rPr>
        <w:t>méné</w:t>
      </w:r>
      <w:proofErr w:type="spellEnd"/>
      <w:r>
        <w:rPr>
          <w:rFonts w:ascii="Arial" w:hAnsi="Arial"/>
          <w:sz w:val="24"/>
        </w:rPr>
        <w:t xml:space="preserve"> paille</w:t>
      </w:r>
    </w:p>
    <w:p w14:paraId="6BBACC2C" w14:textId="77777777" w:rsidR="009F6E02" w:rsidRPr="00107057" w:rsidRDefault="009F6E02" w:rsidP="00FD3030">
      <w:pPr>
        <w:pStyle w:val="ListParagraph"/>
        <w:numPr>
          <w:ilvl w:val="0"/>
          <w:numId w:val="7"/>
        </w:numPr>
        <w:rPr>
          <w:rFonts w:ascii="Arial" w:hAnsi="Arial" w:cs="Arial"/>
          <w:sz w:val="24"/>
        </w:rPr>
      </w:pPr>
      <w:r>
        <w:rPr>
          <w:rFonts w:ascii="Arial" w:hAnsi="Arial"/>
          <w:sz w:val="24"/>
        </w:rPr>
        <w:t xml:space="preserve">Le </w:t>
      </w:r>
      <w:proofErr w:type="spellStart"/>
      <w:r>
        <w:rPr>
          <w:rFonts w:ascii="Arial" w:hAnsi="Arial"/>
          <w:sz w:val="24"/>
        </w:rPr>
        <w:t>méné</w:t>
      </w:r>
      <w:proofErr w:type="spellEnd"/>
      <w:r>
        <w:rPr>
          <w:rFonts w:ascii="Arial" w:hAnsi="Arial"/>
          <w:sz w:val="24"/>
        </w:rPr>
        <w:t xml:space="preserve"> bleu</w:t>
      </w:r>
    </w:p>
    <w:p w14:paraId="7837A486" w14:textId="77777777" w:rsidR="009F6E02" w:rsidRPr="00107057" w:rsidRDefault="009F6E02" w:rsidP="00FD3030">
      <w:pPr>
        <w:pStyle w:val="ListParagraph"/>
        <w:numPr>
          <w:ilvl w:val="0"/>
          <w:numId w:val="7"/>
        </w:numPr>
        <w:rPr>
          <w:rFonts w:ascii="Arial" w:hAnsi="Arial" w:cs="Arial"/>
          <w:sz w:val="24"/>
        </w:rPr>
      </w:pPr>
      <w:r>
        <w:rPr>
          <w:rFonts w:ascii="Arial" w:hAnsi="Arial"/>
          <w:sz w:val="24"/>
        </w:rPr>
        <w:t>La queue à tache noire</w:t>
      </w:r>
    </w:p>
    <w:p w14:paraId="09AFA24B" w14:textId="77777777" w:rsidR="009F6E02" w:rsidRPr="00107057" w:rsidRDefault="009F6E02" w:rsidP="00FD3030">
      <w:pPr>
        <w:pStyle w:val="ListParagraph"/>
        <w:numPr>
          <w:ilvl w:val="0"/>
          <w:numId w:val="7"/>
        </w:numPr>
        <w:rPr>
          <w:rFonts w:ascii="Arial" w:hAnsi="Arial" w:cs="Arial"/>
          <w:sz w:val="24"/>
        </w:rPr>
      </w:pPr>
      <w:r>
        <w:rPr>
          <w:rFonts w:ascii="Arial" w:hAnsi="Arial"/>
          <w:sz w:val="24"/>
        </w:rPr>
        <w:t xml:space="preserve">Le </w:t>
      </w:r>
      <w:proofErr w:type="spellStart"/>
      <w:r>
        <w:rPr>
          <w:rFonts w:ascii="Arial" w:hAnsi="Arial"/>
          <w:sz w:val="24"/>
        </w:rPr>
        <w:t>méné</w:t>
      </w:r>
      <w:proofErr w:type="spellEnd"/>
      <w:r>
        <w:rPr>
          <w:rFonts w:ascii="Arial" w:hAnsi="Arial"/>
          <w:sz w:val="24"/>
        </w:rPr>
        <w:t xml:space="preserve"> rayé</w:t>
      </w:r>
    </w:p>
    <w:p w14:paraId="31F1C33B" w14:textId="77777777" w:rsidR="00C70A54" w:rsidRDefault="00C70A54" w:rsidP="00912DEF">
      <w:pPr>
        <w:pStyle w:val="ListParagraph"/>
        <w:ind w:left="360"/>
        <w:rPr>
          <w:rFonts w:ascii="Arial" w:hAnsi="Arial" w:cs="Arial"/>
          <w:b/>
          <w:sz w:val="24"/>
        </w:rPr>
      </w:pPr>
    </w:p>
    <w:p w14:paraId="22DB79D0" w14:textId="77777777" w:rsidR="007771D4" w:rsidRPr="00107057" w:rsidRDefault="007771D4" w:rsidP="00912DEF">
      <w:pPr>
        <w:pStyle w:val="ListParagraph"/>
        <w:ind w:left="360"/>
        <w:rPr>
          <w:rFonts w:ascii="Arial" w:hAnsi="Arial" w:cs="Arial"/>
          <w:b/>
          <w:sz w:val="24"/>
        </w:rPr>
      </w:pPr>
      <w:r>
        <w:rPr>
          <w:rFonts w:ascii="Arial" w:hAnsi="Arial"/>
          <w:b/>
          <w:sz w:val="24"/>
        </w:rPr>
        <w:t>Les meuniers</w:t>
      </w:r>
    </w:p>
    <w:p w14:paraId="58DCF00F" w14:textId="77777777" w:rsidR="009F6E02" w:rsidRPr="00107057" w:rsidRDefault="009F6E02" w:rsidP="00FD3030">
      <w:pPr>
        <w:pStyle w:val="ListParagraph"/>
        <w:numPr>
          <w:ilvl w:val="0"/>
          <w:numId w:val="7"/>
        </w:numPr>
        <w:rPr>
          <w:rFonts w:ascii="Arial" w:hAnsi="Arial" w:cs="Arial"/>
          <w:sz w:val="24"/>
        </w:rPr>
      </w:pPr>
      <w:r>
        <w:rPr>
          <w:rFonts w:ascii="Arial" w:hAnsi="Arial"/>
          <w:sz w:val="24"/>
        </w:rPr>
        <w:t>Le meunier rouge</w:t>
      </w:r>
    </w:p>
    <w:p w14:paraId="2EF264F0" w14:textId="77777777" w:rsidR="00C70A54" w:rsidRDefault="009F6E02" w:rsidP="00191941">
      <w:pPr>
        <w:pStyle w:val="ListParagraph"/>
        <w:numPr>
          <w:ilvl w:val="0"/>
          <w:numId w:val="7"/>
        </w:numPr>
        <w:rPr>
          <w:rFonts w:ascii="Arial" w:hAnsi="Arial" w:cs="Arial"/>
          <w:sz w:val="24"/>
        </w:rPr>
      </w:pPr>
      <w:r>
        <w:rPr>
          <w:rFonts w:ascii="Arial" w:hAnsi="Arial"/>
          <w:sz w:val="24"/>
        </w:rPr>
        <w:t>Le meunier noir</w:t>
      </w:r>
    </w:p>
    <w:p w14:paraId="3FBEE630" w14:textId="77777777" w:rsidR="00191941" w:rsidRPr="00191941" w:rsidRDefault="00191941" w:rsidP="00191941">
      <w:pPr>
        <w:pStyle w:val="ListParagraph"/>
        <w:rPr>
          <w:rFonts w:ascii="Arial" w:hAnsi="Arial" w:cs="Arial"/>
          <w:sz w:val="24"/>
        </w:rPr>
      </w:pPr>
    </w:p>
    <w:p w14:paraId="24171DD6" w14:textId="77777777" w:rsidR="00C70A54" w:rsidRPr="00F85C73" w:rsidRDefault="00C70A54" w:rsidP="00C70A54">
      <w:pPr>
        <w:pStyle w:val="ListParagraph"/>
        <w:ind w:left="360"/>
        <w:rPr>
          <w:rFonts w:ascii="Arial" w:hAnsi="Arial" w:cs="Arial"/>
          <w:b/>
          <w:sz w:val="24"/>
        </w:rPr>
      </w:pPr>
      <w:r>
        <w:rPr>
          <w:rFonts w:ascii="Arial" w:hAnsi="Arial"/>
          <w:b/>
          <w:sz w:val="24"/>
        </w:rPr>
        <w:t>Les épinoches</w:t>
      </w:r>
    </w:p>
    <w:p w14:paraId="25E05BA2" w14:textId="77777777" w:rsidR="00C70A54" w:rsidRPr="00F85C73" w:rsidRDefault="00C70A54" w:rsidP="00C70A54">
      <w:pPr>
        <w:pStyle w:val="ListParagraph"/>
        <w:numPr>
          <w:ilvl w:val="0"/>
          <w:numId w:val="7"/>
        </w:numPr>
        <w:rPr>
          <w:rFonts w:ascii="Arial" w:hAnsi="Arial" w:cs="Arial"/>
          <w:sz w:val="24"/>
        </w:rPr>
      </w:pPr>
      <w:r>
        <w:rPr>
          <w:rFonts w:ascii="Arial" w:hAnsi="Arial"/>
          <w:sz w:val="24"/>
        </w:rPr>
        <w:t>L’épinoche à cinq épines</w:t>
      </w:r>
    </w:p>
    <w:p w14:paraId="2B2814DE" w14:textId="77777777" w:rsidR="00C70A54" w:rsidRPr="00F85C73" w:rsidRDefault="00C70A54" w:rsidP="00BE41B8">
      <w:pPr>
        <w:pStyle w:val="ListParagraph"/>
        <w:numPr>
          <w:ilvl w:val="0"/>
          <w:numId w:val="7"/>
        </w:numPr>
        <w:rPr>
          <w:rFonts w:ascii="Arial" w:hAnsi="Arial" w:cs="Arial"/>
          <w:sz w:val="24"/>
        </w:rPr>
      </w:pPr>
      <w:r>
        <w:rPr>
          <w:rFonts w:ascii="Arial" w:hAnsi="Arial"/>
          <w:sz w:val="24"/>
        </w:rPr>
        <w:t>L’épinoche à neuf épines</w:t>
      </w:r>
    </w:p>
    <w:p w14:paraId="199185B9" w14:textId="77777777" w:rsidR="00191941" w:rsidRPr="00191941" w:rsidRDefault="00191941" w:rsidP="00191941">
      <w:pPr>
        <w:pStyle w:val="ListParagraph"/>
        <w:rPr>
          <w:rFonts w:ascii="Arial" w:hAnsi="Arial" w:cs="Arial"/>
          <w:color w:val="FF0000"/>
          <w:sz w:val="24"/>
        </w:rPr>
      </w:pPr>
    </w:p>
    <w:p w14:paraId="3BB55946" w14:textId="77777777" w:rsidR="007771D4" w:rsidRPr="00107057" w:rsidRDefault="007771D4" w:rsidP="00912DEF">
      <w:pPr>
        <w:pStyle w:val="ListParagraph"/>
        <w:ind w:left="360"/>
        <w:rPr>
          <w:rFonts w:ascii="Arial" w:hAnsi="Arial" w:cs="Arial"/>
          <w:b/>
          <w:sz w:val="24"/>
        </w:rPr>
      </w:pPr>
      <w:r>
        <w:rPr>
          <w:rFonts w:ascii="Arial" w:hAnsi="Arial"/>
          <w:b/>
          <w:sz w:val="24"/>
        </w:rPr>
        <w:t>Autres</w:t>
      </w:r>
    </w:p>
    <w:p w14:paraId="372E96FD" w14:textId="77777777" w:rsidR="00EB0A43" w:rsidRPr="00107057" w:rsidRDefault="00EB0A43" w:rsidP="00EB0A43">
      <w:pPr>
        <w:pStyle w:val="ListParagraph"/>
        <w:numPr>
          <w:ilvl w:val="0"/>
          <w:numId w:val="7"/>
        </w:numPr>
        <w:rPr>
          <w:rFonts w:ascii="Arial" w:hAnsi="Arial" w:cs="Arial"/>
          <w:sz w:val="24"/>
        </w:rPr>
      </w:pPr>
      <w:r>
        <w:rPr>
          <w:rFonts w:ascii="Arial" w:hAnsi="Arial"/>
          <w:sz w:val="24"/>
        </w:rPr>
        <w:t>Le fondule barré</w:t>
      </w:r>
    </w:p>
    <w:p w14:paraId="2906471A" w14:textId="77777777" w:rsidR="009F6E02" w:rsidRPr="00107057" w:rsidRDefault="009F6E02" w:rsidP="00FD3030">
      <w:pPr>
        <w:pStyle w:val="ListParagraph"/>
        <w:numPr>
          <w:ilvl w:val="0"/>
          <w:numId w:val="7"/>
        </w:numPr>
        <w:rPr>
          <w:rFonts w:ascii="Arial" w:hAnsi="Arial" w:cs="Arial"/>
          <w:sz w:val="24"/>
        </w:rPr>
      </w:pPr>
      <w:r>
        <w:rPr>
          <w:rFonts w:ascii="Arial" w:hAnsi="Arial"/>
          <w:sz w:val="24"/>
        </w:rPr>
        <w:t>L’</w:t>
      </w:r>
      <w:proofErr w:type="spellStart"/>
      <w:r>
        <w:rPr>
          <w:rFonts w:ascii="Arial" w:hAnsi="Arial"/>
          <w:sz w:val="24"/>
        </w:rPr>
        <w:t>umbre</w:t>
      </w:r>
      <w:proofErr w:type="spellEnd"/>
      <w:r>
        <w:rPr>
          <w:rFonts w:ascii="Arial" w:hAnsi="Arial"/>
          <w:sz w:val="24"/>
        </w:rPr>
        <w:t xml:space="preserve"> de vase</w:t>
      </w:r>
    </w:p>
    <w:p w14:paraId="70E2875C" w14:textId="77777777" w:rsidR="009F6E02" w:rsidRPr="00107057" w:rsidRDefault="009F6E02" w:rsidP="00FD3030">
      <w:pPr>
        <w:pStyle w:val="ListParagraph"/>
        <w:numPr>
          <w:ilvl w:val="0"/>
          <w:numId w:val="7"/>
        </w:numPr>
        <w:rPr>
          <w:rFonts w:ascii="Arial" w:hAnsi="Arial" w:cs="Arial"/>
          <w:sz w:val="24"/>
        </w:rPr>
      </w:pPr>
      <w:r>
        <w:rPr>
          <w:rFonts w:ascii="Arial" w:hAnsi="Arial"/>
          <w:sz w:val="24"/>
        </w:rPr>
        <w:t>Le hareng de lac</w:t>
      </w:r>
    </w:p>
    <w:p w14:paraId="0487E389" w14:textId="505C7D48" w:rsidR="00651C1C" w:rsidRPr="00516A1C" w:rsidRDefault="009F6E02" w:rsidP="00516A1C">
      <w:pPr>
        <w:pStyle w:val="ListParagraph"/>
        <w:numPr>
          <w:ilvl w:val="0"/>
          <w:numId w:val="7"/>
        </w:numPr>
        <w:sectPr w:rsidR="00651C1C" w:rsidRPr="00516A1C" w:rsidSect="005078FF">
          <w:type w:val="continuous"/>
          <w:pgSz w:w="12240" w:h="15840"/>
          <w:pgMar w:top="1440" w:right="1800" w:bottom="1440" w:left="1800" w:header="720" w:footer="720" w:gutter="0"/>
          <w:cols w:num="2" w:space="1440"/>
          <w:docGrid w:linePitch="326"/>
        </w:sectPr>
      </w:pPr>
      <w:r>
        <w:rPr>
          <w:rFonts w:ascii="Arial" w:hAnsi="Arial"/>
          <w:sz w:val="24"/>
        </w:rPr>
        <w:t>La perche-truite</w:t>
      </w:r>
    </w:p>
    <w:p w14:paraId="20502DCC" w14:textId="73DB2CA1" w:rsidR="00456A0E" w:rsidRPr="00107057" w:rsidRDefault="00815538" w:rsidP="00BE2717">
      <w:r>
        <w:lastRenderedPageBreak/>
        <w:t xml:space="preserve">La conservation d’un large éventail d’espèces de poissons-appâts admissibles donnerait aux pêcheurs à la ligne et aux exploitants commerciaux la souplesse nécessaire pour utiliser et pour avoir en leur possession des espèces communes au niveau local. Certaines espèces de poissons comme les chabots et les dards, ne figurent pas sur la liste, car on les confond souvent avec des espèces envahissantes (p. ex. le gobie à taches noires) et elles ne sont généralement pas des espèces recherchées ou prisées par les pêcheurs et les exploitants. Le fondule barré a été ajouté à la liste étant donné que cette espèce est relativement abondante et généralisée dans les Grands Lacs inférieurs. </w:t>
      </w:r>
    </w:p>
    <w:p w14:paraId="3EF9B583" w14:textId="5502727E" w:rsidR="008237CB" w:rsidRPr="00107057" w:rsidRDefault="00413DD4">
      <w:pPr>
        <w:spacing w:after="0"/>
        <w:rPr>
          <w:rFonts w:cs="Arial"/>
          <w:b/>
          <w:bCs/>
          <w:kern w:val="32"/>
          <w:sz w:val="32"/>
          <w:szCs w:val="32"/>
          <w:highlight w:val="yellow"/>
        </w:rPr>
      </w:pPr>
      <w:bookmarkStart w:id="16" w:name="_Hlk17985129"/>
      <w:r>
        <w:t xml:space="preserve">Les espèces de poissons-appâts permises sont régies en vertu du RPO et des modifications s’imposent pour mettre la liste à jour. </w:t>
      </w:r>
      <w:bookmarkEnd w:id="16"/>
    </w:p>
    <w:p w14:paraId="0CB54A98" w14:textId="77777777" w:rsidR="006F261C" w:rsidRPr="00107057" w:rsidRDefault="00456A0E" w:rsidP="008B6C4C">
      <w:pPr>
        <w:pStyle w:val="Heading2"/>
      </w:pPr>
      <w:bookmarkStart w:id="17" w:name="_Toc473560474"/>
      <w:bookmarkStart w:id="18" w:name="_Toc45724798"/>
      <w:r>
        <w:t>Limites de possession</w:t>
      </w:r>
      <w:bookmarkEnd w:id="17"/>
      <w:bookmarkEnd w:id="18"/>
    </w:p>
    <w:p w14:paraId="43CC6294" w14:textId="5C59869B" w:rsidR="00E310B2" w:rsidRPr="00107057" w:rsidRDefault="00E310B2" w:rsidP="00E310B2">
      <w:r>
        <w:t>Les limites de possession contribuent à assurer l’utilisation durable de la ressource. Les limites de possession suivantes continuent de s’appliquer :</w:t>
      </w:r>
    </w:p>
    <w:p w14:paraId="12EE9013" w14:textId="77777777" w:rsidR="00E310B2" w:rsidRPr="00107057" w:rsidRDefault="00E310B2" w:rsidP="00E310B2">
      <w:pPr>
        <w:rPr>
          <w:rFonts w:cs="Arial"/>
          <w:b/>
          <w:i/>
          <w:szCs w:val="24"/>
        </w:rPr>
      </w:pPr>
      <w:r>
        <w:rPr>
          <w:b/>
          <w:i/>
        </w:rPr>
        <w:t xml:space="preserve">Les pêcheurs à la ligne ne pourront posséder au maximum que 120 poissons-appâts et 120 sangsues. </w:t>
      </w:r>
    </w:p>
    <w:p w14:paraId="6519E73E" w14:textId="674A3CB6" w:rsidR="00E310B2" w:rsidRPr="00107057" w:rsidRDefault="00E310B2" w:rsidP="00E310B2">
      <w:pPr>
        <w:rPr>
          <w:rFonts w:cs="Arial"/>
          <w:szCs w:val="24"/>
        </w:rPr>
      </w:pPr>
      <w:r>
        <w:t xml:space="preserve">Ces limites, qui s’appliquent autant aux appâts achetés qu’à ceux qui sont pris en personne (vivants ou morts), sont en vigueur afin de répondre aux préoccupations sur le gaspillage des appâts.  </w:t>
      </w:r>
    </w:p>
    <w:p w14:paraId="2DC91429" w14:textId="574EAE0D" w:rsidR="00E310B2" w:rsidRPr="00107057" w:rsidRDefault="00E310B2" w:rsidP="00E310B2">
      <w:pPr>
        <w:rPr>
          <w:rFonts w:cs="Arial"/>
          <w:szCs w:val="24"/>
        </w:rPr>
      </w:pPr>
      <w:r>
        <w:rPr>
          <w:b/>
          <w:i/>
        </w:rPr>
        <w:t>Les détenteurs d’un permis d’appât commercial ne sont pas limités dans la quantité d’appâts qu’ils peuvent posséder.</w:t>
      </w:r>
    </w:p>
    <w:p w14:paraId="16172C2F" w14:textId="518D51B0" w:rsidR="00E5735F" w:rsidRDefault="00E310B2" w:rsidP="00E310B2">
      <w:r>
        <w:t>À quelques rares exceptions près, les exploitants et les vendeurs d’appâts à des fins commerciales ne sont pas limités dans la quantité d’appâts qu’ils peuvent prendre ou posséder en vue de les vendre. Une telle flexibilité permet aux exploitants de posséder suffisamment d’appâts pour approvisionner leurs clients et pour gérer et exploiter efficacement leur entreprise. Les exploitants sont responsables de la gestion durable des appâts dans leur ZRA.</w:t>
      </w:r>
    </w:p>
    <w:p w14:paraId="60FE1C3D" w14:textId="7152B06E" w:rsidR="004E0F09" w:rsidRPr="00107057" w:rsidRDefault="00F42E87">
      <w:pPr>
        <w:spacing w:after="0"/>
        <w:rPr>
          <w:rFonts w:cs="Arial"/>
          <w:b/>
          <w:bCs/>
          <w:kern w:val="32"/>
          <w:sz w:val="32"/>
          <w:szCs w:val="32"/>
        </w:rPr>
      </w:pPr>
      <w:r>
        <w:t>Ces limites de possession sont réglementées en vertu du RPO et de la LPPF.</w:t>
      </w:r>
    </w:p>
    <w:p w14:paraId="0F8E341E" w14:textId="77777777" w:rsidR="00CE14F7" w:rsidRPr="00107057" w:rsidRDefault="009C006A" w:rsidP="00DE23F6">
      <w:pPr>
        <w:pStyle w:val="Heading1"/>
      </w:pPr>
      <w:bookmarkStart w:id="19" w:name="_Toc473560475"/>
      <w:bookmarkStart w:id="20" w:name="_Toc45724799"/>
      <w:r>
        <w:t>Déplacement des appâts</w:t>
      </w:r>
      <w:bookmarkEnd w:id="19"/>
      <w:bookmarkEnd w:id="20"/>
    </w:p>
    <w:p w14:paraId="23813481" w14:textId="0BD930CA" w:rsidR="00C31E50" w:rsidRDefault="00C31E50" w:rsidP="00C31E50">
      <w:pPr>
        <w:spacing w:after="0"/>
        <w:rPr>
          <w:szCs w:val="24"/>
        </w:rPr>
      </w:pPr>
      <w:r>
        <w:t xml:space="preserve">La propagation des espèces envahissantes ou non visées et des maladies peut être facilitée par le déplacement des appâts. Il est illégal de déverser le contenu des seaux à appâts (y compris l’eau qui contient les appâts) à une distance de 30 m ou moins d’un cours d’eau. Malgré cette interdiction, des études ont montré qu’un très grand nombre de pêcheurs à la ligne continuent de déverser les appâts dans le plan d’eau dans lequel ils pêchent. Cette activité risque de propager des espèces non visées ainsi que des maladies. </w:t>
      </w:r>
    </w:p>
    <w:p w14:paraId="09CB4085" w14:textId="5576D4C1" w:rsidR="0035673D" w:rsidRPr="00C55A4B" w:rsidRDefault="0035673D" w:rsidP="00C31E50">
      <w:pPr>
        <w:spacing w:after="0"/>
        <w:rPr>
          <w:szCs w:val="24"/>
        </w:rPr>
      </w:pPr>
    </w:p>
    <w:p w14:paraId="4ACCD0EC" w14:textId="718DCB83" w:rsidR="0035673D" w:rsidRPr="00107057" w:rsidRDefault="0035673D" w:rsidP="00C31E50">
      <w:pPr>
        <w:spacing w:after="0"/>
        <w:rPr>
          <w:szCs w:val="24"/>
        </w:rPr>
      </w:pPr>
      <w:r>
        <w:lastRenderedPageBreak/>
        <w:t>Les pêcheurs à la ligne sont nombreux à capturer leurs propres appâts : des sondages ont révélé qu’entre 30 et 50 pour cent des pêcheurs à la ligne de l’Ontario qui utilisent des poissons-appâts vivants capturent leurs propres appâts au moins une fois pendant l’année. On a également démontré qu’en règle générale, les pêcheurs à la ligne en Ontario ont beaucoup de difficulté à faire la distinction entre les espèces de poissons-appâts légales et les espèces illégales. Les appâts capturés en personne augmentent donc le risque de déplacer des espèces envahissantes ainsi que d’autres espèces non visées à travers le paysage.</w:t>
      </w:r>
    </w:p>
    <w:p w14:paraId="2EC7EDC4" w14:textId="77777777" w:rsidR="00C31E50" w:rsidRPr="00C55A4B" w:rsidRDefault="00C31E50" w:rsidP="00C31E50">
      <w:pPr>
        <w:spacing w:after="0"/>
        <w:rPr>
          <w:szCs w:val="24"/>
        </w:rPr>
      </w:pPr>
    </w:p>
    <w:p w14:paraId="3FE4BA14" w14:textId="195AEC30" w:rsidR="00BD2345" w:rsidRDefault="00415F7F" w:rsidP="00BD2345">
      <w:pPr>
        <w:spacing w:after="0"/>
        <w:rPr>
          <w:szCs w:val="24"/>
        </w:rPr>
      </w:pPr>
      <w:r>
        <w:t xml:space="preserve">On estime que 4,2 millions excursions de pêche à la ligne avec des appâts vivants ont lieu chaque année en Ontario et que 25 % de ces excursions s’étendent sur des distances de plus de 400 km.  Une grande proportion de pêcheurs en Ontario </w:t>
      </w:r>
      <w:proofErr w:type="gramStart"/>
      <w:r>
        <w:t>vivent</w:t>
      </w:r>
      <w:proofErr w:type="gramEnd"/>
      <w:r>
        <w:t xml:space="preserve"> et se procurent des appâts dans le sud de la province, là où les espèces envahissantes et les maladies sont les plus répandues. Un déplacement d’une telle ampleur des appâts augmente le risque de propager des espèces et des maladies dans de nouveaux secteurs de la province. </w:t>
      </w:r>
    </w:p>
    <w:p w14:paraId="5023B24C" w14:textId="77777777" w:rsidR="00BD2345" w:rsidRPr="00C55A4B" w:rsidRDefault="00BD2345" w:rsidP="00BD2345">
      <w:pPr>
        <w:spacing w:after="0"/>
        <w:rPr>
          <w:szCs w:val="24"/>
        </w:rPr>
      </w:pPr>
    </w:p>
    <w:p w14:paraId="12F73F4F" w14:textId="434B6EC1" w:rsidR="004A0E4C" w:rsidRPr="00E716C9" w:rsidRDefault="00C31E50" w:rsidP="004A0E4C">
      <w:r>
        <w:t>Par conséquent, un contrôle des déplacements des appâts du point de la récolte jusqu’à l’endroit où ils seront finalement utilisés constitue un volet important de la gestion des risques écologiques. On propose une approche par zones afin de diminuer le risque de propagation des espèces et des maladies tout en apportant une plus grande certitude commerciale aux acteurs de l’industrie des appâts des quatre coins de l’Ontario, ce qui permettra aux exploitants commerciaux de faire les rajustements et les investissements nécessaires pour maintenir et multiplier leurs activités.</w:t>
      </w:r>
    </w:p>
    <w:p w14:paraId="2DB7D487" w14:textId="77777777" w:rsidR="007A35E3" w:rsidRPr="00107057" w:rsidRDefault="007A35E3" w:rsidP="007E659B">
      <w:pPr>
        <w:pStyle w:val="Heading2"/>
        <w:tabs>
          <w:tab w:val="clear" w:pos="1639"/>
          <w:tab w:val="num" w:pos="1260"/>
        </w:tabs>
      </w:pPr>
      <w:bookmarkStart w:id="21" w:name="_Toc473560476"/>
      <w:bookmarkStart w:id="22" w:name="_Toc45724800"/>
      <w:r>
        <w:t>Zones de gestion des appâts</w:t>
      </w:r>
      <w:bookmarkEnd w:id="21"/>
      <w:bookmarkEnd w:id="22"/>
    </w:p>
    <w:p w14:paraId="00611A29" w14:textId="67C54D4F" w:rsidR="009438ED" w:rsidRPr="00107057" w:rsidRDefault="00D62C03" w:rsidP="0033508C">
      <w:r>
        <w:t xml:space="preserve">Afin d’aborder les risques associés au déplacement des appâts, l’orientation suivante s’applique : </w:t>
      </w:r>
    </w:p>
    <w:p w14:paraId="6BDA704E" w14:textId="70BCACBC" w:rsidR="00010148" w:rsidRDefault="00413DD4" w:rsidP="00010148">
      <w:pPr>
        <w:rPr>
          <w:rFonts w:cs="Arial"/>
          <w:b/>
          <w:i/>
        </w:rPr>
      </w:pPr>
      <w:r>
        <w:rPr>
          <w:b/>
          <w:i/>
        </w:rPr>
        <w:t xml:space="preserve">Le déplacement des appâts, y compris les appâts commerciaux, les appâts achetés par des pêcheurs à la ligne et capturés à des fins personnelles, morts ou vivants, se limite aux quatre zones de gestion des appâts (ZGA) indiquées à la figure 1. </w:t>
      </w:r>
    </w:p>
    <w:p w14:paraId="2ECCFC94" w14:textId="45B9D182" w:rsidR="005722AA" w:rsidRPr="00C55A4B" w:rsidRDefault="005722AA" w:rsidP="0033508C">
      <w:pPr>
        <w:rPr>
          <w:b/>
          <w:i/>
        </w:rPr>
      </w:pPr>
    </w:p>
    <w:p w14:paraId="71FAE7B4" w14:textId="77777777" w:rsidR="00650FF3" w:rsidRPr="00C55A4B" w:rsidRDefault="00650FF3" w:rsidP="0033508C">
      <w:pPr>
        <w:rPr>
          <w:b/>
          <w:i/>
        </w:rPr>
      </w:pPr>
    </w:p>
    <w:p w14:paraId="1EBAF877" w14:textId="7EFC2830" w:rsidR="001E02B7" w:rsidRPr="00107057" w:rsidRDefault="005722AA" w:rsidP="00650FF3">
      <w:pPr>
        <w:jc w:val="center"/>
      </w:pPr>
      <w:bookmarkStart w:id="23" w:name="_Toc462133419"/>
      <w:r>
        <w:rPr>
          <w:noProof/>
        </w:rPr>
        <w:lastRenderedPageBreak/>
        <w:drawing>
          <wp:inline distT="0" distB="0" distL="0" distR="0" wp14:anchorId="4E8C0ADC" wp14:editId="7254DD23">
            <wp:extent cx="3941909" cy="3045398"/>
            <wp:effectExtent l="0" t="0" r="1905" b="3175"/>
            <wp:docPr id="1" name="Picture 1" descr="Map of Ontario showing the amalgamation of Fisheries Management Zones into 4 Bait Management Zones (Northwestern, Northeastern, Central and Southern zo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44950" cy="3047747"/>
                    </a:xfrm>
                    <a:prstGeom prst="rect">
                      <a:avLst/>
                    </a:prstGeom>
                    <a:noFill/>
                    <a:ln>
                      <a:noFill/>
                    </a:ln>
                  </pic:spPr>
                </pic:pic>
              </a:graphicData>
            </a:graphic>
          </wp:inline>
        </w:drawing>
      </w:r>
    </w:p>
    <w:p w14:paraId="1ABBD6BD" w14:textId="77777777" w:rsidR="00147F7D" w:rsidRDefault="00147F7D" w:rsidP="00AB5A14">
      <w:pPr>
        <w:pStyle w:val="Caption"/>
        <w:rPr>
          <w:i/>
          <w:lang w:val="en-CA"/>
        </w:rPr>
      </w:pPr>
    </w:p>
    <w:p w14:paraId="05DAA9DA" w14:textId="1E666CB4" w:rsidR="009C006A" w:rsidRDefault="009C006A" w:rsidP="00AB5A14">
      <w:pPr>
        <w:pStyle w:val="Caption"/>
        <w:rPr>
          <w:i/>
        </w:rPr>
      </w:pPr>
      <w:bookmarkStart w:id="24" w:name="_Toc15029053"/>
      <w:r>
        <w:rPr>
          <w:i/>
        </w:rPr>
        <w:t>Figure 1 – Zones de gestion des appâts (ZGA) délimitant le déplacement d’appâts</w:t>
      </w:r>
      <w:bookmarkEnd w:id="23"/>
      <w:r>
        <w:rPr>
          <w:i/>
        </w:rPr>
        <w:t>.</w:t>
      </w:r>
      <w:bookmarkEnd w:id="24"/>
    </w:p>
    <w:p w14:paraId="6E9C436B" w14:textId="77777777" w:rsidR="00E2657B" w:rsidRPr="00CD2E12" w:rsidRDefault="00E2657B" w:rsidP="00E2657B">
      <w:pPr>
        <w:rPr>
          <w:b/>
          <w:i/>
        </w:rPr>
      </w:pPr>
      <w:r>
        <w:rPr>
          <w:b/>
          <w:i/>
        </w:rPr>
        <w:t>Les appâts capturés à des fins personnelles dans les Grands Lacs et la rivière des Outaouais (y compris dans le lac Timiskaming) ne peuvent pas être transportés à l’intérieur des terres.</w:t>
      </w:r>
    </w:p>
    <w:p w14:paraId="30B2C1A6" w14:textId="20CA7F43" w:rsidR="00E42A08" w:rsidRPr="009D707B" w:rsidRDefault="00C41EBF" w:rsidP="00AE7ED6">
      <w:r>
        <w:t xml:space="preserve">Les ZGA sont des zones définies dans lesquelles les pêcheurs à la ligne et les exploitants commerciaux peuvent déplacer leurs appâts. Les pêcheurs à la ligne et les exploitants commerciaux ne sont autorisés qu’à déplacer leurs appâts dans la zone où les appâts ont été récoltés, à quelques exceptions près indiquées dans la section 3.2. </w:t>
      </w:r>
    </w:p>
    <w:p w14:paraId="54BBD2A6" w14:textId="69B5F040" w:rsidR="00E42A08" w:rsidRPr="009D707B" w:rsidRDefault="00E42A08" w:rsidP="00AE7ED6">
      <w:r>
        <w:t>Les Grands Lacs ne font pas partie du cadre de la ZGA (figure 1) puisque la plupart des Grands Lacs n’ont pas de zones de récolte d’appâts (ZRA) désignées. Il existe quelques exceptions, comme dans le lac Érié et dans des endroits définis des lacs Huron et Ontario. Dans ces endroits, les appâts peuvent être déplacés à l’intérieur des terres vers la ZGA adjacente au sud. Les appâts peuvent être déplacés vers les Grands Lacs, conformément aux exceptions indiquées dans la section 3.2.</w:t>
      </w:r>
    </w:p>
    <w:p w14:paraId="4F8DBD45" w14:textId="77777777" w:rsidR="0069000F" w:rsidRPr="00C55A4B" w:rsidRDefault="0069000F" w:rsidP="0069000F">
      <w:pPr>
        <w:spacing w:after="0"/>
      </w:pPr>
    </w:p>
    <w:p w14:paraId="448CFFDF" w14:textId="68A694F2" w:rsidR="00AE7ED6" w:rsidRPr="00107057" w:rsidRDefault="006F49A1" w:rsidP="00AE7ED6">
      <w:r>
        <w:t xml:space="preserve">Les délimitations des ZGA se basent sur le cadre provincial établi qui régit les zones de gestion des pêches (ZGP) (annexe A). Dans la plupart des cas, quelques ZGP sont fusionnées pour ne former qu’une seule ZGA. L’utilisation des ZGP comme cadre pour les ZGA compte de nombreux avantages, y compris </w:t>
      </w:r>
      <w:r>
        <w:lastRenderedPageBreak/>
        <w:t xml:space="preserve">de s’assurer que les délimitations sont faciles à repérer sur le terrain (contrairement aux lignes de partage des eaux), déjà réglementées et connues des pêcheurs à la ligne. </w:t>
      </w:r>
    </w:p>
    <w:p w14:paraId="2E2399E8" w14:textId="7D5A8665" w:rsidR="00302C30" w:rsidRDefault="003C4D2B" w:rsidP="00767C65">
      <w:r>
        <w:t xml:space="preserve">Une fois les ZGA mises en place, les restrictions imposées sur le déplacement des appâts commerciaux (c’est-à-dire, la S.H.V. et les zones de gestion du lac </w:t>
      </w:r>
      <w:proofErr w:type="spellStart"/>
      <w:r>
        <w:t>Simco</w:t>
      </w:r>
      <w:proofErr w:type="spellEnd"/>
      <w:r>
        <w:t xml:space="preserve">) ne s’appliquent plus. </w:t>
      </w:r>
    </w:p>
    <w:p w14:paraId="7A551197" w14:textId="77777777" w:rsidR="000B435F" w:rsidRPr="00107057" w:rsidRDefault="000B435F" w:rsidP="007E659B">
      <w:pPr>
        <w:pStyle w:val="Heading2"/>
        <w:tabs>
          <w:tab w:val="clear" w:pos="1639"/>
          <w:tab w:val="num" w:pos="1260"/>
        </w:tabs>
      </w:pPr>
      <w:bookmarkStart w:id="25" w:name="_Toc473560477"/>
      <w:bookmarkStart w:id="26" w:name="_Toc45724801"/>
      <w:r>
        <w:t>Exceptions concernant le déplacement des appâts</w:t>
      </w:r>
      <w:bookmarkEnd w:id="25"/>
      <w:bookmarkEnd w:id="26"/>
    </w:p>
    <w:p w14:paraId="05676D39" w14:textId="1C65A7D7" w:rsidR="00457198" w:rsidRPr="00F85C73" w:rsidRDefault="004865F6" w:rsidP="00AA7016">
      <w:r>
        <w:t>Le déplacement des appâts est limité à chaque ZGA, moyennant les exceptions suivantes :</w:t>
      </w:r>
    </w:p>
    <w:p w14:paraId="66FA4935" w14:textId="0C53D273" w:rsidR="00076954" w:rsidRDefault="00EB522E" w:rsidP="00CD2E12">
      <w:r>
        <w:rPr>
          <w:b/>
          <w:i/>
        </w:rPr>
        <w:t xml:space="preserve">Les </w:t>
      </w:r>
      <w:bookmarkStart w:id="27" w:name="_Toc473409399"/>
      <w:r>
        <w:rPr>
          <w:b/>
          <w:i/>
        </w:rPr>
        <w:t>appâts</w:t>
      </w:r>
      <w:r>
        <w:rPr>
          <w:i/>
        </w:rPr>
        <w:t xml:space="preserve"> </w:t>
      </w:r>
      <w:bookmarkEnd w:id="27"/>
      <w:r>
        <w:rPr>
          <w:b/>
          <w:i/>
        </w:rPr>
        <w:t xml:space="preserve">des ZGA Nord-Ouest, Nord-Est, Centre et Sud peuvent être utilisés dans les Grands Lacs adjacents, comme le montre la figure 2. </w:t>
      </w:r>
    </w:p>
    <w:p w14:paraId="24A9520B" w14:textId="0EBD359C" w:rsidR="00076954" w:rsidRPr="00C55A4B" w:rsidRDefault="00076954" w:rsidP="00324A2F">
      <w:pPr>
        <w:keepNext/>
        <w:jc w:val="center"/>
      </w:pPr>
    </w:p>
    <w:p w14:paraId="0BBE4B56" w14:textId="5095364C" w:rsidR="00076954" w:rsidRPr="00107057" w:rsidRDefault="00076954" w:rsidP="00324A2F">
      <w:pPr>
        <w:keepNext/>
        <w:jc w:val="center"/>
      </w:pPr>
      <w:r>
        <w:rPr>
          <w:noProof/>
        </w:rPr>
        <w:drawing>
          <wp:inline distT="0" distB="0" distL="0" distR="0" wp14:anchorId="2E6BE762" wp14:editId="4569AFF2">
            <wp:extent cx="5147733" cy="2895600"/>
            <wp:effectExtent l="0" t="0" r="0" b="0"/>
            <wp:docPr id="4" name="Picture 4" descr="Map of Ontario showing the amalgamation of Fisheries Management Zones into 4 Bait Management Zones (Northwestern, Northeastern, Central and Southern zones). Arrows show exceptions where bait would be allowed to move into the Great Lakes from adjacent zo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61937" cy="2903590"/>
                    </a:xfrm>
                    <a:prstGeom prst="rect">
                      <a:avLst/>
                    </a:prstGeom>
                    <a:noFill/>
                    <a:ln>
                      <a:noFill/>
                    </a:ln>
                  </pic:spPr>
                </pic:pic>
              </a:graphicData>
            </a:graphic>
          </wp:inline>
        </w:drawing>
      </w:r>
    </w:p>
    <w:p w14:paraId="1C1B563F" w14:textId="6582CB07" w:rsidR="001E02B7" w:rsidRPr="000E4A37" w:rsidRDefault="00457198" w:rsidP="000E4A37">
      <w:pPr>
        <w:pStyle w:val="Caption"/>
        <w:rPr>
          <w:rStyle w:val="Emphasis"/>
          <w:i w:val="0"/>
          <w:iCs w:val="0"/>
        </w:rPr>
      </w:pPr>
      <w:r>
        <w:rPr>
          <w:rStyle w:val="Emphasis"/>
          <w:i w:val="0"/>
        </w:rPr>
        <w:t>Figure 2 – Zones de gestion des appâts indiquant l’exception (flèches blanches) pour le déplacement des appâts hors des ZGA vers les Grands Lacs</w:t>
      </w:r>
    </w:p>
    <w:p w14:paraId="5FC87B6D" w14:textId="69FC18B3" w:rsidR="00E11C0F" w:rsidRPr="007521F8" w:rsidRDefault="00E11C0F" w:rsidP="001E02B7">
      <w:r>
        <w:t xml:space="preserve">En règle générale, les maladies et les espèces envahissantes sont beaucoup plus répandues dans les Grands Lacs inférieurs (c’est-à-dire les lacs Érié et Ontario) que dans les sources intérieures. Comme les lacs et les rivières s’écoulent en aval à partir des sources intérieures vers les Grands Lacs, les organismes et les pathogènes qui se forment à l’intérieur des terres sont aussi habituellement présents dans les Grands Lacs. En conséquence, il existe très peu de risques écologiques liés au déplacement des appâts des ZGA intérieures </w:t>
      </w:r>
      <w:r>
        <w:lastRenderedPageBreak/>
        <w:t xml:space="preserve">vers les Grands Lacs adjacents. Il convient de noter que les appâts ne peuvent </w:t>
      </w:r>
      <w:r>
        <w:rPr>
          <w:u w:val="single"/>
        </w:rPr>
        <w:t>pas</w:t>
      </w:r>
      <w:r>
        <w:t xml:space="preserve"> être acheminés par voie terrestre à travers une autre ZGA pour être utilisés dans un des Grands Lacs (p. ex. les appâts peuvent être déplacés de la ZGA Nord-Est vers la baie Georgienne, mais </w:t>
      </w:r>
      <w:r>
        <w:rPr>
          <w:u w:val="single"/>
        </w:rPr>
        <w:t>pas</w:t>
      </w:r>
      <w:r>
        <w:t xml:space="preserve"> vers le sud, par voie terrestre, vers le lac Ontario).</w:t>
      </w:r>
    </w:p>
    <w:p w14:paraId="2933E033" w14:textId="4E986DCA" w:rsidR="001E02B7" w:rsidRPr="007521F8" w:rsidRDefault="006062EC" w:rsidP="00960AD3">
      <w:pPr>
        <w:keepNext/>
      </w:pPr>
      <w:r>
        <w:t xml:space="preserve">Les îles situées dans les Grands Lacs, y compris l’île Manitoulin et l’île St. Joseph, sont considérées comme faisant partie des Grands Lacs (c’est-à-dire que les appâts des ZGA adjacentes à l’intérieur des terres pourraient être acheminés jusqu’à l’île, mais ne peuvent </w:t>
      </w:r>
      <w:r>
        <w:rPr>
          <w:u w:val="single"/>
        </w:rPr>
        <w:t>pas</w:t>
      </w:r>
      <w:r>
        <w:t xml:space="preserve"> être transportés en dehors de l’île en question).</w:t>
      </w:r>
      <w:bookmarkStart w:id="28" w:name="_Toc389487993"/>
      <w:r>
        <w:t xml:space="preserve">  Quelques exceptions limitées peuvent s’appliquer (p. ex., îles des Lacs Érié et Ontario qui offrent des ZRA).</w:t>
      </w:r>
    </w:p>
    <w:p w14:paraId="462CCD5C" w14:textId="77B70E39" w:rsidR="00457198" w:rsidRPr="00D63161" w:rsidRDefault="00F90197" w:rsidP="00457198">
      <w:pPr>
        <w:keepNext/>
        <w:rPr>
          <w:b/>
          <w:i/>
        </w:rPr>
      </w:pPr>
      <w:r>
        <w:rPr>
          <w:b/>
          <w:i/>
        </w:rPr>
        <w:t>Les appâts des ZGA Sud, Centre et Nord-Est sont autorisés dans la rivière des Outaouais (y compris au lac Témiscamingue) (figure 3); par contre, les appâts ne peuvent pas être déplacés à travers une autre ZGA à l’intérieur des terres pour se rendre jusqu’à la rivière des Outaouais. Les appâts récoltés à des fins commerciales dans la rivière des Outaouais doivent demeurer dans la ZGA adjacente.</w:t>
      </w:r>
    </w:p>
    <w:p w14:paraId="43803FD0" w14:textId="45C5F3F4" w:rsidR="00137D98" w:rsidRDefault="00A90214" w:rsidP="000F5B8D">
      <w:pPr>
        <w:keepNext/>
        <w:jc w:val="center"/>
        <w:rPr>
          <w:b/>
          <w:i/>
        </w:rPr>
      </w:pPr>
      <w:r>
        <w:rPr>
          <w:b/>
          <w:i/>
          <w:noProof/>
        </w:rPr>
        <w:drawing>
          <wp:inline distT="0" distB="0" distL="0" distR="0" wp14:anchorId="0B383F99" wp14:editId="4E4B3BC0">
            <wp:extent cx="5486400" cy="3086100"/>
            <wp:effectExtent l="0" t="0" r="0" b="0"/>
            <wp:docPr id="5" name="Picture 5" descr="Map of Ontario showing the amalgamation of Fisheries Management Zones into 4 Bait Management Zones (Northwestern, Northeastern, Central and Southern zones). An inset maps shows arrows in and out of the Ottawa River where bait would be allowed to mo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3086100"/>
                    </a:xfrm>
                    <a:prstGeom prst="rect">
                      <a:avLst/>
                    </a:prstGeom>
                    <a:noFill/>
                    <a:ln>
                      <a:noFill/>
                    </a:ln>
                  </pic:spPr>
                </pic:pic>
              </a:graphicData>
            </a:graphic>
          </wp:inline>
        </w:drawing>
      </w:r>
    </w:p>
    <w:p w14:paraId="3FCF0B2D" w14:textId="2A82429B" w:rsidR="00F90197" w:rsidRPr="000E4A37" w:rsidRDefault="00457198" w:rsidP="000E4A37">
      <w:pPr>
        <w:pStyle w:val="Caption"/>
      </w:pPr>
      <w:r>
        <w:t>Figure 3 – Zones de gestion des appâts indiquant l’exception (flèches blanches) pour le déplacement des appâts à l’intérieur et à l’extérieur de la rivière des Outaouais</w:t>
      </w:r>
    </w:p>
    <w:p w14:paraId="04ECA580" w14:textId="1D2B3534" w:rsidR="00512FFE" w:rsidRDefault="00BC4E74" w:rsidP="00EB522E">
      <w:r>
        <w:t xml:space="preserve">En Ontario, la rivière des Outaouais s’étend du fleuve Saint-Laurent jusqu’au lac Témiscamingue. En raison de sa proximité avec le fleuve Saint-Laurent, le cours méridional de la rivière des Outaouais a une plus forte probabilité de contenir des </w:t>
      </w:r>
      <w:r>
        <w:lastRenderedPageBreak/>
        <w:t>maladies et des espèces envahissantes que les tronçons supérieurs. La rivière est fragmentée par neuf grands obstacles impraticables (dont certains tombent près des délimitations de la ZGA) qui limitent considérablement le déplacement des poissons (et des pêcheurs à la ligne) entre les cours, ce qui a pour effet de diminuer le risque de propagation des espèces dans l’ensemble de la rivière. Les pêcheurs à la ligne qui utilisent des appâts vivants dans chaque section de la rivière des Outaouais peuvent donc se servir des appâts provenant de la ZGA par laquelle ils ont eu accès à la rivière. Les exploitants commerciaux qui ont des zones de récolte d’appâts (ZRA) situées sur la rivière des Outaouais sont autorisés à les déplacer vers l’intérieur, dans la ZGA adjacente, afin de les distribuer (un peu comme l’exception accordée aux récoltants commerciaux concernant les ZRA dans les Grands Lacs).</w:t>
      </w:r>
    </w:p>
    <w:p w14:paraId="2CEBFE37" w14:textId="657CAC4E" w:rsidR="005A37D1" w:rsidRPr="005A37D1" w:rsidRDefault="008B7F27" w:rsidP="008B7F27">
      <w:pPr>
        <w:pStyle w:val="Heading2"/>
        <w:rPr>
          <w:b w:val="0"/>
        </w:rPr>
      </w:pPr>
      <w:r>
        <w:rPr>
          <w:b w:val="0"/>
        </w:rPr>
        <w:t xml:space="preserve"> </w:t>
      </w:r>
      <w:bookmarkStart w:id="29" w:name="_Toc45724802"/>
      <w:r>
        <w:t>Exception :</w:t>
      </w:r>
      <w:r>
        <w:rPr>
          <w:b w:val="0"/>
        </w:rPr>
        <w:t xml:space="preserve"> </w:t>
      </w:r>
      <w:r>
        <w:t xml:space="preserve">Programme d’analyse du lac </w:t>
      </w:r>
      <w:proofErr w:type="spellStart"/>
      <w:r>
        <w:t>Simcoe</w:t>
      </w:r>
      <w:bookmarkEnd w:id="29"/>
      <w:proofErr w:type="spellEnd"/>
    </w:p>
    <w:p w14:paraId="33A1014F" w14:textId="6D0B7D2F" w:rsidR="0078123C" w:rsidRDefault="0078123C" w:rsidP="00EB522E">
      <w:r>
        <w:t>En général, les exploitants commerciaux ne sont pas autorisés à sortir leurs appâts d’une ZGA.</w:t>
      </w:r>
    </w:p>
    <w:p w14:paraId="11921B2F" w14:textId="023589CC" w:rsidR="005A37D1" w:rsidRPr="00142C5D" w:rsidRDefault="0078123C" w:rsidP="00EB522E">
      <w:pPr>
        <w:rPr>
          <w:b/>
        </w:rPr>
      </w:pPr>
      <w:r>
        <w:t xml:space="preserve">Cependant, de nombreuses entreprises </w:t>
      </w:r>
      <w:r w:rsidRPr="00E07AF1">
        <w:t>du centre de la province</w:t>
      </w:r>
      <w:r>
        <w:t xml:space="preserve"> comptent actuellement sur la disponibilité de </w:t>
      </w:r>
      <w:proofErr w:type="spellStart"/>
      <w:r>
        <w:t>ménés</w:t>
      </w:r>
      <w:proofErr w:type="spellEnd"/>
      <w:r>
        <w:t xml:space="preserve"> émeraudes du lac </w:t>
      </w:r>
      <w:proofErr w:type="spellStart"/>
      <w:r>
        <w:t>Simcoe</w:t>
      </w:r>
      <w:proofErr w:type="spellEnd"/>
      <w:r>
        <w:t xml:space="preserve"> ayant été analysés afin d’approvisionner leurs clients tout au long de l’hiver. </w:t>
      </w:r>
      <w:r>
        <w:rPr>
          <w:b/>
        </w:rPr>
        <w:t xml:space="preserve">Pour régler les problèmes locaux d’offre et de demande qui peuvent survenir en hiver, le MRNF permettra </w:t>
      </w:r>
      <w:r w:rsidRPr="00E07AF1">
        <w:rPr>
          <w:b/>
        </w:rPr>
        <w:t xml:space="preserve">aux récolteurs commerciaux approuvés de déplacer les </w:t>
      </w:r>
      <w:proofErr w:type="spellStart"/>
      <w:r w:rsidRPr="00E07AF1">
        <w:rPr>
          <w:b/>
        </w:rPr>
        <w:t>ménés</w:t>
      </w:r>
      <w:proofErr w:type="spellEnd"/>
      <w:r w:rsidRPr="00E07AF1">
        <w:rPr>
          <w:b/>
        </w:rPr>
        <w:t xml:space="preserve"> émeraudes du lac </w:t>
      </w:r>
      <w:proofErr w:type="spellStart"/>
      <w:r w:rsidRPr="00E07AF1">
        <w:rPr>
          <w:b/>
        </w:rPr>
        <w:t>Simcoe</w:t>
      </w:r>
      <w:proofErr w:type="spellEnd"/>
      <w:r w:rsidRPr="00E07AF1">
        <w:rPr>
          <w:b/>
        </w:rPr>
        <w:t xml:space="preserve"> ayant fait l’objet d’analyse au nord dans la ZGA du centre et une partie de la ZGA du nord-est (c’est-à-dire, au sud de la route 17 et à l’est de la frontière de la ZGP 11) tout au long de l’hiver.</w:t>
      </w:r>
      <w:r>
        <w:rPr>
          <w:b/>
        </w:rPr>
        <w:t xml:space="preserve">   </w:t>
      </w:r>
    </w:p>
    <w:p w14:paraId="5673CB48" w14:textId="2FFD2CA1" w:rsidR="005A37D1" w:rsidRDefault="00D228B1" w:rsidP="00EB522E">
      <w:r>
        <w:t xml:space="preserve">Ce nouveau programme d’analyse sera fondé sur le programme pilote concernant la S.H.V. actuel, en place depuis 2013-2014. Les récolteurs du lac </w:t>
      </w:r>
      <w:proofErr w:type="spellStart"/>
      <w:r>
        <w:t>Simcoe</w:t>
      </w:r>
      <w:proofErr w:type="spellEnd"/>
      <w:r>
        <w:t xml:space="preserve"> pourront participer au nouveau programme d’analyse et, s’ils sont approuvés, faire analyser leurs appâts à leurs frais. </w:t>
      </w:r>
    </w:p>
    <w:p w14:paraId="0595E569" w14:textId="6069CC49" w:rsidR="00D40A6C" w:rsidRPr="00107057" w:rsidRDefault="00870785" w:rsidP="007E659B">
      <w:pPr>
        <w:pStyle w:val="Heading2"/>
        <w:tabs>
          <w:tab w:val="clear" w:pos="1639"/>
          <w:tab w:val="num" w:pos="1260"/>
        </w:tabs>
      </w:pPr>
      <w:bookmarkStart w:id="30" w:name="_Toc45724803"/>
      <w:r>
        <w:t xml:space="preserve">Reçus </w:t>
      </w:r>
      <w:bookmarkStart w:id="31" w:name="_Toc473560478"/>
      <w:r>
        <w:t>commerciaux</w:t>
      </w:r>
      <w:bookmarkEnd w:id="31"/>
      <w:r>
        <w:t xml:space="preserve"> et documentation</w:t>
      </w:r>
      <w:bookmarkEnd w:id="30"/>
    </w:p>
    <w:p w14:paraId="6FC6F57F" w14:textId="60B94CC2" w:rsidR="00A82438" w:rsidRPr="00CD2E12" w:rsidRDefault="00A12A23" w:rsidP="00D40A6C">
      <w:pPr>
        <w:rPr>
          <w:b/>
        </w:rPr>
      </w:pPr>
      <w:r>
        <w:t xml:space="preserve">L’orientation suivante vise à assurer une conformité aux zones de déplacement des appâts prescrites pour les appâts commerciaux (achetés) et capturés à des fins personnelles. </w:t>
      </w:r>
    </w:p>
    <w:p w14:paraId="12B7E622" w14:textId="073F9B06" w:rsidR="00F304C7" w:rsidRDefault="00F304C7" w:rsidP="00A770EF">
      <w:pPr>
        <w:rPr>
          <w:b/>
          <w:i/>
        </w:rPr>
      </w:pPr>
      <w:r>
        <w:rPr>
          <w:b/>
          <w:i/>
        </w:rPr>
        <w:t>Les pêcheurs à la ligne en possession d’appâts (qu’ils ont achetés ou capturés en personne) à l’intérieur de la ZGA de leur résidence principale (indiquée sur leur permis de pêche ou une autre forme d’identification valide délivrée par le gouvernement) n’ont pas besoin de conserver un reçu ou d’autres documents.</w:t>
      </w:r>
    </w:p>
    <w:p w14:paraId="63BBD867" w14:textId="3DAB4473" w:rsidR="0057037C" w:rsidRDefault="00A82438" w:rsidP="00A770EF">
      <w:pPr>
        <w:rPr>
          <w:b/>
          <w:i/>
        </w:rPr>
      </w:pPr>
      <w:r>
        <w:rPr>
          <w:b/>
          <w:i/>
        </w:rPr>
        <w:t xml:space="preserve">Les pêcheurs à la ligne en possession d’appâts en dehors de la ZGA de leur résidence principale sont tenus de se procurer leurs appâts dans la ZGA où ils s’en servent.  </w:t>
      </w:r>
    </w:p>
    <w:p w14:paraId="05E03A8C" w14:textId="188ABFDB" w:rsidR="0057037C" w:rsidRPr="0057037C" w:rsidRDefault="00FB1211" w:rsidP="00A770EF">
      <w:pPr>
        <w:rPr>
          <w:i/>
        </w:rPr>
      </w:pPr>
      <w:r>
        <w:rPr>
          <w:b/>
          <w:i/>
        </w:rPr>
        <w:lastRenderedPageBreak/>
        <w:t>Les pêcheurs à la ligne doivent garder le reçu en leur possession afin de prouver que les appâts ont été achetés dans la ZGA pertinente au cours des deux semaines précédentes.</w:t>
      </w:r>
      <w:r>
        <w:rPr>
          <w:i/>
        </w:rPr>
        <w:t xml:space="preserve"> </w:t>
      </w:r>
    </w:p>
    <w:p w14:paraId="7341A8D3" w14:textId="54E1337E" w:rsidR="00A770EF" w:rsidRPr="0057037C" w:rsidRDefault="00A770EF" w:rsidP="00A770EF">
      <w:pPr>
        <w:rPr>
          <w:b/>
          <w:i/>
        </w:rPr>
      </w:pPr>
      <w:r>
        <w:t xml:space="preserve">Les pêcheurs à la ligne doivent se servir ou se débarrasser légalement de tous les appâts capturés à des fins commerciales dans les deux semaines suivant leur achat. Le délai de deux semaines permet de s’assurer que les pêcheurs se conforment aux exigences relatives aux achats de la ZGA. </w:t>
      </w:r>
    </w:p>
    <w:p w14:paraId="17698645" w14:textId="68A76874" w:rsidR="00D40A6C" w:rsidRPr="00107057" w:rsidRDefault="00314129" w:rsidP="00D40A6C">
      <w:pPr>
        <w:rPr>
          <w:b/>
          <w:i/>
        </w:rPr>
      </w:pPr>
      <w:r>
        <w:rPr>
          <w:b/>
          <w:i/>
        </w:rPr>
        <w:t xml:space="preserve">Toutes les transactions qui concernent des appâts commerciaux (p. ex. d’un titulaire de permis à un autre) doivent être accompagnées d’un reçu qui indique clairement le nom du vendeur ou du commerce, le lieu ainsi que la date de la vente des appâts. </w:t>
      </w:r>
    </w:p>
    <w:p w14:paraId="6A95C325" w14:textId="35590890" w:rsidR="00984A96" w:rsidRDefault="00984A96" w:rsidP="00B644F4">
      <w:pPr>
        <w:pStyle w:val="Heading2"/>
      </w:pPr>
      <w:bookmarkStart w:id="32" w:name="_Toc45724804"/>
      <w:r>
        <w:t>Entreposage</w:t>
      </w:r>
      <w:bookmarkEnd w:id="32"/>
    </w:p>
    <w:p w14:paraId="48D310E2" w14:textId="05C782AF" w:rsidR="00984A96" w:rsidRPr="00107057" w:rsidRDefault="00984A96" w:rsidP="00984A96">
      <w:r>
        <w:t>Les pêcheurs à la ligne comme les exploitants commerciaux conservent couramment leurs appâts dans des plans d’eau. Les pêcheurs conservent souvent leurs appâts dans un seau à appâts qui est attaché à un bateau, à un quai ou au bord de l’eau, tandis que les exploitants commerciaux ont pour habitude d’utiliser de grands caissons. Il arrive fréquemment que l’eau dans laquelle les appâts sont transportés soit transvasée avec les poissons dans le caisson ou le seau à appâts, avant de l’être dans le plan d’eau. Cette eau risque de contenir des végétaux et des organismes microscopiques qui, dans certains cas, pourraient être envahissants. Bien qu’il soit illégal de vider le contenu d’un contenant d’appâts (en plus de l’eau qu’il contient) directement dans un plan d’eau, de nombreux pêcheurs à la ligne continuent de le faire. En outre, l’entreposage des appâts à des fins commerciales dans l’eau est considéré comme une activité qui présente des risques élevés en raison du volume important d’appâts qui pourraient s’échapper du contenant dans lequel ils sont conservés.</w:t>
      </w:r>
    </w:p>
    <w:p w14:paraId="643B8CBC" w14:textId="4D7FA7D5" w:rsidR="00984A96" w:rsidRPr="00B644F4" w:rsidRDefault="00984A96" w:rsidP="00984A96">
      <w:r>
        <w:t>Au niveau provincial, l’entreposage des appâts, sans se limiter aux caissons et aux seaux à appâts, doit cadrer avec les règles relatives à l’ampleur des déplacements en vigueur, tel qu’il est indiqué ci-après :</w:t>
      </w:r>
    </w:p>
    <w:p w14:paraId="5B92F1F2" w14:textId="086EBFA9" w:rsidR="00984A96" w:rsidRPr="00B644F4" w:rsidRDefault="00984A96" w:rsidP="00B644F4">
      <w:pPr>
        <w:rPr>
          <w:b/>
          <w:i/>
        </w:rPr>
      </w:pPr>
      <w:r>
        <w:rPr>
          <w:b/>
          <w:i/>
        </w:rPr>
        <w:t>Les appâts des quatre ZGA (pris à des fins commerciales ou personnelles) doivent être entreposés dans la même ZGA que celle dans laquelle ils ont été achetés ou récoltés, ou conformément aux exceptions concernant les déplacements qui figurent à la section 3.2</w:t>
      </w:r>
    </w:p>
    <w:p w14:paraId="63764CE9" w14:textId="3F7C7045" w:rsidR="005C2F7F" w:rsidRPr="00107057" w:rsidRDefault="00984A96" w:rsidP="005C2F7F">
      <w:pPr>
        <w:pStyle w:val="Heading1"/>
      </w:pPr>
      <w:bookmarkStart w:id="33" w:name="_Toc45724805"/>
      <w:r>
        <w:t>Utilisation d’appâts dans les lacs d’ombles de fontaine indigènes</w:t>
      </w:r>
      <w:bookmarkEnd w:id="33"/>
    </w:p>
    <w:p w14:paraId="34CA3408" w14:textId="2A141D90" w:rsidR="00DC0DCC" w:rsidRPr="00107057" w:rsidRDefault="00756410" w:rsidP="00063BC4">
      <w:pPr>
        <w:rPr>
          <w:rFonts w:cs="Arial"/>
        </w:rPr>
      </w:pPr>
      <w:r>
        <w:t xml:space="preserve">L’omble de fontaine, un poisson de sport désirable en Ontario, est sensible aux changements qui surviennent dans sa communauté et on le trouve généralement seulement quand quelques espèces de poissons différentes sont présentes. </w:t>
      </w:r>
      <w:r>
        <w:lastRenderedPageBreak/>
        <w:t xml:space="preserve">Lorsque de nouvelles espèces envahissantes (p. ex. le </w:t>
      </w:r>
      <w:proofErr w:type="spellStart"/>
      <w:r>
        <w:t>gobi</w:t>
      </w:r>
      <w:proofErr w:type="spellEnd"/>
      <w:r>
        <w:t xml:space="preserve"> à taches noires) ou des espèces indigènes provenant d’autres régions de l’Ontario (p. ex. la perchaude jaune ou l’achigan à petite bouche) s’établissent dans un lac d’ombles de fontaine, les conséquences sur les populations d’ombles de fontaine indigènes peuvent être dévastatrices. Des données probantes recueillies dans le cadre des programmes de surveillance provinciaux montrent que les populations d’ombles de fontaine indigènes diminuent dans les lacs de l’Ontario et que ces pertes peuvent être attribuées en grande partie à l’introduction de nouvelles espèces. L’orientation suivante s’applique afin de protéger les populations d’ombles de fontaine indigènes : </w:t>
      </w:r>
    </w:p>
    <w:p w14:paraId="5A710EE5" w14:textId="18C63FBA" w:rsidR="006F261C" w:rsidRPr="00107057" w:rsidRDefault="009A496B" w:rsidP="006F261C">
      <w:pPr>
        <w:rPr>
          <w:b/>
          <w:i/>
        </w:rPr>
      </w:pPr>
      <w:r>
        <w:rPr>
          <w:b/>
          <w:i/>
        </w:rPr>
        <w:t>L’utilisation et l’entreposage d’appâts sont interdits dans les lacs d’ombles de fontaine indigènes.</w:t>
      </w:r>
    </w:p>
    <w:p w14:paraId="68BC9F4B" w14:textId="3AB2A5E6" w:rsidR="00E07AF1" w:rsidRPr="00E07AF1" w:rsidRDefault="00BE7188" w:rsidP="005543E8">
      <w:r>
        <w:t xml:space="preserve">Cette orientation ne concerne pas les lacs qui sont activement empoissonnés (p. ex. l’empoissonnement, la croissance et la pêche) ou les lacs dans lesquels l’omble de fontaine n’est plus présent. Cette politique contribue à obtenir une orientation cohérente dans toute la province pour l’omble de fontaine, quoiqu’une autre orientation puisse s’ajouter dans le courant des processus de planification des ZGP. Le MRNF publiera une liste des lacs comptant une population indigène auxquels cette politique s’appliquera. Cette orientation ne s’appliquera pas au lac Supérieur, ni aux rivières et cours d’eau dans lesquels vit l’omble de fontaine. </w:t>
      </w:r>
      <w:bookmarkStart w:id="34" w:name="_Toc389488000"/>
      <w:bookmarkEnd w:id="28"/>
    </w:p>
    <w:p w14:paraId="29B2897D" w14:textId="4C1C74E9" w:rsidR="00CA611D" w:rsidRPr="00107057" w:rsidRDefault="00042883" w:rsidP="00042883">
      <w:pPr>
        <w:pStyle w:val="Heading1"/>
      </w:pPr>
      <w:bookmarkStart w:id="35" w:name="_Toc473560488"/>
      <w:bookmarkStart w:id="36" w:name="_Toc45724806"/>
      <w:r>
        <w:t>Exploitation commerciale des appât</w:t>
      </w:r>
      <w:bookmarkEnd w:id="34"/>
      <w:r>
        <w:t>s</w:t>
      </w:r>
      <w:bookmarkEnd w:id="35"/>
      <w:bookmarkEnd w:id="36"/>
    </w:p>
    <w:p w14:paraId="41513AA1" w14:textId="565DEC30" w:rsidR="00033410" w:rsidRPr="00107057" w:rsidRDefault="00042883" w:rsidP="00033410">
      <w:r>
        <w:t xml:space="preserve">L’orientation suivante traite des récoltants et des vendeurs d’appâts à des fins commerciales qui détiennent un permis. </w:t>
      </w:r>
    </w:p>
    <w:p w14:paraId="6443117F" w14:textId="77777777" w:rsidR="00DE4C4D" w:rsidRPr="00107057" w:rsidRDefault="00DE4C4D" w:rsidP="0051773A">
      <w:pPr>
        <w:pStyle w:val="Heading2"/>
        <w:tabs>
          <w:tab w:val="clear" w:pos="1639"/>
          <w:tab w:val="num" w:pos="1260"/>
        </w:tabs>
      </w:pPr>
      <w:bookmarkStart w:id="37" w:name="_Toc473560489"/>
      <w:bookmarkStart w:id="38" w:name="_Toc45724807"/>
      <w:r>
        <w:t>Formation</w:t>
      </w:r>
      <w:bookmarkEnd w:id="37"/>
      <w:bookmarkEnd w:id="38"/>
    </w:p>
    <w:p w14:paraId="64F8B63A" w14:textId="4D39BED3" w:rsidR="00BB3166" w:rsidRDefault="000E65C0" w:rsidP="00DE4C4D">
      <w:r>
        <w:t xml:space="preserve">Les exploitants d’un commerce d’appâts jouent un rôle essentiel en aidant à réduire au minimum le transfert des espèces non visées et des pathogènes.  De nombreuses personnes sont concernées par le déplacement des appâts à des fins commerciales du point de leur récolte jusqu’au dernier endroit où ils seront vendus, dont des récoltants, des personnes désignées, des grossistes et des vendeurs, qui sont toutes responsables de veiller à ce que les espèces d’appâts non visées ne soient pas propagées le long de la trajectoire des appâts. </w:t>
      </w:r>
    </w:p>
    <w:p w14:paraId="1E39C949" w14:textId="3BAE7404" w:rsidR="00DE4C4D" w:rsidRPr="00107057" w:rsidRDefault="00DE4C4D" w:rsidP="00DE4C4D">
      <w:r>
        <w:t xml:space="preserve">L’orientation qui suit rendra les acteurs de l’industrie plus conscients des risques potentiels associés au déplacement d’espèces non visées et des mesures que l’on peut prendre pour prévenir leur propagation. </w:t>
      </w:r>
    </w:p>
    <w:p w14:paraId="29EBB762" w14:textId="2E2519DA" w:rsidR="00DE4C4D" w:rsidRPr="00107057" w:rsidRDefault="00DE4C4D" w:rsidP="00DE4C4D">
      <w:pPr>
        <w:rPr>
          <w:rFonts w:eastAsiaTheme="minorHAnsi"/>
          <w:b/>
          <w:i/>
        </w:rPr>
      </w:pPr>
      <w:r>
        <w:rPr>
          <w:b/>
          <w:i/>
        </w:rPr>
        <w:t xml:space="preserve">Les récoltants et les vendeurs d’appâts à des fins commerciales devront suivre un cours de formation uniformisé qui sera administré par le MRNF. </w:t>
      </w:r>
    </w:p>
    <w:p w14:paraId="52E6F77A" w14:textId="605D990F" w:rsidR="00DE4C4D" w:rsidRPr="00107057" w:rsidRDefault="00DE4C4D" w:rsidP="00DE4C4D">
      <w:pPr>
        <w:rPr>
          <w:rFonts w:eastAsiaTheme="minorHAnsi"/>
        </w:rPr>
      </w:pPr>
      <w:r>
        <w:t xml:space="preserve">Ce cours de formation a pour but de sensibiliser davantage les récoltants et les vendeurs aux espèces non visées, dont les espèces envahissantes et les </w:t>
      </w:r>
      <w:r>
        <w:lastRenderedPageBreak/>
        <w:t xml:space="preserve">espèces en péril, et de déterminer les mesures à prendre pour éviter leur propagation. </w:t>
      </w:r>
    </w:p>
    <w:p w14:paraId="01B0EB1A" w14:textId="5D2BD6FE" w:rsidR="00DE4C4D" w:rsidRPr="009D707B" w:rsidRDefault="00DE4C4D" w:rsidP="00DE4C4D">
      <w:pPr>
        <w:rPr>
          <w:b/>
          <w:i/>
        </w:rPr>
      </w:pPr>
      <w:r>
        <w:rPr>
          <w:b/>
          <w:i/>
        </w:rPr>
        <w:t xml:space="preserve">En plus des récoltants et des vendeurs, les personnes désignées qui figurent sur le permis du récoltant commercial seront tenues de suivre un cours de formation (élaboré par le MRNF). Les personnes désignées devront avoir suivi la formation avant que leur nom ne soit ajouté au permis. </w:t>
      </w:r>
    </w:p>
    <w:p w14:paraId="2AB966BC" w14:textId="75E3BD2A" w:rsidR="008560B6" w:rsidRPr="00107057" w:rsidRDefault="007730BD" w:rsidP="00033410">
      <w:r>
        <w:t>Comme les personnes désignées dont le nom figure sur un permis sont autorisées à récolter des appâts pour le compte du détenteur du permis, elles devraient suivre une formation sur les risques potentiels de propagation d’espèces non visées. Le titulaire du permis sera quand même tenu de veiller à ce que toutes les personnes concernées par ses activités soient au courant des conditions du permis ainsi que des règles et règlements qui s’appliquent à la vente et à la récolte des appâts.</w:t>
      </w:r>
    </w:p>
    <w:p w14:paraId="25A6F21F" w14:textId="77777777" w:rsidR="0019577B" w:rsidRPr="00107057" w:rsidRDefault="0019577B" w:rsidP="0051773A">
      <w:pPr>
        <w:pStyle w:val="Heading2"/>
        <w:tabs>
          <w:tab w:val="clear" w:pos="1639"/>
          <w:tab w:val="num" w:pos="1260"/>
        </w:tabs>
      </w:pPr>
      <w:bookmarkStart w:id="39" w:name="_Toc473560490"/>
      <w:bookmarkStart w:id="40" w:name="_Toc45724808"/>
      <w:r>
        <w:t>Équipement</w:t>
      </w:r>
      <w:bookmarkEnd w:id="39"/>
      <w:bookmarkEnd w:id="40"/>
    </w:p>
    <w:p w14:paraId="10A34F1B" w14:textId="3CDCEDDE" w:rsidR="0019577B" w:rsidRPr="00107057" w:rsidRDefault="0019577B" w:rsidP="0019577B">
      <w:r>
        <w:t xml:space="preserve">Le MRNF limite le type d’équipement commercial autorisé, la longueur et la taille des mailles de filet, le nombre de pièges et d’autres types de matériel commercial pour aider à éviter que des menaces pèsent sur cette ressource (p. ex. la surpêche, l’échappement du contenant d’entreposage). À l’heure actuelle, les restrictions imposées sur l’équipement sont mentionnées dans les conditions de délivrance du permis.  Ces conditions peuvent varier en fonction du permis à travers la province, parfois même entre les détenteurs de permis dans des ZRA polyvalentes. Comme elles ne comportent pas d’exigences uniformisées en matière d’équipement, les conditions du permis sont très compliquées, difficiles à gérer et d’une efficacité variable pour protéger la ressource. </w:t>
      </w:r>
    </w:p>
    <w:p w14:paraId="641E68FE" w14:textId="3E90E236" w:rsidR="0019577B" w:rsidRPr="00107057" w:rsidRDefault="0019577B" w:rsidP="0019577B">
      <w:r>
        <w:t>À l’avenir, les restrictions suivantes concerneront le permis de récoltant commercial :</w:t>
      </w:r>
    </w:p>
    <w:p w14:paraId="3377E2C0" w14:textId="5742F833" w:rsidR="0019577B" w:rsidRPr="00107057" w:rsidRDefault="0019577B" w:rsidP="0019577B">
      <w:pPr>
        <w:rPr>
          <w:b/>
          <w:i/>
        </w:rPr>
      </w:pPr>
      <w:r>
        <w:rPr>
          <w:b/>
          <w:i/>
        </w:rPr>
        <w:t>Dans les ZRA polyvalentes, le type ou la quantité de matériel autorisé sera uniformisé pour tous les détenteurs de permis.</w:t>
      </w:r>
    </w:p>
    <w:p w14:paraId="1942A5F6" w14:textId="094258C7" w:rsidR="0019577B" w:rsidRPr="00107057" w:rsidRDefault="0019577B" w:rsidP="0019577B">
      <w:pPr>
        <w:rPr>
          <w:b/>
          <w:i/>
        </w:rPr>
      </w:pPr>
      <w:r>
        <w:rPr>
          <w:b/>
          <w:i/>
        </w:rPr>
        <w:t xml:space="preserve">Le MRNF collaborera avec les exploitants d’un commerce d’appâts à l’élaboration d’un guide sur les pratiques de gestion optimales (PGO) pour la récolte et l’entreposage des appâts. </w:t>
      </w:r>
    </w:p>
    <w:p w14:paraId="50193CCF" w14:textId="35E559CC" w:rsidR="0019577B" w:rsidRPr="00C55A4B" w:rsidRDefault="0019577B" w:rsidP="0019577B">
      <w:r>
        <w:t xml:space="preserve">Le guide sur les PGO, qui sera conçu en collaboration avec des représentants de l’industrie des appâts, servira à sensibiliser les récoltants et à promouvoir l’utilisation de méthodes uniformisées et appuyées par l’industrie pour les activités liées à la récolte des appâts. Le guide sur les PGO traitera des aspects qui concernent les types de matériel, de la bonne grandeur des mailles de filet, des lieux d’entreposage ainsi que des méthodes pour réduire au minimum les impacts sur les espèces en péril et leur habitat. </w:t>
      </w:r>
    </w:p>
    <w:p w14:paraId="460C321D" w14:textId="77777777" w:rsidR="002456BE" w:rsidRPr="00107057" w:rsidRDefault="002456BE" w:rsidP="0051773A">
      <w:pPr>
        <w:pStyle w:val="Heading2"/>
        <w:tabs>
          <w:tab w:val="clear" w:pos="1639"/>
          <w:tab w:val="num" w:pos="1260"/>
        </w:tabs>
      </w:pPr>
      <w:bookmarkStart w:id="41" w:name="_Toc473560492"/>
      <w:bookmarkStart w:id="42" w:name="_Toc45724809"/>
      <w:r>
        <w:lastRenderedPageBreak/>
        <w:t>Présentation de rapports</w:t>
      </w:r>
      <w:bookmarkEnd w:id="41"/>
      <w:bookmarkEnd w:id="42"/>
    </w:p>
    <w:p w14:paraId="5CEB6F41" w14:textId="4DD64A3C" w:rsidR="002456BE" w:rsidRPr="00107057" w:rsidRDefault="002456BE" w:rsidP="002456BE">
      <w:r>
        <w:t>La tenue de registres et la présentation de rapports par les exploitants d’un commerce sont un outil dont se sert le MRNF pour gérer de manière efficace les ressources que constituent les appâts. Le MRNF exige la transmission de rapports annuels qui précisent la quantité d’appâts pris dans une ZRA ainsi que la quantité d’appâts vendus à des pêcheurs à la ligne. Cette façon de procéder vise à quantifier l’ampleur des récoltes ainsi que la dynamique et l’importance de l’industrie. Les registres, qui constituent également des documents opérationnels pour les exploitants, peuvent être utilisés par les agents de protection de la nature pour des besoins de conformité.</w:t>
      </w:r>
    </w:p>
    <w:p w14:paraId="66C330B2" w14:textId="10CF01DF" w:rsidR="002456BE" w:rsidRPr="00107057" w:rsidRDefault="000240E5" w:rsidP="002456BE">
      <w:r>
        <w:t xml:space="preserve">Cela dit, la structure actuelle pour la présentation des rapports ne permet pas de suivre les appâts du lieu de la récolte jusqu’au point de vente.  Les capacités du MRNF pour encourager la conformité sont limitées par cette structure. Les exigences suivantes ont pour but de rendre les exigences en matière de présentation de rapports plus efficaces et transparentes : </w:t>
      </w:r>
    </w:p>
    <w:p w14:paraId="692FFC92" w14:textId="5935AA76" w:rsidR="002456BE" w:rsidRPr="00107057" w:rsidRDefault="0079463A" w:rsidP="002456BE">
      <w:pPr>
        <w:rPr>
          <w:b/>
          <w:i/>
        </w:rPr>
      </w:pPr>
      <w:r>
        <w:rPr>
          <w:b/>
          <w:i/>
        </w:rPr>
        <w:t xml:space="preserve">À l’aide des registres prévus par le MRNF, tous les détenteurs d’un permis d’appât commercial doivent documenter les transactions qui se rapportent </w:t>
      </w:r>
      <w:proofErr w:type="gramStart"/>
      <w:r>
        <w:rPr>
          <w:b/>
          <w:i/>
        </w:rPr>
        <w:t>aux appâts effectuées</w:t>
      </w:r>
      <w:proofErr w:type="gramEnd"/>
      <w:r>
        <w:rPr>
          <w:b/>
          <w:i/>
        </w:rPr>
        <w:t xml:space="preserve"> entre des détenteurs d’un permis, en précisant notamment quand le transfert a eu lieu, la quantité d’appâts qui a été transférée et qui a acheté/reçu et vendu les appâts.</w:t>
      </w:r>
    </w:p>
    <w:p w14:paraId="704D1C6D" w14:textId="59487A3B" w:rsidR="00E14C05" w:rsidRDefault="00E14C05" w:rsidP="002456BE">
      <w:r>
        <w:t>En conjonction avec la délivrance obligatoire de reçus, une présentation de rapports plus efficace (c’est-à-dire la consignation de toutes les transactions) permettra d’accroître la transparence ainsi que la responsabilisation.</w:t>
      </w:r>
    </w:p>
    <w:p w14:paraId="0E3459A6" w14:textId="417CACA4" w:rsidR="002456BE" w:rsidRPr="00107057" w:rsidRDefault="002456BE" w:rsidP="002456BE">
      <w:r>
        <w:t>Les récoltants d’appâts à des fins commerciales continueront de devoir indiquer (dans leurs registres) la date de la prise et la quantité d’appâts récoltés dans une ZRA donnée. Les détenteurs d’un permis d’appât commercial doivent continuer de remplir un rapport annuel sur la récolte ou la vente d’appâts à des fins commerciales en prenant soin d’indiquer la quantité d’appâts récoltés ou vendus au niveau du détail (au pêcheur à la ligne).</w:t>
      </w:r>
    </w:p>
    <w:p w14:paraId="7EA89A7E" w14:textId="77777777" w:rsidR="00EB3D21" w:rsidRPr="00107057" w:rsidRDefault="00EB3D21" w:rsidP="0051773A">
      <w:pPr>
        <w:pStyle w:val="Heading2"/>
        <w:tabs>
          <w:tab w:val="clear" w:pos="1639"/>
          <w:tab w:val="num" w:pos="1260"/>
        </w:tabs>
      </w:pPr>
      <w:bookmarkStart w:id="43" w:name="_Toc473560493"/>
      <w:bookmarkStart w:id="44" w:name="_Toc45724810"/>
      <w:r>
        <w:t>Conformité</w:t>
      </w:r>
      <w:bookmarkEnd w:id="43"/>
      <w:bookmarkEnd w:id="44"/>
    </w:p>
    <w:p w14:paraId="253BDEFE" w14:textId="7A9CC2D6" w:rsidR="00EB3D21" w:rsidRPr="00107057" w:rsidRDefault="00EB3D21" w:rsidP="00EB3D21">
      <w:r>
        <w:t xml:space="preserve">La non-conformité des exploitants d’un commerce d’appâts s’accompagne de différentes infractions possibles, notamment de l’inobservation des conditions du permis ou des violations des règlements pris en application de la </w:t>
      </w:r>
      <w:r>
        <w:rPr>
          <w:i/>
          <w:iCs/>
        </w:rPr>
        <w:t>Loi de 1997 sur la conservation du poisson et de la faune</w:t>
      </w:r>
      <w:r>
        <w:t xml:space="preserve"> et de la </w:t>
      </w:r>
      <w:r>
        <w:rPr>
          <w:i/>
          <w:iCs/>
        </w:rPr>
        <w:t>Loi sur les pêches</w:t>
      </w:r>
      <w:r>
        <w:t xml:space="preserve"> (Règlement de pêche de l’Ontario [2007]).</w:t>
      </w:r>
      <w:r>
        <w:rPr>
          <w:i/>
        </w:rPr>
        <w:t xml:space="preserve"> </w:t>
      </w:r>
      <w:r>
        <w:t xml:space="preserve">En général, la non-conformité englobe les violations de nature opérationnelle (p. ex. la possession d’espèces qui ne sont pas des appâts) et de nature administrative (p. ex. le fait de ne pas remplir convenablement les registres quotidiens). Dans certains cas, le MRNF est habilité à révoquer, à modifier ou à refuser de délivrer un permis; toutefois, il n’existe actuellement aucun critère bien défini à ce sujet. Afin d’aborder ce point : </w:t>
      </w:r>
    </w:p>
    <w:p w14:paraId="19481BD6" w14:textId="7EADD8FC" w:rsidR="00EB3D21" w:rsidRPr="001409D8" w:rsidRDefault="00EB3D21" w:rsidP="00EB3D21">
      <w:pPr>
        <w:rPr>
          <w:b/>
          <w:i/>
        </w:rPr>
      </w:pPr>
      <w:r>
        <w:rPr>
          <w:b/>
          <w:i/>
        </w:rPr>
        <w:lastRenderedPageBreak/>
        <w:t>Le MRNF collaborera avec des représentants de l’industrie afin d’énoncer un cadre de conformité qui décrit quand le MRNF devrait révoquer, suspendre ou délivrer de nouveau un permis d’appât commercial.</w:t>
      </w:r>
    </w:p>
    <w:p w14:paraId="74772558" w14:textId="3028D319" w:rsidR="00B13FDC" w:rsidRPr="009D707B" w:rsidRDefault="00AB04C3" w:rsidP="00033410">
      <w:r>
        <w:t>La mise en œuvre d’un cadre de conformité se fera à l’intérieur d’une politique opérationnelle subséquente.</w:t>
      </w:r>
    </w:p>
    <w:p w14:paraId="5A6E5CE7" w14:textId="0D83908C" w:rsidR="00B13FDC" w:rsidRDefault="00042883" w:rsidP="00AC1ADA">
      <w:pPr>
        <w:pStyle w:val="Heading2"/>
        <w:tabs>
          <w:tab w:val="clear" w:pos="1639"/>
          <w:tab w:val="num" w:pos="1260"/>
        </w:tabs>
      </w:pPr>
      <w:bookmarkStart w:id="45" w:name="_Toc473560494"/>
      <w:bookmarkStart w:id="46" w:name="_Toc45724811"/>
      <w:r>
        <w:t>Permis d’appât commercial</w:t>
      </w:r>
      <w:bookmarkEnd w:id="45"/>
      <w:bookmarkEnd w:id="46"/>
    </w:p>
    <w:p w14:paraId="718EE06F" w14:textId="30D4D1DD" w:rsidR="003E791D" w:rsidRPr="00B13FDC" w:rsidRDefault="009F5E53" w:rsidP="00AC1ADA">
      <w:r>
        <w:t>Le MRNF n’apporte aucun changement aux types de permis ou au barème tarifaire existant concernant les permis ou les ZRA.</w:t>
      </w:r>
    </w:p>
    <w:p w14:paraId="66552D17" w14:textId="77777777" w:rsidR="00042883" w:rsidRPr="00107057" w:rsidRDefault="00042883" w:rsidP="0051773A">
      <w:pPr>
        <w:pStyle w:val="Heading3"/>
        <w:tabs>
          <w:tab w:val="clear" w:pos="1247"/>
          <w:tab w:val="num" w:pos="1800"/>
        </w:tabs>
      </w:pPr>
      <w:bookmarkStart w:id="47" w:name="_Toc473560496"/>
      <w:bookmarkStart w:id="48" w:name="_Toc45724812"/>
      <w:r>
        <w:t>Durée et renouvellement</w:t>
      </w:r>
      <w:bookmarkEnd w:id="47"/>
      <w:bookmarkEnd w:id="48"/>
    </w:p>
    <w:p w14:paraId="6CAFB2AE" w14:textId="6F83E6C5" w:rsidR="00BE6DAA" w:rsidRPr="00107057" w:rsidRDefault="00BE6DAA" w:rsidP="00BE6DAA">
      <w:r>
        <w:t xml:space="preserve">Quiconque récolte ou vend des appâts doit détenir un permis d’appât commercial. Ces permis, qui sont administrés par le MRNF, doivent actuellement être renouvelés chaque année.  Afin que les titulaires du permis puissent bénéficier d’une plus grande souplesse : </w:t>
      </w:r>
    </w:p>
    <w:p w14:paraId="1C839F9A" w14:textId="579E2EFF" w:rsidR="005D7B9D" w:rsidRPr="00CF7722" w:rsidRDefault="00BE6DAA" w:rsidP="00BE6DAA">
      <w:pPr>
        <w:rPr>
          <w:b/>
          <w:i/>
        </w:rPr>
      </w:pPr>
      <w:r>
        <w:rPr>
          <w:b/>
          <w:i/>
        </w:rPr>
        <w:t>Les permis d’appât commercial peuvent être renouvelés pour une période maximale de trois ans.</w:t>
      </w:r>
    </w:p>
    <w:p w14:paraId="28288099" w14:textId="30B099B0" w:rsidR="00E14C05" w:rsidRPr="00107057" w:rsidRDefault="00E14C05" w:rsidP="00BE6DAA">
      <w:r>
        <w:t>Les changements liés aux permis d’appât commercial seront apportés dans le cadre de politiques opérationnelles subséquentes.</w:t>
      </w:r>
    </w:p>
    <w:p w14:paraId="61C447DC" w14:textId="77777777" w:rsidR="00042883" w:rsidRPr="00107057" w:rsidRDefault="00042883" w:rsidP="0051773A">
      <w:pPr>
        <w:pStyle w:val="Heading3"/>
        <w:tabs>
          <w:tab w:val="clear" w:pos="1247"/>
          <w:tab w:val="num" w:pos="1800"/>
        </w:tabs>
      </w:pPr>
      <w:bookmarkStart w:id="49" w:name="_Toc473560497"/>
      <w:bookmarkStart w:id="50" w:name="_Toc45724813"/>
      <w:r>
        <w:t>Attribution</w:t>
      </w:r>
      <w:bookmarkEnd w:id="49"/>
      <w:bookmarkEnd w:id="50"/>
    </w:p>
    <w:p w14:paraId="41E45739" w14:textId="37D32599" w:rsidR="00E57377" w:rsidRDefault="00BE6DAA" w:rsidP="00BE6DAA">
      <w:r>
        <w:t xml:space="preserve">Depuis les années 1960, les ressources que constituent les appâts en Ontario sont attribuées aux récoltants qui détiennent un permis en fonction des zones de récolte d’appâts (ZRA). Les ZRA, dont la taille varie tout comme leur configuration, accordent habituellement à un seul détenteur de permis des droits de pêche exclusifs à une région. Dans certains cas, là où les appâts sont en très grand nombre (p. ex. au lac </w:t>
      </w:r>
      <w:proofErr w:type="spellStart"/>
      <w:r>
        <w:t>Simcoe</w:t>
      </w:r>
      <w:proofErr w:type="spellEnd"/>
      <w:r>
        <w:t xml:space="preserve"> et au lac Érié), les ZRA pourraient attribuer différents permis à plusieurs exploitants. Dans certaines ZRA, les sangsues et les poissons-appâts sont aussi répartis séparément entre les différents titulaires de permis.  </w:t>
      </w:r>
    </w:p>
    <w:p w14:paraId="4205A035" w14:textId="7CDEB962" w:rsidR="00BE6DAA" w:rsidRPr="00107057" w:rsidRDefault="00341BFA" w:rsidP="00BE6DAA">
      <w:r>
        <w:t xml:space="preserve">Afin de diminuer les conflits liés aux ressources entre les récoltants et de simplifier l’administration des permis, la politique suivante s’applique : </w:t>
      </w:r>
    </w:p>
    <w:p w14:paraId="661C9FF3" w14:textId="106387B1" w:rsidR="00BE6DAA" w:rsidRPr="00107057" w:rsidRDefault="00BE6DAA" w:rsidP="00BE6DAA">
      <w:pPr>
        <w:rPr>
          <w:b/>
          <w:i/>
        </w:rPr>
      </w:pPr>
      <w:r>
        <w:rPr>
          <w:b/>
          <w:i/>
        </w:rPr>
        <w:t xml:space="preserve">Les ressources provinciales que constituent les appâts continueront d’être réparties selon le système de ZRA en vigueur. </w:t>
      </w:r>
    </w:p>
    <w:p w14:paraId="73310CCF" w14:textId="5B3D88A6" w:rsidR="00120408" w:rsidRPr="00107057" w:rsidRDefault="00057FA5" w:rsidP="00BE6DAA">
      <w:pPr>
        <w:rPr>
          <w:b/>
          <w:i/>
        </w:rPr>
      </w:pPr>
      <w:r>
        <w:rPr>
          <w:b/>
          <w:i/>
        </w:rPr>
        <w:t xml:space="preserve">À l’exception des ZRA à forte densité d’appâts qui demeureraient polyvalentes, toutes les autres ZRA proposeront des répartitions basées sur une utilisation exclusive, peu importe le type d’appâts récoltés (c’est-à-dire des poissons-appâts et/ou des sangsues). </w:t>
      </w:r>
    </w:p>
    <w:p w14:paraId="3BC551BE" w14:textId="70D18BAA" w:rsidR="00457198" w:rsidRPr="00107057" w:rsidRDefault="009F5E53" w:rsidP="00C272B4">
      <w:r>
        <w:lastRenderedPageBreak/>
        <w:t xml:space="preserve">À l’avenir, les ZRA ne seront plus attribuées à un récoltant pour les poissons-appâts et à un autre récoltant pour les sangsues. Dans les situations où des ZRA polyvalentes doivent revenir à une utilisation exclusive, les attributions se poursuivront jusqu’à ce que l’un des récoltants de la ZRA ne souhaite plus poursuivre ses activités (c’est-à-dire que le transfert de la ZRA ne sera pas autorisé).  </w:t>
      </w:r>
    </w:p>
    <w:p w14:paraId="1BDDB945" w14:textId="2769F39B" w:rsidR="00C869B3" w:rsidRPr="00107057" w:rsidRDefault="00B636D5" w:rsidP="00C869B3">
      <w:pPr>
        <w:rPr>
          <w:b/>
          <w:i/>
        </w:rPr>
      </w:pPr>
      <w:r>
        <w:rPr>
          <w:b/>
          <w:i/>
        </w:rPr>
        <w:t xml:space="preserve">Toute ZRA qui est traversée par une ZGA sera divisée, le long de la délimitation de la ZGA établie, en deux nouvelles ZRA. </w:t>
      </w:r>
    </w:p>
    <w:p w14:paraId="7C44F403" w14:textId="565D084D" w:rsidR="005D7B9D" w:rsidRPr="00107057" w:rsidRDefault="008C4336" w:rsidP="008C4336">
      <w:r>
        <w:t xml:space="preserve">Les nouvelles ZRA subdivisées continueront d’être attribuées au détenteur initial de la ZRA. Des frais uniques s’appliqueront à ces deux nouvelles ZRA jusqu’à ce que l’une d’entre elles ne soit pas assignée ou soit transférée à un autre récoltant. </w:t>
      </w:r>
    </w:p>
    <w:p w14:paraId="7C521112" w14:textId="06D2C611" w:rsidR="00C869B3" w:rsidRPr="00107057" w:rsidRDefault="00821691" w:rsidP="00C869B3">
      <w:pPr>
        <w:rPr>
          <w:b/>
          <w:i/>
        </w:rPr>
      </w:pPr>
      <w:r>
        <w:rPr>
          <w:b/>
          <w:i/>
        </w:rPr>
        <w:t>Les récoltants détenteurs d’un permis continueront d’être autorisés à transférer des ZRA à d’autres récoltants qui détiennent également un permis, sous réserve de l’approbation du MRNF.</w:t>
      </w:r>
    </w:p>
    <w:p w14:paraId="7365D4A6" w14:textId="672C0158" w:rsidR="008C4336" w:rsidRPr="00107057" w:rsidRDefault="002024E0" w:rsidP="00C869B3">
      <w:r>
        <w:t>Le transfert des ZRA entre les récoltants pourrait être extrêmement utile pour permettre aux exploitants de faire des rajustements afin d’adapter leurs entreprises aux changements décrits dans la présente politique.</w:t>
      </w:r>
    </w:p>
    <w:p w14:paraId="249BE0EA" w14:textId="65956740" w:rsidR="00C869B3" w:rsidRPr="00107057" w:rsidRDefault="007917AA" w:rsidP="00C869B3">
      <w:pPr>
        <w:rPr>
          <w:b/>
          <w:i/>
        </w:rPr>
      </w:pPr>
      <w:r>
        <w:rPr>
          <w:b/>
          <w:i/>
        </w:rPr>
        <w:t>Lorsqu’une ZRA devient disponible pour une attribution et que plusieurs récoltants souhaitent l’acquérir, la ZRA sera redistribuée en fonction d’un système de points révisé qui comprendrait ce qui suit :</w:t>
      </w:r>
    </w:p>
    <w:p w14:paraId="0B10272F" w14:textId="77777777" w:rsidR="00C869B3" w:rsidRPr="00107057" w:rsidRDefault="005543E8" w:rsidP="00FD3030">
      <w:pPr>
        <w:pStyle w:val="ListParagraph"/>
        <w:numPr>
          <w:ilvl w:val="0"/>
          <w:numId w:val="6"/>
        </w:numPr>
        <w:rPr>
          <w:rFonts w:ascii="Arial" w:hAnsi="Arial" w:cs="Arial"/>
          <w:b/>
          <w:i/>
          <w:sz w:val="24"/>
        </w:rPr>
      </w:pPr>
      <w:r>
        <w:rPr>
          <w:rFonts w:ascii="Arial" w:hAnsi="Arial"/>
          <w:b/>
          <w:i/>
          <w:sz w:val="24"/>
        </w:rPr>
        <w:t>Des possibilités accrues pour les personnes autochtones au sein de leurs territoires traditionnels;</w:t>
      </w:r>
    </w:p>
    <w:p w14:paraId="05BBF611" w14:textId="77777777" w:rsidR="00720D8F" w:rsidRPr="00107057" w:rsidRDefault="00720D8F" w:rsidP="00FD3030">
      <w:pPr>
        <w:pStyle w:val="ListParagraph"/>
        <w:numPr>
          <w:ilvl w:val="0"/>
          <w:numId w:val="6"/>
        </w:numPr>
        <w:rPr>
          <w:rFonts w:ascii="Arial" w:hAnsi="Arial" w:cs="Arial"/>
          <w:b/>
          <w:i/>
          <w:sz w:val="24"/>
        </w:rPr>
      </w:pPr>
      <w:r>
        <w:rPr>
          <w:rFonts w:ascii="Arial" w:hAnsi="Arial"/>
          <w:b/>
          <w:i/>
          <w:sz w:val="24"/>
        </w:rPr>
        <w:t xml:space="preserve">Une pondération accrue pour les récoltants qui ont des ZRA adjacentes; </w:t>
      </w:r>
    </w:p>
    <w:p w14:paraId="16DBA24D" w14:textId="77777777" w:rsidR="00C869B3" w:rsidRPr="00107057" w:rsidRDefault="00C869B3" w:rsidP="00FD3030">
      <w:pPr>
        <w:pStyle w:val="ListParagraph"/>
        <w:numPr>
          <w:ilvl w:val="0"/>
          <w:numId w:val="6"/>
        </w:numPr>
        <w:rPr>
          <w:rFonts w:ascii="Arial" w:hAnsi="Arial" w:cs="Arial"/>
          <w:b/>
          <w:i/>
          <w:sz w:val="24"/>
        </w:rPr>
      </w:pPr>
      <w:r>
        <w:rPr>
          <w:rFonts w:ascii="Arial" w:hAnsi="Arial"/>
          <w:b/>
          <w:i/>
          <w:sz w:val="24"/>
        </w:rPr>
        <w:t>Une pondération accrue pour les nouveaux récoltants qui peuvent justifier d’un plan d’activités sain;</w:t>
      </w:r>
    </w:p>
    <w:p w14:paraId="02EE1953" w14:textId="77777777" w:rsidR="00C869B3" w:rsidRPr="00107057" w:rsidRDefault="00C869B3" w:rsidP="00FD3030">
      <w:pPr>
        <w:pStyle w:val="ListParagraph"/>
        <w:numPr>
          <w:ilvl w:val="0"/>
          <w:numId w:val="6"/>
        </w:numPr>
        <w:rPr>
          <w:rFonts w:ascii="Arial" w:hAnsi="Arial" w:cs="Arial"/>
          <w:b/>
          <w:i/>
          <w:sz w:val="24"/>
        </w:rPr>
      </w:pPr>
      <w:r>
        <w:rPr>
          <w:rFonts w:ascii="Arial" w:hAnsi="Arial"/>
          <w:b/>
          <w:i/>
          <w:sz w:val="24"/>
        </w:rPr>
        <w:t>Une pondération réduite pour les récoltants qui ont fait l’objet de condamnations en relation avec des infractions liées à des appâts.</w:t>
      </w:r>
    </w:p>
    <w:p w14:paraId="034E4538" w14:textId="39BB1842" w:rsidR="00065AC3" w:rsidRPr="00107057" w:rsidRDefault="00065AC3" w:rsidP="00FD3030">
      <w:pPr>
        <w:pStyle w:val="ListParagraph"/>
        <w:numPr>
          <w:ilvl w:val="0"/>
          <w:numId w:val="6"/>
        </w:numPr>
        <w:rPr>
          <w:rFonts w:ascii="Arial" w:hAnsi="Arial" w:cs="Arial"/>
          <w:b/>
          <w:i/>
          <w:sz w:val="24"/>
        </w:rPr>
      </w:pPr>
      <w:r>
        <w:rPr>
          <w:rFonts w:ascii="Arial" w:hAnsi="Arial"/>
          <w:b/>
          <w:i/>
          <w:sz w:val="24"/>
        </w:rPr>
        <w:t xml:space="preserve">Une prise en compte des récoltants existants qui auraient pu être touchés de manière négative par la nouvelle réglementation. </w:t>
      </w:r>
    </w:p>
    <w:p w14:paraId="6CC2346F" w14:textId="49CBC118" w:rsidR="00BE6DAA" w:rsidRDefault="002024E0" w:rsidP="00C869B3">
      <w:r>
        <w:t xml:space="preserve">Un système de points existe depuis 2001 pour répartir les ressources que constituent les appâts d’une manière équitable, objective et transparente; en revanche, comme ce système de points est fortement pondéré en ce qui concerne les récoltants existants qui possèdent de nombreuses ZRA, il est difficile pour les autres de pénétrer l’industrie. </w:t>
      </w:r>
    </w:p>
    <w:p w14:paraId="716274E9" w14:textId="2F178D6E" w:rsidR="002A1B78" w:rsidRPr="00107057" w:rsidRDefault="00042883" w:rsidP="0051773A">
      <w:pPr>
        <w:pStyle w:val="Heading3"/>
        <w:tabs>
          <w:tab w:val="clear" w:pos="1247"/>
          <w:tab w:val="num" w:pos="1800"/>
        </w:tabs>
      </w:pPr>
      <w:bookmarkStart w:id="51" w:name="_Toc473560498"/>
      <w:bookmarkStart w:id="52" w:name="_Toc45724814"/>
      <w:bookmarkStart w:id="53" w:name="_Toc389488010"/>
      <w:r>
        <w:lastRenderedPageBreak/>
        <w:t>Inutilisation</w:t>
      </w:r>
      <w:bookmarkEnd w:id="51"/>
      <w:bookmarkEnd w:id="52"/>
    </w:p>
    <w:p w14:paraId="692C0B40" w14:textId="32D707AE" w:rsidR="00C869B3" w:rsidRPr="00107057" w:rsidRDefault="00C869B3" w:rsidP="00C869B3">
      <w:pPr>
        <w:rPr>
          <w:rFonts w:eastAsiaTheme="minorHAnsi"/>
        </w:rPr>
      </w:pPr>
      <w:r>
        <w:t xml:space="preserve">Les zones de récolte d’appâts sont attribuées par le MRNF qui s’attend à ce que le titulaire du permis fasse les récoltes. Durant certaines années, les récoltants peuvent raisonnablement choisir de laisser des ZRA en dormance afin de reconstituer les stocks, tandis que d’autres peuvent ne pas avoir l’intention de poursuivre les récoltes. Afin de diminuer les problèmes associés aux pénuries d’appâts dans une ZRA, il est important que les récoltes se fassent d’une manière continue et durable afin de répondre à la demande. </w:t>
      </w:r>
    </w:p>
    <w:p w14:paraId="59B872C9" w14:textId="20583F51" w:rsidR="00C869B3" w:rsidRPr="00107057" w:rsidRDefault="006D239B" w:rsidP="00C869B3">
      <w:pPr>
        <w:rPr>
          <w:rFonts w:eastAsiaTheme="minorHAnsi"/>
          <w:b/>
          <w:i/>
          <w:szCs w:val="24"/>
        </w:rPr>
      </w:pPr>
      <w:r>
        <w:rPr>
          <w:b/>
          <w:i/>
        </w:rPr>
        <w:t xml:space="preserve">Si une ZRA demeure inutilisée (c’est-à-dire non exploitée) pendant une période de cinq ans, le MRNF verra à ce que cette ZRA puisse être redistribuée en vertu d’un autre permis. </w:t>
      </w:r>
    </w:p>
    <w:p w14:paraId="14186F60" w14:textId="7221463E" w:rsidR="00C869B3" w:rsidRPr="00A438D8" w:rsidRDefault="00C869B3" w:rsidP="00C869B3">
      <w:r>
        <w:t xml:space="preserve">Une ZRA inutilisée se définirait comme une ZRA qui ne contribue pas de manière raisonnable à la récolte globale des appâts sur une base annuelle ou à un moment donné au cours d’une période de cinq ans. Comme de nombreux récoltants décident d’alterner leurs ZRA selon un cycle de quatre à cinq ans pour accroître la récolte sur pied de poissons, une période d’inutilisation de cinq ans est jugée acceptable. Des circonstances exceptionnelles pourraient être prises en considération. </w:t>
      </w:r>
    </w:p>
    <w:p w14:paraId="08756E00" w14:textId="77777777" w:rsidR="00B94482" w:rsidRPr="00A438D8" w:rsidRDefault="00063BC4" w:rsidP="0061772D">
      <w:pPr>
        <w:pStyle w:val="Heading1"/>
      </w:pPr>
      <w:r>
        <w:t xml:space="preserve"> </w:t>
      </w:r>
      <w:bookmarkStart w:id="54" w:name="_Toc473560499"/>
      <w:bookmarkStart w:id="55" w:name="_Toc45724815"/>
      <w:r>
        <w:t>Conclusion</w:t>
      </w:r>
      <w:bookmarkEnd w:id="54"/>
      <w:bookmarkEnd w:id="55"/>
    </w:p>
    <w:p w14:paraId="1C09AB5A" w14:textId="7481B999" w:rsidR="008E719F" w:rsidRPr="00A438D8" w:rsidRDefault="00E87F93" w:rsidP="0061772D">
      <w:r>
        <w:t xml:space="preserve">La récolte et l’utilisation de poissons-appâts vivants représentent un volet important de l’industrie des pêches en Ontario depuis près d’un siècle, car la majorité des pêcheurs à la ligne utilisent des appâts vivants à un moment ou à un autre au cours de l’année. La récolte, l’utilisation et le déplacement des appâts comportent des risques écologiques et le cadre de gestion des appâts historique est perçu comme une initiative réactionnaire, trop compliquée à administrer et relativement peu efficace pour les atténuer.  </w:t>
      </w:r>
    </w:p>
    <w:p w14:paraId="52CECEA1" w14:textId="762BD40A" w:rsidR="000D3AD4" w:rsidRDefault="008E719F" w:rsidP="0074251E">
      <w:r>
        <w:t xml:space="preserve">Les politiques énoncées dans ce document ont été élaborées dans le but de protéger la vitalité des écosystèmes aquatiques en réduisant les risques écologiques liés à la récolte, à l’utilisation et au déplacement des appâts, tout en assurant la pérennité de cette industrie et en apportant une certitude commerciale à ses acteurs. Le MRNF s’attend à ce que les orientations formulées dans la présente politique contribuent à assurer une utilisation et une récolte durables des ressources que constituent les appâts en Ontario tout en diminuant la complexité du système de gestion des appâts. Une éducation et une sensibilisation à l’égard des risques que représentent les espèces envahissantes, les maladies et le déplacement des espèces non indigènes sont indispensables pour que ces politiques soient efficaces.  Pour ce faire, le MRNF continuera de collaborer et de communiquer avec les pêcheurs à la ligne, les intervenants, la population, les acteurs de l’industrie et les communautés autochtones. </w:t>
      </w:r>
    </w:p>
    <w:p w14:paraId="62D9E4A2" w14:textId="72934AA2" w:rsidR="00BD2345" w:rsidRPr="00107057" w:rsidRDefault="00BD2345" w:rsidP="00BD2345">
      <w:pPr>
        <w:spacing w:after="0"/>
      </w:pPr>
      <w:bookmarkStart w:id="56" w:name="_Toc473560500"/>
    </w:p>
    <w:p w14:paraId="28C6B00E" w14:textId="3FC2A8AF" w:rsidR="00E61BCD" w:rsidRPr="00107057" w:rsidRDefault="006D2EDC" w:rsidP="00E61BCD">
      <w:pPr>
        <w:pStyle w:val="Heading1"/>
        <w:tabs>
          <w:tab w:val="num" w:pos="648"/>
        </w:tabs>
      </w:pPr>
      <w:bookmarkStart w:id="57" w:name="_Toc45724816"/>
      <w:r>
        <w:t>Glossaire</w:t>
      </w:r>
      <w:bookmarkEnd w:id="56"/>
      <w:bookmarkEnd w:id="57"/>
    </w:p>
    <w:p w14:paraId="695CC986" w14:textId="77777777" w:rsidR="00E61BCD" w:rsidRPr="00107057" w:rsidRDefault="008A3181" w:rsidP="00E61BCD">
      <w:r>
        <w:t>Les termes suivants sont définis et utilisés dans la présente politique.</w:t>
      </w:r>
    </w:p>
    <w:p w14:paraId="27ABFB9D" w14:textId="77777777" w:rsidR="00E61BCD" w:rsidRPr="00107057" w:rsidRDefault="00E61BCD" w:rsidP="00E61BCD">
      <w:r>
        <w:rPr>
          <w:b/>
        </w:rPr>
        <w:t xml:space="preserve">Appâts :  </w:t>
      </w:r>
      <w:r>
        <w:t xml:space="preserve">Les poissons-appâts et sangsues morts ou vivants; </w:t>
      </w:r>
      <w:r>
        <w:rPr>
          <w:u w:val="single"/>
        </w:rPr>
        <w:t>pas</w:t>
      </w:r>
      <w:r>
        <w:t xml:space="preserve"> les écrevisses, les grenouilles ou les vers.</w:t>
      </w:r>
    </w:p>
    <w:p w14:paraId="0BE07906" w14:textId="77777777" w:rsidR="00E61BCD" w:rsidRPr="00107057" w:rsidRDefault="00E61BCD" w:rsidP="00E61BCD">
      <w:r>
        <w:rPr>
          <w:b/>
        </w:rPr>
        <w:t>Zone de récolte des appâts (ZRA) :</w:t>
      </w:r>
      <w:r>
        <w:t xml:space="preserve"> Une zone précise identifiée sur un permis d’appât commercial indiquant que son titulaire est autorisé à récolter des appâts en Ontario. Les zones de récolte d’appâts peuvent être à « utilisation exclusive » (une zone a été attribuée à un seul détenteur de permis), ou « polyvalentes » (une zone a été attribuée à plusieurs détenteurs de permis).</w:t>
      </w:r>
    </w:p>
    <w:p w14:paraId="3D8F9D7E" w14:textId="77777777" w:rsidR="008E44EF" w:rsidRPr="00107057" w:rsidRDefault="006F6012" w:rsidP="00C272B4">
      <w:r>
        <w:rPr>
          <w:b/>
        </w:rPr>
        <w:t>Trajectoire des appâts :</w:t>
      </w:r>
      <w:r>
        <w:t xml:space="preserve"> Le déplacement collectif d’appâts, du point de la récolte, tout au long des activités au détail, jusqu’à la vente aux pêcheurs à la ligne et à leur utilisation subséquente.</w:t>
      </w:r>
    </w:p>
    <w:p w14:paraId="4999BB19" w14:textId="77777777" w:rsidR="00E61BCD" w:rsidRPr="00107057" w:rsidRDefault="00E61BCD" w:rsidP="00C272B4">
      <w:r>
        <w:rPr>
          <w:b/>
        </w:rPr>
        <w:t>Appâts commerciaux :</w:t>
      </w:r>
      <w:r>
        <w:t xml:space="preserve"> Les appâts qui sont récoltés et/ou vendus par le détenteur d’un permis d’appât commercial; cela comprend les appâts achetés par un pêcheur à la ligne. </w:t>
      </w:r>
    </w:p>
    <w:p w14:paraId="0215153D" w14:textId="0C9C4976" w:rsidR="00326749" w:rsidRPr="00107057" w:rsidRDefault="00E87040" w:rsidP="00C908C3">
      <w:pPr>
        <w:widowControl w:val="0"/>
        <w:autoSpaceDE w:val="0"/>
        <w:autoSpaceDN w:val="0"/>
        <w:adjustRightInd w:val="0"/>
        <w:spacing w:after="120"/>
        <w:rPr>
          <w:rFonts w:cs="Arial"/>
          <w:szCs w:val="24"/>
        </w:rPr>
      </w:pPr>
      <w:r>
        <w:rPr>
          <w:b/>
        </w:rPr>
        <w:t>Vendeur :</w:t>
      </w:r>
      <w:r>
        <w:t xml:space="preserve"> Une personne qui détient un permis pour vendre des appâts à des fins commerciales. </w:t>
      </w:r>
    </w:p>
    <w:p w14:paraId="7DDC77F5" w14:textId="77777777" w:rsidR="007332FC" w:rsidRPr="00107057" w:rsidRDefault="007332FC" w:rsidP="003778E3">
      <w:pPr>
        <w:widowControl w:val="0"/>
        <w:autoSpaceDE w:val="0"/>
        <w:autoSpaceDN w:val="0"/>
        <w:adjustRightInd w:val="0"/>
        <w:rPr>
          <w:rFonts w:cs="Arial"/>
          <w:szCs w:val="24"/>
        </w:rPr>
      </w:pPr>
      <w:r>
        <w:rPr>
          <w:b/>
        </w:rPr>
        <w:t>Risques écologiques :</w:t>
      </w:r>
      <w:r>
        <w:t xml:space="preserve"> Les menaces réelles ou possibles d’effets néfastes sur l’environnement, y compris, mais non de façon limitative, sur une espèce, un habitat ou un écosystème. </w:t>
      </w:r>
    </w:p>
    <w:p w14:paraId="0DF2F80E" w14:textId="77777777" w:rsidR="004838BC" w:rsidRDefault="004838BC" w:rsidP="003778E3">
      <w:pPr>
        <w:widowControl w:val="0"/>
        <w:autoSpaceDE w:val="0"/>
        <w:autoSpaceDN w:val="0"/>
        <w:adjustRightInd w:val="0"/>
        <w:rPr>
          <w:rFonts w:cs="Arial"/>
          <w:szCs w:val="24"/>
        </w:rPr>
      </w:pPr>
      <w:r>
        <w:rPr>
          <w:b/>
        </w:rPr>
        <w:t>Titulaire de permis actuel :</w:t>
      </w:r>
      <w:r>
        <w:t xml:space="preserve"> Un récoltant d’appâts à des fins commerciales titulaire d’un permis pour une zone de récolte d’appâts contenant la totalité ou une partie d’une région sauvage, d’une réserve naturelle, d’un milieu naturel, d’une voie navigable et (ou) d’un parc du patrimoine culturel au moment de l’approbation de la présente politique.</w:t>
      </w:r>
    </w:p>
    <w:p w14:paraId="3D22F9D8" w14:textId="77777777" w:rsidR="003A356F" w:rsidRPr="00E15879" w:rsidRDefault="003A356F" w:rsidP="003778E3">
      <w:pPr>
        <w:widowControl w:val="0"/>
        <w:autoSpaceDE w:val="0"/>
        <w:autoSpaceDN w:val="0"/>
        <w:adjustRightInd w:val="0"/>
        <w:rPr>
          <w:rFonts w:cs="Arial"/>
          <w:szCs w:val="24"/>
        </w:rPr>
      </w:pPr>
      <w:r>
        <w:rPr>
          <w:b/>
        </w:rPr>
        <w:t>Grands Lacs :</w:t>
      </w:r>
      <w:r>
        <w:t xml:space="preserve"> En référence à la partie canadienne des Grands Lacs laurentiens, notamment le lac Supérieur, le lac Huron, le lac Érié et le lac Ontario et les voies navigables qui s’y rattachent, comme la rivière Ste-Marie, la rivière Sainte-Claire, le lac Sainte-Claire, la rivière Détroit, la rivière Niagara et le fleuve Saint-Laurent. </w:t>
      </w:r>
    </w:p>
    <w:p w14:paraId="01D79543" w14:textId="77777777" w:rsidR="00E87040" w:rsidRPr="00107057" w:rsidRDefault="00E87040" w:rsidP="003778E3">
      <w:pPr>
        <w:widowControl w:val="0"/>
        <w:autoSpaceDE w:val="0"/>
        <w:autoSpaceDN w:val="0"/>
        <w:adjustRightInd w:val="0"/>
        <w:spacing w:after="120"/>
      </w:pPr>
      <w:r>
        <w:rPr>
          <w:b/>
        </w:rPr>
        <w:t>Récoltant :</w:t>
      </w:r>
      <w:r>
        <w:t xml:space="preserve"> Une personne autorisée à recueillir (récolter) des appâts dans les zones de récolte des appâts désignées à des fins de vente.</w:t>
      </w:r>
    </w:p>
    <w:p w14:paraId="15C52C01" w14:textId="0192DBAC" w:rsidR="004838BC" w:rsidRPr="00107057" w:rsidRDefault="007332FC" w:rsidP="007332FC">
      <w:r>
        <w:rPr>
          <w:b/>
        </w:rPr>
        <w:t>Espèces envahissantes :</w:t>
      </w:r>
      <w:r>
        <w:t xml:space="preserve"> Des espèces étrangères, y compris les espèces indigènes de l’Ontario qui ont été introduites dans une nouvelle région géographique du fait de l’activité humaine, et dont l’introduction ou la propagation </w:t>
      </w:r>
      <w:r>
        <w:lastRenderedPageBreak/>
        <w:t xml:space="preserve">représente une menace pour l’environnement, l’économie et/ou la société, y compris pour la santé humaine. </w:t>
      </w:r>
    </w:p>
    <w:p w14:paraId="4636829B" w14:textId="17A32024" w:rsidR="00E61BCD" w:rsidRPr="00E07AF1" w:rsidRDefault="00E87040" w:rsidP="00B57AF4">
      <w:r>
        <w:rPr>
          <w:b/>
        </w:rPr>
        <w:t>Espèce non visée :</w:t>
      </w:r>
      <w:r>
        <w:t xml:space="preserve"> Une espèce halieutique qui n’est pas un poisson-appât légal en Ontario. </w:t>
      </w:r>
    </w:p>
    <w:p w14:paraId="343D61A1" w14:textId="77777777" w:rsidR="00595284" w:rsidRPr="00107057" w:rsidRDefault="00595284" w:rsidP="00E61BCD">
      <w:pPr>
        <w:rPr>
          <w:rFonts w:cs="Arial"/>
          <w:szCs w:val="24"/>
        </w:rPr>
      </w:pPr>
      <w:r>
        <w:rPr>
          <w:b/>
        </w:rPr>
        <w:t>Pêcherie (empoissonnement, croissance et pêche) :</w:t>
      </w:r>
      <w:r>
        <w:t xml:space="preserve"> Une pêcherie qui</w:t>
      </w:r>
      <w:r>
        <w:rPr>
          <w:b/>
        </w:rPr>
        <w:t xml:space="preserve"> </w:t>
      </w:r>
      <w:r>
        <w:t>conserve des stocks de poissons en dessous de la taille légale (p. ex. des alevins, des poissons d’un an) dans le but qu’ils grandissent et qu’ils servent à la pêche à la ligne.</w:t>
      </w:r>
    </w:p>
    <w:p w14:paraId="4B40E710" w14:textId="77777777" w:rsidR="007332FC" w:rsidRPr="00107057" w:rsidRDefault="00E87040" w:rsidP="007332FC">
      <w:r>
        <w:rPr>
          <w:b/>
        </w:rPr>
        <w:t>Entreposage :</w:t>
      </w:r>
      <w:r>
        <w:t xml:space="preserve"> La conservation d’appâts dans des contenants par des récoltants d’appâts à des fins commerciales ou personnelles. Les appâts sont souvent entreposés dans des contenants plongés dans un plan d’eau. </w:t>
      </w:r>
    </w:p>
    <w:p w14:paraId="13ED21AA" w14:textId="77777777" w:rsidR="00E61BCD" w:rsidRPr="00107057" w:rsidRDefault="00E61BCD" w:rsidP="00E61BCD">
      <w:pPr>
        <w:spacing w:after="0"/>
        <w:rPr>
          <w:rFonts w:cs="Arial"/>
          <w:b/>
          <w:bCs/>
          <w:kern w:val="32"/>
          <w:sz w:val="32"/>
          <w:szCs w:val="32"/>
        </w:rPr>
      </w:pPr>
      <w:r>
        <w:br w:type="page"/>
      </w:r>
    </w:p>
    <w:p w14:paraId="0B3129DD" w14:textId="77777777" w:rsidR="009D554D" w:rsidRDefault="00667AB4" w:rsidP="009D554D">
      <w:pPr>
        <w:pStyle w:val="Heading1"/>
      </w:pPr>
      <w:bookmarkStart w:id="58" w:name="_Toc473560501"/>
      <w:bookmarkStart w:id="59" w:name="_Toc45724817"/>
      <w:r>
        <w:lastRenderedPageBreak/>
        <w:t>Documents de référence juridiques</w:t>
      </w:r>
      <w:bookmarkEnd w:id="53"/>
      <w:bookmarkEnd w:id="58"/>
      <w:bookmarkEnd w:id="59"/>
    </w:p>
    <w:p w14:paraId="781FB21D" w14:textId="77777777" w:rsidR="00667AB4" w:rsidRPr="00667AB4" w:rsidRDefault="00667AB4" w:rsidP="00667AB4">
      <w:pPr>
        <w:rPr>
          <w:lang w:val="en-CA"/>
        </w:rPr>
      </w:pPr>
    </w:p>
    <w:p w14:paraId="7300F087" w14:textId="1EC29EEA" w:rsidR="009A3E60" w:rsidRDefault="00483354" w:rsidP="00DC57D7">
      <w:hyperlink r:id="rId22" w:history="1">
        <w:r w:rsidR="0023170C">
          <w:rPr>
            <w:rStyle w:val="Hyperlink"/>
            <w:i/>
            <w:iCs/>
          </w:rPr>
          <w:t>Loi de 1997 sur la protection du poisson et de la faune</w:t>
        </w:r>
      </w:hyperlink>
      <w:r w:rsidR="0023170C">
        <w:t xml:space="preserve"> </w:t>
      </w:r>
    </w:p>
    <w:p w14:paraId="06185DC3" w14:textId="2B5739D8" w:rsidR="005E28D6" w:rsidRDefault="00483354" w:rsidP="005E28D6">
      <w:hyperlink r:id="rId23" w:history="1">
        <w:r w:rsidR="0023170C">
          <w:rPr>
            <w:rStyle w:val="Hyperlink"/>
            <w:i/>
            <w:iCs/>
          </w:rPr>
          <w:t>Loi sur les pêches</w:t>
        </w:r>
      </w:hyperlink>
    </w:p>
    <w:p w14:paraId="6FD1B8E9" w14:textId="4C52EE35" w:rsidR="005E28D6" w:rsidRDefault="00483354" w:rsidP="00DC57D7">
      <w:pPr>
        <w:rPr>
          <w:rStyle w:val="Hyperlink"/>
        </w:rPr>
      </w:pPr>
      <w:hyperlink r:id="rId24" w:history="1">
        <w:r w:rsidR="0023170C">
          <w:rPr>
            <w:rStyle w:val="Hyperlink"/>
          </w:rPr>
          <w:t>Règlement de pêche de l’Ontario (2007)</w:t>
        </w:r>
      </w:hyperlink>
    </w:p>
    <w:p w14:paraId="5BAFAFE3" w14:textId="77777777" w:rsidR="00C42863" w:rsidRPr="005E28D6" w:rsidRDefault="00C42863" w:rsidP="00DC57D7">
      <w:r>
        <w:rPr>
          <w:rStyle w:val="Hyperlink"/>
        </w:rPr>
        <w:t>Règlement de l’Ontario 664/98 (Délivrance de permis relatifs aux poissons)</w:t>
      </w:r>
    </w:p>
    <w:p w14:paraId="3704D7A8" w14:textId="4B64053B" w:rsidR="0064464D" w:rsidRPr="00107057" w:rsidRDefault="0064464D" w:rsidP="00C14B6B">
      <w:pPr>
        <w:rPr>
          <w:rFonts w:cs="Arial"/>
          <w:sz w:val="28"/>
          <w:szCs w:val="28"/>
        </w:rPr>
      </w:pPr>
      <w:bookmarkStart w:id="60" w:name="_Toc389488012"/>
    </w:p>
    <w:bookmarkEnd w:id="60"/>
    <w:p w14:paraId="4FD22278" w14:textId="77777777" w:rsidR="009E3AF1" w:rsidRPr="00C55A4B" w:rsidRDefault="009E3AF1" w:rsidP="00C045ED">
      <w:pPr>
        <w:sectPr w:rsidR="009E3AF1" w:rsidRPr="00C55A4B" w:rsidSect="005078FF">
          <w:type w:val="continuous"/>
          <w:pgSz w:w="12240" w:h="15840"/>
          <w:pgMar w:top="1440" w:right="1800" w:bottom="1440" w:left="1800" w:header="720" w:footer="720" w:gutter="0"/>
          <w:cols w:space="720"/>
          <w:docGrid w:linePitch="326"/>
        </w:sectPr>
      </w:pPr>
    </w:p>
    <w:p w14:paraId="1A1D341D" w14:textId="10A54510" w:rsidR="00B129E5" w:rsidRDefault="00B129E5" w:rsidP="00B129E5">
      <w:pPr>
        <w:pStyle w:val="Title"/>
        <w:jc w:val="left"/>
      </w:pPr>
      <w:bookmarkStart w:id="61" w:name="_Toc473560503"/>
      <w:bookmarkStart w:id="62" w:name="_Toc45724818"/>
      <w:r>
        <w:lastRenderedPageBreak/>
        <w:t>Annexe A – Zones de gestion des pêches (ZGP).</w:t>
      </w:r>
      <w:bookmarkEnd w:id="61"/>
      <w:bookmarkEnd w:id="62"/>
    </w:p>
    <w:p w14:paraId="6D65079C" w14:textId="77777777" w:rsidR="00B129E5" w:rsidRPr="00C55A4B" w:rsidRDefault="00B129E5" w:rsidP="00667AB4"/>
    <w:p w14:paraId="423AFF84" w14:textId="470384C7" w:rsidR="00BA224A" w:rsidRDefault="00474224" w:rsidP="00B17E1B">
      <w:pPr>
        <w:rPr>
          <w:rFonts w:cs="Arial"/>
          <w:szCs w:val="24"/>
        </w:rPr>
      </w:pPr>
      <w:r>
        <w:rPr>
          <w:noProof/>
        </w:rPr>
        <w:drawing>
          <wp:inline distT="0" distB="0" distL="0" distR="0" wp14:anchorId="66D41A86" wp14:editId="05948EAC">
            <wp:extent cx="5490210" cy="5733415"/>
            <wp:effectExtent l="0" t="0" r="0" b="0"/>
            <wp:docPr id="8" name="Picture 8" descr="Map of the province showing the boundaries of Fisheries Management Zo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eries-management-zones.jpg"/>
                    <pic:cNvPicPr/>
                  </pic:nvPicPr>
                  <pic:blipFill>
                    <a:blip r:embed="rId25">
                      <a:extLst>
                        <a:ext uri="{28A0092B-C50C-407E-A947-70E740481C1C}">
                          <a14:useLocalDpi xmlns:a14="http://schemas.microsoft.com/office/drawing/2010/main" val="0"/>
                        </a:ext>
                      </a:extLst>
                    </a:blip>
                    <a:stretch>
                      <a:fillRect/>
                    </a:stretch>
                  </pic:blipFill>
                  <pic:spPr>
                    <a:xfrm>
                      <a:off x="0" y="0"/>
                      <a:ext cx="5490210" cy="5733415"/>
                    </a:xfrm>
                    <a:prstGeom prst="rect">
                      <a:avLst/>
                    </a:prstGeom>
                  </pic:spPr>
                </pic:pic>
              </a:graphicData>
            </a:graphic>
          </wp:inline>
        </w:drawing>
      </w:r>
    </w:p>
    <w:p w14:paraId="13D81CAA" w14:textId="0BF72CE7" w:rsidR="00ED26F2" w:rsidRPr="00F85C73" w:rsidRDefault="00ED26F2" w:rsidP="00BB1ED0">
      <w:pPr>
        <w:pStyle w:val="Normal1"/>
        <w:rPr>
          <w:rFonts w:ascii="Arial" w:hAnsi="Arial" w:cs="Arial"/>
          <w:sz w:val="24"/>
          <w:szCs w:val="24"/>
        </w:rPr>
      </w:pPr>
    </w:p>
    <w:sectPr w:rsidR="00ED26F2" w:rsidRPr="00F85C73" w:rsidSect="009E3AF1">
      <w:pgSz w:w="12240" w:h="15840"/>
      <w:pgMar w:top="1440" w:right="1797" w:bottom="1440" w:left="179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2BD49" w14:textId="77777777" w:rsidR="00483354" w:rsidRDefault="00483354">
      <w:r>
        <w:separator/>
      </w:r>
    </w:p>
  </w:endnote>
  <w:endnote w:type="continuationSeparator" w:id="0">
    <w:p w14:paraId="4A62FD74" w14:textId="77777777" w:rsidR="00483354" w:rsidRDefault="00483354">
      <w:r>
        <w:continuationSeparator/>
      </w:r>
    </w:p>
  </w:endnote>
  <w:endnote w:type="continuationNotice" w:id="1">
    <w:p w14:paraId="33238F54" w14:textId="77777777" w:rsidR="00483354" w:rsidRDefault="004833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82B0A" w14:textId="77777777" w:rsidR="00644CE6" w:rsidRDefault="00644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9126275"/>
      <w:docPartObj>
        <w:docPartGallery w:val="Page Numbers (Bottom of Page)"/>
        <w:docPartUnique/>
      </w:docPartObj>
    </w:sdtPr>
    <w:sdtEndPr>
      <w:rPr>
        <w:noProof/>
      </w:rPr>
    </w:sdtEndPr>
    <w:sdtContent>
      <w:p w14:paraId="68D22687" w14:textId="317CED1F" w:rsidR="00C97FAD" w:rsidRDefault="00C97FAD">
        <w:pPr>
          <w:pStyle w:val="Footer"/>
          <w:jc w:val="center"/>
        </w:pPr>
        <w:r>
          <w:fldChar w:fldCharType="begin"/>
        </w:r>
        <w:r>
          <w:instrText xml:space="preserve"> PAGE   \* MERGEFORMAT </w:instrText>
        </w:r>
        <w:r>
          <w:fldChar w:fldCharType="separate"/>
        </w:r>
        <w:r>
          <w:t>iv</w:t>
        </w:r>
        <w:r>
          <w:fldChar w:fldCharType="end"/>
        </w:r>
      </w:p>
    </w:sdtContent>
  </w:sdt>
  <w:p w14:paraId="0909540B" w14:textId="77777777" w:rsidR="00C97FAD" w:rsidRDefault="00C97F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09923" w14:textId="77777777" w:rsidR="00644CE6" w:rsidRDefault="00644C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300316"/>
      <w:docPartObj>
        <w:docPartGallery w:val="Page Numbers (Bottom of Page)"/>
        <w:docPartUnique/>
      </w:docPartObj>
    </w:sdtPr>
    <w:sdtEndPr>
      <w:rPr>
        <w:noProof/>
      </w:rPr>
    </w:sdtEndPr>
    <w:sdtContent>
      <w:p w14:paraId="334DEA33" w14:textId="5F3B12D0" w:rsidR="00C97FAD" w:rsidRDefault="00C97FAD">
        <w:pPr>
          <w:pStyle w:val="Footer"/>
          <w:jc w:val="center"/>
        </w:pPr>
        <w:r>
          <w:fldChar w:fldCharType="begin"/>
        </w:r>
        <w:r>
          <w:instrText xml:space="preserve"> PAGE   \* MERGEFORMAT </w:instrText>
        </w:r>
        <w:r>
          <w:fldChar w:fldCharType="separate"/>
        </w:r>
        <w:r>
          <w:t>2</w:t>
        </w:r>
        <w:r>
          <w:fldChar w:fldCharType="end"/>
        </w:r>
      </w:p>
    </w:sdtContent>
  </w:sdt>
  <w:p w14:paraId="1FEC06AB" w14:textId="77777777" w:rsidR="00C97FAD" w:rsidRDefault="00C97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52380" w14:textId="77777777" w:rsidR="00483354" w:rsidRDefault="00483354">
      <w:r>
        <w:separator/>
      </w:r>
    </w:p>
  </w:footnote>
  <w:footnote w:type="continuationSeparator" w:id="0">
    <w:p w14:paraId="7D8DE953" w14:textId="77777777" w:rsidR="00483354" w:rsidRDefault="00483354">
      <w:r>
        <w:continuationSeparator/>
      </w:r>
    </w:p>
  </w:footnote>
  <w:footnote w:type="continuationNotice" w:id="1">
    <w:p w14:paraId="6807B138" w14:textId="77777777" w:rsidR="00483354" w:rsidRDefault="004833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B44BE" w14:textId="77777777" w:rsidR="00644CE6" w:rsidRDefault="00644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2C54" w14:textId="77777777" w:rsidR="00644CE6" w:rsidRDefault="00644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53A4D" w14:textId="77777777" w:rsidR="00644CE6" w:rsidRDefault="00644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18B6"/>
    <w:multiLevelType w:val="hybridMultilevel"/>
    <w:tmpl w:val="4E7C597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50D7A5F"/>
    <w:multiLevelType w:val="hybridMultilevel"/>
    <w:tmpl w:val="1B668954"/>
    <w:lvl w:ilvl="0" w:tplc="8578B250">
      <w:start w:val="1"/>
      <w:numFmt w:val="decimal"/>
      <w:lvlText w:val="%1)"/>
      <w:lvlJc w:val="left"/>
      <w:pPr>
        <w:ind w:left="-180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360" w:hanging="180"/>
      </w:pPr>
    </w:lvl>
    <w:lvl w:ilvl="3" w:tplc="1009000F" w:tentative="1">
      <w:start w:val="1"/>
      <w:numFmt w:val="decimal"/>
      <w:lvlText w:val="%4."/>
      <w:lvlJc w:val="left"/>
      <w:pPr>
        <w:ind w:left="360" w:hanging="360"/>
      </w:pPr>
    </w:lvl>
    <w:lvl w:ilvl="4" w:tplc="10090019" w:tentative="1">
      <w:start w:val="1"/>
      <w:numFmt w:val="lowerLetter"/>
      <w:lvlText w:val="%5."/>
      <w:lvlJc w:val="left"/>
      <w:pPr>
        <w:ind w:left="1080" w:hanging="360"/>
      </w:pPr>
    </w:lvl>
    <w:lvl w:ilvl="5" w:tplc="1009001B" w:tentative="1">
      <w:start w:val="1"/>
      <w:numFmt w:val="lowerRoman"/>
      <w:lvlText w:val="%6."/>
      <w:lvlJc w:val="right"/>
      <w:pPr>
        <w:ind w:left="1800" w:hanging="180"/>
      </w:pPr>
    </w:lvl>
    <w:lvl w:ilvl="6" w:tplc="1009000F" w:tentative="1">
      <w:start w:val="1"/>
      <w:numFmt w:val="decimal"/>
      <w:lvlText w:val="%7."/>
      <w:lvlJc w:val="left"/>
      <w:pPr>
        <w:ind w:left="2520" w:hanging="360"/>
      </w:pPr>
    </w:lvl>
    <w:lvl w:ilvl="7" w:tplc="10090019" w:tentative="1">
      <w:start w:val="1"/>
      <w:numFmt w:val="lowerLetter"/>
      <w:lvlText w:val="%8."/>
      <w:lvlJc w:val="left"/>
      <w:pPr>
        <w:ind w:left="3240" w:hanging="360"/>
      </w:pPr>
    </w:lvl>
    <w:lvl w:ilvl="8" w:tplc="1009001B" w:tentative="1">
      <w:start w:val="1"/>
      <w:numFmt w:val="lowerRoman"/>
      <w:lvlText w:val="%9."/>
      <w:lvlJc w:val="right"/>
      <w:pPr>
        <w:ind w:left="3960" w:hanging="180"/>
      </w:pPr>
    </w:lvl>
  </w:abstractNum>
  <w:abstractNum w:abstractNumId="2" w15:restartNumberingAfterBreak="0">
    <w:nsid w:val="0E894752"/>
    <w:multiLevelType w:val="hybridMultilevel"/>
    <w:tmpl w:val="FF38D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C756CC"/>
    <w:multiLevelType w:val="hybridMultilevel"/>
    <w:tmpl w:val="7D5A7366"/>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5643381"/>
    <w:multiLevelType w:val="hybridMultilevel"/>
    <w:tmpl w:val="21F2868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32871E9B"/>
    <w:multiLevelType w:val="hybridMultilevel"/>
    <w:tmpl w:val="A836BF34"/>
    <w:lvl w:ilvl="0" w:tplc="10090001">
      <w:start w:val="1"/>
      <w:numFmt w:val="bullet"/>
      <w:lvlText w:val=""/>
      <w:lvlJc w:val="left"/>
      <w:pPr>
        <w:ind w:left="779" w:hanging="360"/>
      </w:pPr>
      <w:rPr>
        <w:rFonts w:ascii="Symbol" w:hAnsi="Symbol" w:hint="default"/>
      </w:rPr>
    </w:lvl>
    <w:lvl w:ilvl="1" w:tplc="10090003" w:tentative="1">
      <w:start w:val="1"/>
      <w:numFmt w:val="bullet"/>
      <w:lvlText w:val="o"/>
      <w:lvlJc w:val="left"/>
      <w:pPr>
        <w:ind w:left="1499" w:hanging="360"/>
      </w:pPr>
      <w:rPr>
        <w:rFonts w:ascii="Courier New" w:hAnsi="Courier New" w:cs="Courier New" w:hint="default"/>
      </w:rPr>
    </w:lvl>
    <w:lvl w:ilvl="2" w:tplc="10090005" w:tentative="1">
      <w:start w:val="1"/>
      <w:numFmt w:val="bullet"/>
      <w:lvlText w:val=""/>
      <w:lvlJc w:val="left"/>
      <w:pPr>
        <w:ind w:left="2219" w:hanging="360"/>
      </w:pPr>
      <w:rPr>
        <w:rFonts w:ascii="Wingdings" w:hAnsi="Wingdings" w:hint="default"/>
      </w:rPr>
    </w:lvl>
    <w:lvl w:ilvl="3" w:tplc="10090001" w:tentative="1">
      <w:start w:val="1"/>
      <w:numFmt w:val="bullet"/>
      <w:lvlText w:val=""/>
      <w:lvlJc w:val="left"/>
      <w:pPr>
        <w:ind w:left="2939" w:hanging="360"/>
      </w:pPr>
      <w:rPr>
        <w:rFonts w:ascii="Symbol" w:hAnsi="Symbol" w:hint="default"/>
      </w:rPr>
    </w:lvl>
    <w:lvl w:ilvl="4" w:tplc="10090003" w:tentative="1">
      <w:start w:val="1"/>
      <w:numFmt w:val="bullet"/>
      <w:lvlText w:val="o"/>
      <w:lvlJc w:val="left"/>
      <w:pPr>
        <w:ind w:left="3659" w:hanging="360"/>
      </w:pPr>
      <w:rPr>
        <w:rFonts w:ascii="Courier New" w:hAnsi="Courier New" w:cs="Courier New" w:hint="default"/>
      </w:rPr>
    </w:lvl>
    <w:lvl w:ilvl="5" w:tplc="10090005" w:tentative="1">
      <w:start w:val="1"/>
      <w:numFmt w:val="bullet"/>
      <w:lvlText w:val=""/>
      <w:lvlJc w:val="left"/>
      <w:pPr>
        <w:ind w:left="4379" w:hanging="360"/>
      </w:pPr>
      <w:rPr>
        <w:rFonts w:ascii="Wingdings" w:hAnsi="Wingdings" w:hint="default"/>
      </w:rPr>
    </w:lvl>
    <w:lvl w:ilvl="6" w:tplc="10090001" w:tentative="1">
      <w:start w:val="1"/>
      <w:numFmt w:val="bullet"/>
      <w:lvlText w:val=""/>
      <w:lvlJc w:val="left"/>
      <w:pPr>
        <w:ind w:left="5099" w:hanging="360"/>
      </w:pPr>
      <w:rPr>
        <w:rFonts w:ascii="Symbol" w:hAnsi="Symbol" w:hint="default"/>
      </w:rPr>
    </w:lvl>
    <w:lvl w:ilvl="7" w:tplc="10090003" w:tentative="1">
      <w:start w:val="1"/>
      <w:numFmt w:val="bullet"/>
      <w:lvlText w:val="o"/>
      <w:lvlJc w:val="left"/>
      <w:pPr>
        <w:ind w:left="5819" w:hanging="360"/>
      </w:pPr>
      <w:rPr>
        <w:rFonts w:ascii="Courier New" w:hAnsi="Courier New" w:cs="Courier New" w:hint="default"/>
      </w:rPr>
    </w:lvl>
    <w:lvl w:ilvl="8" w:tplc="10090005" w:tentative="1">
      <w:start w:val="1"/>
      <w:numFmt w:val="bullet"/>
      <w:lvlText w:val=""/>
      <w:lvlJc w:val="left"/>
      <w:pPr>
        <w:ind w:left="6539" w:hanging="360"/>
      </w:pPr>
      <w:rPr>
        <w:rFonts w:ascii="Wingdings" w:hAnsi="Wingdings" w:hint="default"/>
      </w:rPr>
    </w:lvl>
  </w:abstractNum>
  <w:abstractNum w:abstractNumId="6" w15:restartNumberingAfterBreak="0">
    <w:nsid w:val="3A435CD3"/>
    <w:multiLevelType w:val="hybridMultilevel"/>
    <w:tmpl w:val="C0DC44E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41D07F28"/>
    <w:multiLevelType w:val="hybridMultilevel"/>
    <w:tmpl w:val="EA8ED1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5213F79"/>
    <w:multiLevelType w:val="hybridMultilevel"/>
    <w:tmpl w:val="1A966020"/>
    <w:lvl w:ilvl="0" w:tplc="08EA7578">
      <w:start w:val="1"/>
      <w:numFmt w:val="bullet"/>
      <w:lvlText w:val=""/>
      <w:lvlJc w:val="left"/>
      <w:pPr>
        <w:ind w:left="1080" w:hanging="360"/>
      </w:pPr>
      <w:rPr>
        <w:rFonts w:ascii="Symbol" w:hAnsi="Symbol" w:hint="default"/>
        <w:color w:val="auto"/>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46D9397E"/>
    <w:multiLevelType w:val="hybridMultilevel"/>
    <w:tmpl w:val="B9929294"/>
    <w:lvl w:ilvl="0" w:tplc="C114AC36">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E1F4145"/>
    <w:multiLevelType w:val="multilevel"/>
    <w:tmpl w:val="6E728BC0"/>
    <w:lvl w:ilvl="0">
      <w:start w:val="1"/>
      <w:numFmt w:val="decimal"/>
      <w:pStyle w:val="Heading1"/>
      <w:lvlText w:val="%1.0"/>
      <w:lvlJc w:val="left"/>
      <w:pPr>
        <w:tabs>
          <w:tab w:val="num" w:pos="882"/>
        </w:tabs>
        <w:ind w:left="882" w:hanging="432"/>
      </w:pPr>
      <w:rPr>
        <w:rFonts w:hint="default"/>
        <w:i w:val="0"/>
      </w:rPr>
    </w:lvl>
    <w:lvl w:ilvl="1">
      <w:start w:val="1"/>
      <w:numFmt w:val="decimal"/>
      <w:pStyle w:val="Heading2"/>
      <w:lvlText w:val="%1.%2"/>
      <w:lvlJc w:val="left"/>
      <w:pPr>
        <w:tabs>
          <w:tab w:val="num" w:pos="864"/>
        </w:tabs>
        <w:ind w:left="635" w:hanging="275"/>
      </w:pPr>
      <w:rPr>
        <w:rFonts w:hint="default"/>
        <w:b/>
      </w:rPr>
    </w:lvl>
    <w:lvl w:ilvl="2">
      <w:start w:val="1"/>
      <w:numFmt w:val="decimal"/>
      <w:pStyle w:val="Heading3"/>
      <w:lvlText w:val="%1.%2.%3"/>
      <w:lvlJc w:val="left"/>
      <w:pPr>
        <w:tabs>
          <w:tab w:val="num" w:pos="1670"/>
        </w:tabs>
        <w:ind w:left="1670" w:hanging="68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53720C3E"/>
    <w:multiLevelType w:val="hybridMultilevel"/>
    <w:tmpl w:val="B61CD6C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6F821F1"/>
    <w:multiLevelType w:val="hybridMultilevel"/>
    <w:tmpl w:val="B3C4E7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2A75F13"/>
    <w:multiLevelType w:val="hybridMultilevel"/>
    <w:tmpl w:val="C81437E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53E3AD4"/>
    <w:multiLevelType w:val="hybridMultilevel"/>
    <w:tmpl w:val="2FCCFA14"/>
    <w:lvl w:ilvl="0" w:tplc="722A4FE6">
      <w:start w:val="1"/>
      <w:numFmt w:val="decimal"/>
      <w:lvlText w:val="%1."/>
      <w:lvlJc w:val="left"/>
      <w:pPr>
        <w:ind w:left="720" w:hanging="360"/>
      </w:pPr>
      <w:rPr>
        <w:rFonts w:ascii="Arial" w:hAnsi="Arial" w:cs="Arial" w:hint="default"/>
        <w:sz w:val="24"/>
      </w:rPr>
    </w:lvl>
    <w:lvl w:ilvl="1" w:tplc="8408C5C8">
      <w:start w:val="1"/>
      <w:numFmt w:val="decimal"/>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63C48F5"/>
    <w:multiLevelType w:val="hybridMultilevel"/>
    <w:tmpl w:val="5122D8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7BB4975"/>
    <w:multiLevelType w:val="hybridMultilevel"/>
    <w:tmpl w:val="917CD2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5"/>
  </w:num>
  <w:num w:numId="4">
    <w:abstractNumId w:val="14"/>
  </w:num>
  <w:num w:numId="5">
    <w:abstractNumId w:val="8"/>
  </w:num>
  <w:num w:numId="6">
    <w:abstractNumId w:val="16"/>
  </w:num>
  <w:num w:numId="7">
    <w:abstractNumId w:val="2"/>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2"/>
  </w:num>
  <w:num w:numId="12">
    <w:abstractNumId w:val="4"/>
  </w:num>
  <w:num w:numId="13">
    <w:abstractNumId w:val="0"/>
  </w:num>
  <w:num w:numId="14">
    <w:abstractNumId w:val="5"/>
  </w:num>
  <w:num w:numId="15">
    <w:abstractNumId w:val="3"/>
  </w:num>
  <w:num w:numId="16">
    <w:abstractNumId w:val="1"/>
  </w:num>
  <w:num w:numId="17">
    <w:abstractNumId w:val="11"/>
  </w:num>
  <w:num w:numId="18">
    <w:abstractNumId w:val="13"/>
  </w:num>
  <w:num w:numId="19">
    <w:abstractNumId w:val="6"/>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3B9"/>
    <w:rsid w:val="000011C0"/>
    <w:rsid w:val="00001DC9"/>
    <w:rsid w:val="00001EB1"/>
    <w:rsid w:val="00001EE5"/>
    <w:rsid w:val="000023E8"/>
    <w:rsid w:val="000030A1"/>
    <w:rsid w:val="000043CC"/>
    <w:rsid w:val="00004441"/>
    <w:rsid w:val="000058A9"/>
    <w:rsid w:val="000059CD"/>
    <w:rsid w:val="00005D33"/>
    <w:rsid w:val="00006944"/>
    <w:rsid w:val="00006B22"/>
    <w:rsid w:val="00006E30"/>
    <w:rsid w:val="0000734E"/>
    <w:rsid w:val="00007B19"/>
    <w:rsid w:val="00010148"/>
    <w:rsid w:val="00010921"/>
    <w:rsid w:val="00010AF4"/>
    <w:rsid w:val="00010CA9"/>
    <w:rsid w:val="000127C3"/>
    <w:rsid w:val="000137A8"/>
    <w:rsid w:val="00015529"/>
    <w:rsid w:val="00015CBF"/>
    <w:rsid w:val="0001672E"/>
    <w:rsid w:val="0001734F"/>
    <w:rsid w:val="00017DE8"/>
    <w:rsid w:val="00017F50"/>
    <w:rsid w:val="00020809"/>
    <w:rsid w:val="00020837"/>
    <w:rsid w:val="00021D7F"/>
    <w:rsid w:val="00022975"/>
    <w:rsid w:val="00022BD5"/>
    <w:rsid w:val="000234E9"/>
    <w:rsid w:val="000240E5"/>
    <w:rsid w:val="00025415"/>
    <w:rsid w:val="0002560F"/>
    <w:rsid w:val="000262C2"/>
    <w:rsid w:val="0002638F"/>
    <w:rsid w:val="00026B3E"/>
    <w:rsid w:val="0003008D"/>
    <w:rsid w:val="00030692"/>
    <w:rsid w:val="00031B2C"/>
    <w:rsid w:val="0003326A"/>
    <w:rsid w:val="00033410"/>
    <w:rsid w:val="00034563"/>
    <w:rsid w:val="00037272"/>
    <w:rsid w:val="00037317"/>
    <w:rsid w:val="00040FCE"/>
    <w:rsid w:val="000426A5"/>
    <w:rsid w:val="00042883"/>
    <w:rsid w:val="0004348E"/>
    <w:rsid w:val="000439E8"/>
    <w:rsid w:val="00044C0C"/>
    <w:rsid w:val="00045B53"/>
    <w:rsid w:val="000462BC"/>
    <w:rsid w:val="000467CF"/>
    <w:rsid w:val="00047599"/>
    <w:rsid w:val="0004773E"/>
    <w:rsid w:val="000506DF"/>
    <w:rsid w:val="000514EF"/>
    <w:rsid w:val="00051946"/>
    <w:rsid w:val="00052F59"/>
    <w:rsid w:val="00053FB6"/>
    <w:rsid w:val="00054DA1"/>
    <w:rsid w:val="000556B5"/>
    <w:rsid w:val="00056A8F"/>
    <w:rsid w:val="00057FA5"/>
    <w:rsid w:val="00061AC1"/>
    <w:rsid w:val="00062071"/>
    <w:rsid w:val="000624C8"/>
    <w:rsid w:val="000628D9"/>
    <w:rsid w:val="00063074"/>
    <w:rsid w:val="0006355E"/>
    <w:rsid w:val="00063B63"/>
    <w:rsid w:val="00063BC4"/>
    <w:rsid w:val="0006558E"/>
    <w:rsid w:val="00065AC3"/>
    <w:rsid w:val="00066215"/>
    <w:rsid w:val="00066406"/>
    <w:rsid w:val="0006651E"/>
    <w:rsid w:val="00066AC6"/>
    <w:rsid w:val="00066CD1"/>
    <w:rsid w:val="00066EC0"/>
    <w:rsid w:val="00067B74"/>
    <w:rsid w:val="0007124C"/>
    <w:rsid w:val="000713D0"/>
    <w:rsid w:val="000752EC"/>
    <w:rsid w:val="00075AE8"/>
    <w:rsid w:val="0007630F"/>
    <w:rsid w:val="00076954"/>
    <w:rsid w:val="00076BB1"/>
    <w:rsid w:val="00076EB6"/>
    <w:rsid w:val="000806CC"/>
    <w:rsid w:val="00081716"/>
    <w:rsid w:val="0008195C"/>
    <w:rsid w:val="00081CEF"/>
    <w:rsid w:val="000829FF"/>
    <w:rsid w:val="00082ABA"/>
    <w:rsid w:val="000849BA"/>
    <w:rsid w:val="00084EDF"/>
    <w:rsid w:val="00086C45"/>
    <w:rsid w:val="00087A62"/>
    <w:rsid w:val="000908DB"/>
    <w:rsid w:val="00090C93"/>
    <w:rsid w:val="0009136F"/>
    <w:rsid w:val="00091B6A"/>
    <w:rsid w:val="00091F6D"/>
    <w:rsid w:val="00092D2A"/>
    <w:rsid w:val="00093212"/>
    <w:rsid w:val="00093880"/>
    <w:rsid w:val="00093936"/>
    <w:rsid w:val="00094904"/>
    <w:rsid w:val="00094F42"/>
    <w:rsid w:val="00095F07"/>
    <w:rsid w:val="00096B28"/>
    <w:rsid w:val="00096D8E"/>
    <w:rsid w:val="00097AE2"/>
    <w:rsid w:val="00097FC0"/>
    <w:rsid w:val="000A07AE"/>
    <w:rsid w:val="000A096A"/>
    <w:rsid w:val="000A1E29"/>
    <w:rsid w:val="000A2FA6"/>
    <w:rsid w:val="000A33FD"/>
    <w:rsid w:val="000A39CE"/>
    <w:rsid w:val="000A505C"/>
    <w:rsid w:val="000A53AE"/>
    <w:rsid w:val="000A57EB"/>
    <w:rsid w:val="000A78AA"/>
    <w:rsid w:val="000A7B0F"/>
    <w:rsid w:val="000B0F6A"/>
    <w:rsid w:val="000B1E15"/>
    <w:rsid w:val="000B25F9"/>
    <w:rsid w:val="000B2C8C"/>
    <w:rsid w:val="000B3091"/>
    <w:rsid w:val="000B435F"/>
    <w:rsid w:val="000B4DDA"/>
    <w:rsid w:val="000B5466"/>
    <w:rsid w:val="000B56B5"/>
    <w:rsid w:val="000B771E"/>
    <w:rsid w:val="000B7A22"/>
    <w:rsid w:val="000C083D"/>
    <w:rsid w:val="000C1093"/>
    <w:rsid w:val="000C2C2F"/>
    <w:rsid w:val="000C2D2B"/>
    <w:rsid w:val="000C4122"/>
    <w:rsid w:val="000C441A"/>
    <w:rsid w:val="000C53E4"/>
    <w:rsid w:val="000C6E51"/>
    <w:rsid w:val="000D3067"/>
    <w:rsid w:val="000D32A8"/>
    <w:rsid w:val="000D351F"/>
    <w:rsid w:val="000D3AD4"/>
    <w:rsid w:val="000D44A5"/>
    <w:rsid w:val="000D48E8"/>
    <w:rsid w:val="000D5565"/>
    <w:rsid w:val="000D55B7"/>
    <w:rsid w:val="000D5EF8"/>
    <w:rsid w:val="000D71CE"/>
    <w:rsid w:val="000D7474"/>
    <w:rsid w:val="000E0E3E"/>
    <w:rsid w:val="000E245B"/>
    <w:rsid w:val="000E2ECF"/>
    <w:rsid w:val="000E4A37"/>
    <w:rsid w:val="000E4B41"/>
    <w:rsid w:val="000E65C0"/>
    <w:rsid w:val="000E6CC0"/>
    <w:rsid w:val="000E7850"/>
    <w:rsid w:val="000F242D"/>
    <w:rsid w:val="000F2E55"/>
    <w:rsid w:val="000F3243"/>
    <w:rsid w:val="000F3AA0"/>
    <w:rsid w:val="000F5B8D"/>
    <w:rsid w:val="000F5D85"/>
    <w:rsid w:val="000F6386"/>
    <w:rsid w:val="000F7C03"/>
    <w:rsid w:val="001003EB"/>
    <w:rsid w:val="00100D37"/>
    <w:rsid w:val="00100D54"/>
    <w:rsid w:val="00101605"/>
    <w:rsid w:val="00102CFA"/>
    <w:rsid w:val="00102D97"/>
    <w:rsid w:val="00105B73"/>
    <w:rsid w:val="001063ED"/>
    <w:rsid w:val="00106BD0"/>
    <w:rsid w:val="00107057"/>
    <w:rsid w:val="00110B2C"/>
    <w:rsid w:val="00110E20"/>
    <w:rsid w:val="001111CC"/>
    <w:rsid w:val="0011226E"/>
    <w:rsid w:val="001125CF"/>
    <w:rsid w:val="001127A2"/>
    <w:rsid w:val="001139F5"/>
    <w:rsid w:val="00113CBF"/>
    <w:rsid w:val="00115727"/>
    <w:rsid w:val="00115D14"/>
    <w:rsid w:val="0011721C"/>
    <w:rsid w:val="001176F4"/>
    <w:rsid w:val="00117D7F"/>
    <w:rsid w:val="00120408"/>
    <w:rsid w:val="001204FE"/>
    <w:rsid w:val="0012051A"/>
    <w:rsid w:val="001205E9"/>
    <w:rsid w:val="00120951"/>
    <w:rsid w:val="00120F84"/>
    <w:rsid w:val="00122D30"/>
    <w:rsid w:val="00122D44"/>
    <w:rsid w:val="0012301F"/>
    <w:rsid w:val="0012409C"/>
    <w:rsid w:val="001254B3"/>
    <w:rsid w:val="0012599A"/>
    <w:rsid w:val="00125BF2"/>
    <w:rsid w:val="00125FF0"/>
    <w:rsid w:val="001261B9"/>
    <w:rsid w:val="00126F92"/>
    <w:rsid w:val="001271E6"/>
    <w:rsid w:val="00131CE4"/>
    <w:rsid w:val="00131E03"/>
    <w:rsid w:val="00132A44"/>
    <w:rsid w:val="00132BAA"/>
    <w:rsid w:val="00132C41"/>
    <w:rsid w:val="0013396F"/>
    <w:rsid w:val="00134D62"/>
    <w:rsid w:val="00135421"/>
    <w:rsid w:val="00136F7D"/>
    <w:rsid w:val="00137D98"/>
    <w:rsid w:val="001409C6"/>
    <w:rsid w:val="001409D8"/>
    <w:rsid w:val="00140AD4"/>
    <w:rsid w:val="001412D6"/>
    <w:rsid w:val="00141A4F"/>
    <w:rsid w:val="00141D4C"/>
    <w:rsid w:val="00142376"/>
    <w:rsid w:val="00142C5D"/>
    <w:rsid w:val="00142C67"/>
    <w:rsid w:val="0014493F"/>
    <w:rsid w:val="00145338"/>
    <w:rsid w:val="00145F1A"/>
    <w:rsid w:val="00146264"/>
    <w:rsid w:val="00146C9A"/>
    <w:rsid w:val="00146D5B"/>
    <w:rsid w:val="00147398"/>
    <w:rsid w:val="00147F7D"/>
    <w:rsid w:val="00151EA2"/>
    <w:rsid w:val="00153D3C"/>
    <w:rsid w:val="0015451E"/>
    <w:rsid w:val="00154FFF"/>
    <w:rsid w:val="00156B82"/>
    <w:rsid w:val="00156F5F"/>
    <w:rsid w:val="00160F43"/>
    <w:rsid w:val="001611EE"/>
    <w:rsid w:val="0016407D"/>
    <w:rsid w:val="00164CF9"/>
    <w:rsid w:val="00164DA2"/>
    <w:rsid w:val="00165240"/>
    <w:rsid w:val="001667B0"/>
    <w:rsid w:val="00167118"/>
    <w:rsid w:val="00171412"/>
    <w:rsid w:val="001715CB"/>
    <w:rsid w:val="00171E59"/>
    <w:rsid w:val="00172A55"/>
    <w:rsid w:val="00172AC3"/>
    <w:rsid w:val="00172DAE"/>
    <w:rsid w:val="00172E43"/>
    <w:rsid w:val="00173548"/>
    <w:rsid w:val="0017385C"/>
    <w:rsid w:val="001752D9"/>
    <w:rsid w:val="0017606D"/>
    <w:rsid w:val="00176B6D"/>
    <w:rsid w:val="00176C41"/>
    <w:rsid w:val="00176CDF"/>
    <w:rsid w:val="00180E1A"/>
    <w:rsid w:val="00181167"/>
    <w:rsid w:val="00182344"/>
    <w:rsid w:val="00182D42"/>
    <w:rsid w:val="00183693"/>
    <w:rsid w:val="00185759"/>
    <w:rsid w:val="00185B6A"/>
    <w:rsid w:val="00185F5D"/>
    <w:rsid w:val="00185FA3"/>
    <w:rsid w:val="00186647"/>
    <w:rsid w:val="00186A3A"/>
    <w:rsid w:val="00186D19"/>
    <w:rsid w:val="00186E92"/>
    <w:rsid w:val="00187C3D"/>
    <w:rsid w:val="001900A3"/>
    <w:rsid w:val="00191941"/>
    <w:rsid w:val="00192251"/>
    <w:rsid w:val="00192F6B"/>
    <w:rsid w:val="00193151"/>
    <w:rsid w:val="00193564"/>
    <w:rsid w:val="00193ABA"/>
    <w:rsid w:val="00193C75"/>
    <w:rsid w:val="0019577B"/>
    <w:rsid w:val="001964C3"/>
    <w:rsid w:val="00196914"/>
    <w:rsid w:val="0019699E"/>
    <w:rsid w:val="001970C4"/>
    <w:rsid w:val="001975AD"/>
    <w:rsid w:val="001A11FE"/>
    <w:rsid w:val="001A12A4"/>
    <w:rsid w:val="001A16AF"/>
    <w:rsid w:val="001A1C5E"/>
    <w:rsid w:val="001A4CF8"/>
    <w:rsid w:val="001A6434"/>
    <w:rsid w:val="001A6500"/>
    <w:rsid w:val="001A6CAD"/>
    <w:rsid w:val="001A72D9"/>
    <w:rsid w:val="001A7E1D"/>
    <w:rsid w:val="001B07B0"/>
    <w:rsid w:val="001B0BA9"/>
    <w:rsid w:val="001B28C6"/>
    <w:rsid w:val="001B365B"/>
    <w:rsid w:val="001B4311"/>
    <w:rsid w:val="001B46B7"/>
    <w:rsid w:val="001B52DF"/>
    <w:rsid w:val="001B67C8"/>
    <w:rsid w:val="001B6EC3"/>
    <w:rsid w:val="001B73F3"/>
    <w:rsid w:val="001B7821"/>
    <w:rsid w:val="001C0712"/>
    <w:rsid w:val="001C14DD"/>
    <w:rsid w:val="001C3262"/>
    <w:rsid w:val="001C385B"/>
    <w:rsid w:val="001C4A00"/>
    <w:rsid w:val="001C531A"/>
    <w:rsid w:val="001C58FF"/>
    <w:rsid w:val="001C7053"/>
    <w:rsid w:val="001C7448"/>
    <w:rsid w:val="001D0270"/>
    <w:rsid w:val="001D0829"/>
    <w:rsid w:val="001D135B"/>
    <w:rsid w:val="001D1744"/>
    <w:rsid w:val="001D186E"/>
    <w:rsid w:val="001D294B"/>
    <w:rsid w:val="001D3744"/>
    <w:rsid w:val="001D4120"/>
    <w:rsid w:val="001D44D4"/>
    <w:rsid w:val="001D4737"/>
    <w:rsid w:val="001D4A0D"/>
    <w:rsid w:val="001D663F"/>
    <w:rsid w:val="001D69C3"/>
    <w:rsid w:val="001D7D7E"/>
    <w:rsid w:val="001E02B7"/>
    <w:rsid w:val="001E0E31"/>
    <w:rsid w:val="001E3192"/>
    <w:rsid w:val="001E48EC"/>
    <w:rsid w:val="001E69D4"/>
    <w:rsid w:val="001E7C91"/>
    <w:rsid w:val="001F166B"/>
    <w:rsid w:val="001F1FD8"/>
    <w:rsid w:val="001F3649"/>
    <w:rsid w:val="001F3860"/>
    <w:rsid w:val="001F444A"/>
    <w:rsid w:val="001F4A2B"/>
    <w:rsid w:val="00201100"/>
    <w:rsid w:val="00201A89"/>
    <w:rsid w:val="002024E0"/>
    <w:rsid w:val="00202564"/>
    <w:rsid w:val="00202581"/>
    <w:rsid w:val="002028FE"/>
    <w:rsid w:val="002030BD"/>
    <w:rsid w:val="0020351B"/>
    <w:rsid w:val="0020494A"/>
    <w:rsid w:val="00204FDA"/>
    <w:rsid w:val="00205CD3"/>
    <w:rsid w:val="002069B5"/>
    <w:rsid w:val="002106A4"/>
    <w:rsid w:val="00210DBA"/>
    <w:rsid w:val="002114D7"/>
    <w:rsid w:val="00211FB9"/>
    <w:rsid w:val="0021290F"/>
    <w:rsid w:val="00212EB6"/>
    <w:rsid w:val="00213F6B"/>
    <w:rsid w:val="00220C0F"/>
    <w:rsid w:val="00221287"/>
    <w:rsid w:val="00222345"/>
    <w:rsid w:val="002237CC"/>
    <w:rsid w:val="00223A1E"/>
    <w:rsid w:val="002243A4"/>
    <w:rsid w:val="00224B5F"/>
    <w:rsid w:val="00224CAC"/>
    <w:rsid w:val="002255A0"/>
    <w:rsid w:val="00226617"/>
    <w:rsid w:val="00226FF6"/>
    <w:rsid w:val="00227AF8"/>
    <w:rsid w:val="00230214"/>
    <w:rsid w:val="00230BAB"/>
    <w:rsid w:val="0023170C"/>
    <w:rsid w:val="00231765"/>
    <w:rsid w:val="00231DDE"/>
    <w:rsid w:val="0023218F"/>
    <w:rsid w:val="00232DBA"/>
    <w:rsid w:val="002335FD"/>
    <w:rsid w:val="00233800"/>
    <w:rsid w:val="00234772"/>
    <w:rsid w:val="00235401"/>
    <w:rsid w:val="00235DEC"/>
    <w:rsid w:val="00236467"/>
    <w:rsid w:val="0023744E"/>
    <w:rsid w:val="00240836"/>
    <w:rsid w:val="0024279A"/>
    <w:rsid w:val="0024375D"/>
    <w:rsid w:val="00244369"/>
    <w:rsid w:val="00244652"/>
    <w:rsid w:val="002455B1"/>
    <w:rsid w:val="002456BE"/>
    <w:rsid w:val="00245E54"/>
    <w:rsid w:val="002463F8"/>
    <w:rsid w:val="002476E6"/>
    <w:rsid w:val="002477C0"/>
    <w:rsid w:val="00250F49"/>
    <w:rsid w:val="00253277"/>
    <w:rsid w:val="00253876"/>
    <w:rsid w:val="00254524"/>
    <w:rsid w:val="00254CA0"/>
    <w:rsid w:val="002551E2"/>
    <w:rsid w:val="00255E1B"/>
    <w:rsid w:val="00256914"/>
    <w:rsid w:val="00256E4F"/>
    <w:rsid w:val="002614A6"/>
    <w:rsid w:val="00261E76"/>
    <w:rsid w:val="002620FD"/>
    <w:rsid w:val="00262FF8"/>
    <w:rsid w:val="00263C0B"/>
    <w:rsid w:val="00263D0F"/>
    <w:rsid w:val="0026412B"/>
    <w:rsid w:val="00264BB9"/>
    <w:rsid w:val="00264FE7"/>
    <w:rsid w:val="00270A53"/>
    <w:rsid w:val="00270B56"/>
    <w:rsid w:val="002716BC"/>
    <w:rsid w:val="002718E7"/>
    <w:rsid w:val="00272B86"/>
    <w:rsid w:val="00272D23"/>
    <w:rsid w:val="00273AE1"/>
    <w:rsid w:val="0027415F"/>
    <w:rsid w:val="0027460F"/>
    <w:rsid w:val="002758D1"/>
    <w:rsid w:val="002765F3"/>
    <w:rsid w:val="0028049D"/>
    <w:rsid w:val="002806BF"/>
    <w:rsid w:val="002809C6"/>
    <w:rsid w:val="00281888"/>
    <w:rsid w:val="00281A5A"/>
    <w:rsid w:val="0028328A"/>
    <w:rsid w:val="00290395"/>
    <w:rsid w:val="002929B1"/>
    <w:rsid w:val="00292DC9"/>
    <w:rsid w:val="00292FDB"/>
    <w:rsid w:val="002930EB"/>
    <w:rsid w:val="00293B4E"/>
    <w:rsid w:val="002943B2"/>
    <w:rsid w:val="00296230"/>
    <w:rsid w:val="00297725"/>
    <w:rsid w:val="002977E8"/>
    <w:rsid w:val="002A09E2"/>
    <w:rsid w:val="002A1B78"/>
    <w:rsid w:val="002A2331"/>
    <w:rsid w:val="002A2841"/>
    <w:rsid w:val="002A30B9"/>
    <w:rsid w:val="002A36D0"/>
    <w:rsid w:val="002A3C4C"/>
    <w:rsid w:val="002A3CCC"/>
    <w:rsid w:val="002A567A"/>
    <w:rsid w:val="002A5895"/>
    <w:rsid w:val="002A5B0A"/>
    <w:rsid w:val="002A681F"/>
    <w:rsid w:val="002A688C"/>
    <w:rsid w:val="002A6909"/>
    <w:rsid w:val="002A7E04"/>
    <w:rsid w:val="002B0F13"/>
    <w:rsid w:val="002B1A62"/>
    <w:rsid w:val="002B2FC0"/>
    <w:rsid w:val="002B6211"/>
    <w:rsid w:val="002C665F"/>
    <w:rsid w:val="002C6CA6"/>
    <w:rsid w:val="002C7C47"/>
    <w:rsid w:val="002D21B7"/>
    <w:rsid w:val="002D228F"/>
    <w:rsid w:val="002D245D"/>
    <w:rsid w:val="002D2E8A"/>
    <w:rsid w:val="002D34C4"/>
    <w:rsid w:val="002D3508"/>
    <w:rsid w:val="002D356F"/>
    <w:rsid w:val="002D3AA0"/>
    <w:rsid w:val="002D3BA7"/>
    <w:rsid w:val="002D42AB"/>
    <w:rsid w:val="002D6130"/>
    <w:rsid w:val="002D6189"/>
    <w:rsid w:val="002D6A5B"/>
    <w:rsid w:val="002D6B63"/>
    <w:rsid w:val="002D6F0A"/>
    <w:rsid w:val="002D7D6F"/>
    <w:rsid w:val="002E00C4"/>
    <w:rsid w:val="002E09D1"/>
    <w:rsid w:val="002E0C65"/>
    <w:rsid w:val="002E29EE"/>
    <w:rsid w:val="002E3F7D"/>
    <w:rsid w:val="002E59CD"/>
    <w:rsid w:val="002E5A88"/>
    <w:rsid w:val="002E6595"/>
    <w:rsid w:val="002E6B9E"/>
    <w:rsid w:val="002E6C56"/>
    <w:rsid w:val="002E7315"/>
    <w:rsid w:val="002F325F"/>
    <w:rsid w:val="002F43C1"/>
    <w:rsid w:val="002F555F"/>
    <w:rsid w:val="002F5F9C"/>
    <w:rsid w:val="002F63E9"/>
    <w:rsid w:val="002F6BA0"/>
    <w:rsid w:val="002F6DCF"/>
    <w:rsid w:val="002F6EBA"/>
    <w:rsid w:val="002F73C3"/>
    <w:rsid w:val="003013BB"/>
    <w:rsid w:val="003013E9"/>
    <w:rsid w:val="00302C30"/>
    <w:rsid w:val="00303C9E"/>
    <w:rsid w:val="00305B3C"/>
    <w:rsid w:val="00306386"/>
    <w:rsid w:val="00306AAF"/>
    <w:rsid w:val="00310FC2"/>
    <w:rsid w:val="00311376"/>
    <w:rsid w:val="0031180B"/>
    <w:rsid w:val="003136E8"/>
    <w:rsid w:val="003138B8"/>
    <w:rsid w:val="00313AD4"/>
    <w:rsid w:val="00313E59"/>
    <w:rsid w:val="00314129"/>
    <w:rsid w:val="00314320"/>
    <w:rsid w:val="00315D5B"/>
    <w:rsid w:val="00316ABF"/>
    <w:rsid w:val="00317136"/>
    <w:rsid w:val="00317F11"/>
    <w:rsid w:val="00320EB8"/>
    <w:rsid w:val="00321040"/>
    <w:rsid w:val="003214CB"/>
    <w:rsid w:val="003215BF"/>
    <w:rsid w:val="00321E13"/>
    <w:rsid w:val="00323927"/>
    <w:rsid w:val="003244A2"/>
    <w:rsid w:val="00324A2F"/>
    <w:rsid w:val="00326546"/>
    <w:rsid w:val="00326749"/>
    <w:rsid w:val="00326BAA"/>
    <w:rsid w:val="00326C27"/>
    <w:rsid w:val="003303C1"/>
    <w:rsid w:val="00330952"/>
    <w:rsid w:val="00331836"/>
    <w:rsid w:val="003329D2"/>
    <w:rsid w:val="00332EA7"/>
    <w:rsid w:val="00334258"/>
    <w:rsid w:val="0033508C"/>
    <w:rsid w:val="00335920"/>
    <w:rsid w:val="00336834"/>
    <w:rsid w:val="003377B5"/>
    <w:rsid w:val="00340A3F"/>
    <w:rsid w:val="00341BFA"/>
    <w:rsid w:val="00342995"/>
    <w:rsid w:val="00343669"/>
    <w:rsid w:val="003436BD"/>
    <w:rsid w:val="00344F23"/>
    <w:rsid w:val="0034599B"/>
    <w:rsid w:val="0034620F"/>
    <w:rsid w:val="0034793D"/>
    <w:rsid w:val="00350978"/>
    <w:rsid w:val="003534A4"/>
    <w:rsid w:val="003549F8"/>
    <w:rsid w:val="00354CFD"/>
    <w:rsid w:val="00355C3B"/>
    <w:rsid w:val="0035673D"/>
    <w:rsid w:val="00356E81"/>
    <w:rsid w:val="0036050D"/>
    <w:rsid w:val="003607DB"/>
    <w:rsid w:val="00360E94"/>
    <w:rsid w:val="00361152"/>
    <w:rsid w:val="00362605"/>
    <w:rsid w:val="0036291D"/>
    <w:rsid w:val="00363397"/>
    <w:rsid w:val="003643FC"/>
    <w:rsid w:val="0036540C"/>
    <w:rsid w:val="00365915"/>
    <w:rsid w:val="00366587"/>
    <w:rsid w:val="00367E09"/>
    <w:rsid w:val="0037047E"/>
    <w:rsid w:val="00370CD4"/>
    <w:rsid w:val="003710F5"/>
    <w:rsid w:val="00371A24"/>
    <w:rsid w:val="003727B5"/>
    <w:rsid w:val="003728B0"/>
    <w:rsid w:val="00372DD0"/>
    <w:rsid w:val="003731AC"/>
    <w:rsid w:val="00373B16"/>
    <w:rsid w:val="00374475"/>
    <w:rsid w:val="00375142"/>
    <w:rsid w:val="00375963"/>
    <w:rsid w:val="00375E3E"/>
    <w:rsid w:val="00375F2B"/>
    <w:rsid w:val="003760E3"/>
    <w:rsid w:val="003778E3"/>
    <w:rsid w:val="00377B35"/>
    <w:rsid w:val="00377D4F"/>
    <w:rsid w:val="00380047"/>
    <w:rsid w:val="00380F2A"/>
    <w:rsid w:val="003810ED"/>
    <w:rsid w:val="0038152D"/>
    <w:rsid w:val="00381B7A"/>
    <w:rsid w:val="003823EA"/>
    <w:rsid w:val="00382850"/>
    <w:rsid w:val="00382A5C"/>
    <w:rsid w:val="003832BA"/>
    <w:rsid w:val="003855B6"/>
    <w:rsid w:val="00386060"/>
    <w:rsid w:val="00386615"/>
    <w:rsid w:val="00386CB2"/>
    <w:rsid w:val="003877C6"/>
    <w:rsid w:val="00387A97"/>
    <w:rsid w:val="0039055A"/>
    <w:rsid w:val="0039057A"/>
    <w:rsid w:val="00390E6D"/>
    <w:rsid w:val="00391882"/>
    <w:rsid w:val="003930F3"/>
    <w:rsid w:val="003933FC"/>
    <w:rsid w:val="00393545"/>
    <w:rsid w:val="003936C7"/>
    <w:rsid w:val="003938C6"/>
    <w:rsid w:val="003962F4"/>
    <w:rsid w:val="00396DBD"/>
    <w:rsid w:val="003975A5"/>
    <w:rsid w:val="003979AF"/>
    <w:rsid w:val="00397CA1"/>
    <w:rsid w:val="003A0837"/>
    <w:rsid w:val="003A0E10"/>
    <w:rsid w:val="003A174A"/>
    <w:rsid w:val="003A1CC4"/>
    <w:rsid w:val="003A1DD1"/>
    <w:rsid w:val="003A1E41"/>
    <w:rsid w:val="003A1FDD"/>
    <w:rsid w:val="003A282D"/>
    <w:rsid w:val="003A2EB6"/>
    <w:rsid w:val="003A356F"/>
    <w:rsid w:val="003A3837"/>
    <w:rsid w:val="003A5DD1"/>
    <w:rsid w:val="003A6858"/>
    <w:rsid w:val="003A7379"/>
    <w:rsid w:val="003A7A91"/>
    <w:rsid w:val="003B0DAA"/>
    <w:rsid w:val="003B113B"/>
    <w:rsid w:val="003B1930"/>
    <w:rsid w:val="003B22C3"/>
    <w:rsid w:val="003B2719"/>
    <w:rsid w:val="003B3998"/>
    <w:rsid w:val="003B42F1"/>
    <w:rsid w:val="003B51D7"/>
    <w:rsid w:val="003B6B13"/>
    <w:rsid w:val="003B7130"/>
    <w:rsid w:val="003C06E9"/>
    <w:rsid w:val="003C09A6"/>
    <w:rsid w:val="003C109D"/>
    <w:rsid w:val="003C1100"/>
    <w:rsid w:val="003C114E"/>
    <w:rsid w:val="003C350C"/>
    <w:rsid w:val="003C3DB9"/>
    <w:rsid w:val="003C41D7"/>
    <w:rsid w:val="003C41DC"/>
    <w:rsid w:val="003C4D2B"/>
    <w:rsid w:val="003C5245"/>
    <w:rsid w:val="003C5787"/>
    <w:rsid w:val="003C598E"/>
    <w:rsid w:val="003C5E26"/>
    <w:rsid w:val="003C5FEF"/>
    <w:rsid w:val="003C6628"/>
    <w:rsid w:val="003C6E4B"/>
    <w:rsid w:val="003C71F9"/>
    <w:rsid w:val="003C7208"/>
    <w:rsid w:val="003D02A8"/>
    <w:rsid w:val="003D0683"/>
    <w:rsid w:val="003D09BA"/>
    <w:rsid w:val="003D0DB6"/>
    <w:rsid w:val="003D3898"/>
    <w:rsid w:val="003D41E2"/>
    <w:rsid w:val="003D5557"/>
    <w:rsid w:val="003D5927"/>
    <w:rsid w:val="003D7FCE"/>
    <w:rsid w:val="003E008F"/>
    <w:rsid w:val="003E00F0"/>
    <w:rsid w:val="003E15AD"/>
    <w:rsid w:val="003E1FFC"/>
    <w:rsid w:val="003E2115"/>
    <w:rsid w:val="003E370B"/>
    <w:rsid w:val="003E5B9D"/>
    <w:rsid w:val="003E649D"/>
    <w:rsid w:val="003E6533"/>
    <w:rsid w:val="003E6F04"/>
    <w:rsid w:val="003E791D"/>
    <w:rsid w:val="003E7F59"/>
    <w:rsid w:val="003F0A9F"/>
    <w:rsid w:val="003F14FA"/>
    <w:rsid w:val="003F1664"/>
    <w:rsid w:val="003F2541"/>
    <w:rsid w:val="003F2D0D"/>
    <w:rsid w:val="003F54F4"/>
    <w:rsid w:val="003F5CE5"/>
    <w:rsid w:val="003F60F6"/>
    <w:rsid w:val="003F612C"/>
    <w:rsid w:val="003F67AC"/>
    <w:rsid w:val="003F6845"/>
    <w:rsid w:val="003F7878"/>
    <w:rsid w:val="003F7A33"/>
    <w:rsid w:val="004008DF"/>
    <w:rsid w:val="00401371"/>
    <w:rsid w:val="00401619"/>
    <w:rsid w:val="0040185D"/>
    <w:rsid w:val="00401A35"/>
    <w:rsid w:val="0040263D"/>
    <w:rsid w:val="004026CE"/>
    <w:rsid w:val="00402FE3"/>
    <w:rsid w:val="004035C4"/>
    <w:rsid w:val="00403831"/>
    <w:rsid w:val="00404BCD"/>
    <w:rsid w:val="00404BD0"/>
    <w:rsid w:val="00405E0A"/>
    <w:rsid w:val="00406FA9"/>
    <w:rsid w:val="00407DC8"/>
    <w:rsid w:val="00410A66"/>
    <w:rsid w:val="00410A88"/>
    <w:rsid w:val="004110CA"/>
    <w:rsid w:val="00413901"/>
    <w:rsid w:val="00413DD4"/>
    <w:rsid w:val="00415157"/>
    <w:rsid w:val="00415A84"/>
    <w:rsid w:val="00415F7F"/>
    <w:rsid w:val="0041608B"/>
    <w:rsid w:val="004168AC"/>
    <w:rsid w:val="0042046E"/>
    <w:rsid w:val="0042098E"/>
    <w:rsid w:val="00420BD2"/>
    <w:rsid w:val="00422025"/>
    <w:rsid w:val="00424052"/>
    <w:rsid w:val="0042431E"/>
    <w:rsid w:val="00424980"/>
    <w:rsid w:val="00425781"/>
    <w:rsid w:val="004259EB"/>
    <w:rsid w:val="00425DB2"/>
    <w:rsid w:val="00426266"/>
    <w:rsid w:val="00426DE5"/>
    <w:rsid w:val="004274F4"/>
    <w:rsid w:val="004277E4"/>
    <w:rsid w:val="00427D7F"/>
    <w:rsid w:val="00427E62"/>
    <w:rsid w:val="00432D5E"/>
    <w:rsid w:val="00433118"/>
    <w:rsid w:val="00433449"/>
    <w:rsid w:val="004338B0"/>
    <w:rsid w:val="00435923"/>
    <w:rsid w:val="00435FFE"/>
    <w:rsid w:val="004369E3"/>
    <w:rsid w:val="00436E7F"/>
    <w:rsid w:val="00440C69"/>
    <w:rsid w:val="00441238"/>
    <w:rsid w:val="00441A4E"/>
    <w:rsid w:val="00441B7F"/>
    <w:rsid w:val="004420E8"/>
    <w:rsid w:val="00443981"/>
    <w:rsid w:val="004439E1"/>
    <w:rsid w:val="00444555"/>
    <w:rsid w:val="00444631"/>
    <w:rsid w:val="00445E51"/>
    <w:rsid w:val="00446907"/>
    <w:rsid w:val="004504F0"/>
    <w:rsid w:val="00450A86"/>
    <w:rsid w:val="00450BFD"/>
    <w:rsid w:val="00452993"/>
    <w:rsid w:val="00452E24"/>
    <w:rsid w:val="00452FBC"/>
    <w:rsid w:val="00453258"/>
    <w:rsid w:val="00453BB7"/>
    <w:rsid w:val="00453E00"/>
    <w:rsid w:val="0045404F"/>
    <w:rsid w:val="00454DFC"/>
    <w:rsid w:val="00455DC1"/>
    <w:rsid w:val="00455E4D"/>
    <w:rsid w:val="00456A0E"/>
    <w:rsid w:val="00456D0C"/>
    <w:rsid w:val="00456FEB"/>
    <w:rsid w:val="00457198"/>
    <w:rsid w:val="00457251"/>
    <w:rsid w:val="00457374"/>
    <w:rsid w:val="0045760C"/>
    <w:rsid w:val="0045773B"/>
    <w:rsid w:val="00457C09"/>
    <w:rsid w:val="00457E1E"/>
    <w:rsid w:val="0046060E"/>
    <w:rsid w:val="00461E02"/>
    <w:rsid w:val="00461E37"/>
    <w:rsid w:val="00462013"/>
    <w:rsid w:val="004633D9"/>
    <w:rsid w:val="00463532"/>
    <w:rsid w:val="004635D3"/>
    <w:rsid w:val="004637C1"/>
    <w:rsid w:val="00463EF1"/>
    <w:rsid w:val="00467343"/>
    <w:rsid w:val="00467CD0"/>
    <w:rsid w:val="00467F06"/>
    <w:rsid w:val="0047081B"/>
    <w:rsid w:val="00471AF1"/>
    <w:rsid w:val="00471BDB"/>
    <w:rsid w:val="00472438"/>
    <w:rsid w:val="00472DD1"/>
    <w:rsid w:val="004732FC"/>
    <w:rsid w:val="00474224"/>
    <w:rsid w:val="00475F8E"/>
    <w:rsid w:val="00476226"/>
    <w:rsid w:val="00476912"/>
    <w:rsid w:val="0047737A"/>
    <w:rsid w:val="00477A75"/>
    <w:rsid w:val="00477AE2"/>
    <w:rsid w:val="00477D77"/>
    <w:rsid w:val="00482432"/>
    <w:rsid w:val="00483354"/>
    <w:rsid w:val="00483546"/>
    <w:rsid w:val="0048376E"/>
    <w:rsid w:val="0048382D"/>
    <w:rsid w:val="004838BC"/>
    <w:rsid w:val="00484790"/>
    <w:rsid w:val="00484F9B"/>
    <w:rsid w:val="0048577E"/>
    <w:rsid w:val="004865F6"/>
    <w:rsid w:val="00486B9E"/>
    <w:rsid w:val="00490B00"/>
    <w:rsid w:val="00490E5E"/>
    <w:rsid w:val="004912D1"/>
    <w:rsid w:val="00491C66"/>
    <w:rsid w:val="00491D52"/>
    <w:rsid w:val="00492852"/>
    <w:rsid w:val="0049378B"/>
    <w:rsid w:val="00493BE8"/>
    <w:rsid w:val="00493EA3"/>
    <w:rsid w:val="00494545"/>
    <w:rsid w:val="00495433"/>
    <w:rsid w:val="00497357"/>
    <w:rsid w:val="004A0B1A"/>
    <w:rsid w:val="004A0E4C"/>
    <w:rsid w:val="004A0F89"/>
    <w:rsid w:val="004A1899"/>
    <w:rsid w:val="004A1A38"/>
    <w:rsid w:val="004A4D6D"/>
    <w:rsid w:val="004A4DAC"/>
    <w:rsid w:val="004A57C6"/>
    <w:rsid w:val="004A59F5"/>
    <w:rsid w:val="004A61D2"/>
    <w:rsid w:val="004B13D3"/>
    <w:rsid w:val="004B26C2"/>
    <w:rsid w:val="004B3822"/>
    <w:rsid w:val="004B469E"/>
    <w:rsid w:val="004B6FF4"/>
    <w:rsid w:val="004B7C39"/>
    <w:rsid w:val="004B7D53"/>
    <w:rsid w:val="004B7EAA"/>
    <w:rsid w:val="004C0DC1"/>
    <w:rsid w:val="004C12D8"/>
    <w:rsid w:val="004C31EE"/>
    <w:rsid w:val="004C3572"/>
    <w:rsid w:val="004C4309"/>
    <w:rsid w:val="004C4378"/>
    <w:rsid w:val="004C4874"/>
    <w:rsid w:val="004C496F"/>
    <w:rsid w:val="004C4A6B"/>
    <w:rsid w:val="004C4AC8"/>
    <w:rsid w:val="004C53BB"/>
    <w:rsid w:val="004D0355"/>
    <w:rsid w:val="004D07F2"/>
    <w:rsid w:val="004D2DBF"/>
    <w:rsid w:val="004D45E2"/>
    <w:rsid w:val="004D5310"/>
    <w:rsid w:val="004D6B46"/>
    <w:rsid w:val="004E0F09"/>
    <w:rsid w:val="004E179C"/>
    <w:rsid w:val="004E1A51"/>
    <w:rsid w:val="004E2AF3"/>
    <w:rsid w:val="004E306A"/>
    <w:rsid w:val="004E316A"/>
    <w:rsid w:val="004E3A00"/>
    <w:rsid w:val="004E4437"/>
    <w:rsid w:val="004E4569"/>
    <w:rsid w:val="004E6546"/>
    <w:rsid w:val="004E6A20"/>
    <w:rsid w:val="004E6BF2"/>
    <w:rsid w:val="004E6C82"/>
    <w:rsid w:val="004E6DBF"/>
    <w:rsid w:val="004E7C9C"/>
    <w:rsid w:val="004E7E86"/>
    <w:rsid w:val="004E7EAC"/>
    <w:rsid w:val="004F12CB"/>
    <w:rsid w:val="004F1710"/>
    <w:rsid w:val="004F39FA"/>
    <w:rsid w:val="004F3CF0"/>
    <w:rsid w:val="004F48CE"/>
    <w:rsid w:val="004F5D58"/>
    <w:rsid w:val="004F6884"/>
    <w:rsid w:val="004F7C0F"/>
    <w:rsid w:val="00500743"/>
    <w:rsid w:val="00500F19"/>
    <w:rsid w:val="005018B7"/>
    <w:rsid w:val="00503000"/>
    <w:rsid w:val="0050469B"/>
    <w:rsid w:val="00504730"/>
    <w:rsid w:val="00504D8F"/>
    <w:rsid w:val="00504FBD"/>
    <w:rsid w:val="005052F8"/>
    <w:rsid w:val="00505679"/>
    <w:rsid w:val="005057FA"/>
    <w:rsid w:val="00505B51"/>
    <w:rsid w:val="005060E4"/>
    <w:rsid w:val="005067BB"/>
    <w:rsid w:val="00506CB8"/>
    <w:rsid w:val="00506F05"/>
    <w:rsid w:val="005078FF"/>
    <w:rsid w:val="0051022F"/>
    <w:rsid w:val="0051037B"/>
    <w:rsid w:val="00510B34"/>
    <w:rsid w:val="00511124"/>
    <w:rsid w:val="005114DA"/>
    <w:rsid w:val="00512610"/>
    <w:rsid w:val="005129B7"/>
    <w:rsid w:val="00512F4B"/>
    <w:rsid w:val="00512FFE"/>
    <w:rsid w:val="005148B4"/>
    <w:rsid w:val="00515969"/>
    <w:rsid w:val="00516A1C"/>
    <w:rsid w:val="00516BAE"/>
    <w:rsid w:val="005170B1"/>
    <w:rsid w:val="005176F9"/>
    <w:rsid w:val="0051773A"/>
    <w:rsid w:val="00517E61"/>
    <w:rsid w:val="005206B7"/>
    <w:rsid w:val="005231A3"/>
    <w:rsid w:val="00523415"/>
    <w:rsid w:val="00524E1E"/>
    <w:rsid w:val="00524F6A"/>
    <w:rsid w:val="00525FD2"/>
    <w:rsid w:val="0052754C"/>
    <w:rsid w:val="00527AB7"/>
    <w:rsid w:val="00530C3F"/>
    <w:rsid w:val="00531316"/>
    <w:rsid w:val="00531B77"/>
    <w:rsid w:val="00532152"/>
    <w:rsid w:val="00534DFF"/>
    <w:rsid w:val="0053540D"/>
    <w:rsid w:val="00535592"/>
    <w:rsid w:val="00535C67"/>
    <w:rsid w:val="00535DD4"/>
    <w:rsid w:val="0053769A"/>
    <w:rsid w:val="00537877"/>
    <w:rsid w:val="00541DD2"/>
    <w:rsid w:val="00541ED8"/>
    <w:rsid w:val="005429F9"/>
    <w:rsid w:val="005439D7"/>
    <w:rsid w:val="00543B56"/>
    <w:rsid w:val="00545027"/>
    <w:rsid w:val="00546BB9"/>
    <w:rsid w:val="005507B2"/>
    <w:rsid w:val="00550FE3"/>
    <w:rsid w:val="00551289"/>
    <w:rsid w:val="0055147A"/>
    <w:rsid w:val="0055401B"/>
    <w:rsid w:val="005541BC"/>
    <w:rsid w:val="005543E8"/>
    <w:rsid w:val="005549A1"/>
    <w:rsid w:val="00554DC1"/>
    <w:rsid w:val="005551CE"/>
    <w:rsid w:val="00555BAD"/>
    <w:rsid w:val="00555C38"/>
    <w:rsid w:val="005560B6"/>
    <w:rsid w:val="00556AB1"/>
    <w:rsid w:val="00560625"/>
    <w:rsid w:val="00561532"/>
    <w:rsid w:val="00561865"/>
    <w:rsid w:val="005624DA"/>
    <w:rsid w:val="00563FE1"/>
    <w:rsid w:val="005643D1"/>
    <w:rsid w:val="00565FF5"/>
    <w:rsid w:val="0056626D"/>
    <w:rsid w:val="0056721D"/>
    <w:rsid w:val="005700D4"/>
    <w:rsid w:val="0057037C"/>
    <w:rsid w:val="005722AA"/>
    <w:rsid w:val="00574323"/>
    <w:rsid w:val="00574352"/>
    <w:rsid w:val="005749DC"/>
    <w:rsid w:val="00574A6A"/>
    <w:rsid w:val="0057598E"/>
    <w:rsid w:val="00576676"/>
    <w:rsid w:val="00576C2C"/>
    <w:rsid w:val="005776B1"/>
    <w:rsid w:val="00580E77"/>
    <w:rsid w:val="00581646"/>
    <w:rsid w:val="00582DC1"/>
    <w:rsid w:val="0058344C"/>
    <w:rsid w:val="00583483"/>
    <w:rsid w:val="005843D6"/>
    <w:rsid w:val="005844C6"/>
    <w:rsid w:val="005849E4"/>
    <w:rsid w:val="00584A97"/>
    <w:rsid w:val="00584B0E"/>
    <w:rsid w:val="00586562"/>
    <w:rsid w:val="00586D46"/>
    <w:rsid w:val="00587118"/>
    <w:rsid w:val="005907A6"/>
    <w:rsid w:val="00590FE2"/>
    <w:rsid w:val="005910E2"/>
    <w:rsid w:val="0059179B"/>
    <w:rsid w:val="005917E4"/>
    <w:rsid w:val="00592119"/>
    <w:rsid w:val="00592AA9"/>
    <w:rsid w:val="00592E27"/>
    <w:rsid w:val="005947FD"/>
    <w:rsid w:val="00594A7E"/>
    <w:rsid w:val="00595060"/>
    <w:rsid w:val="00595284"/>
    <w:rsid w:val="005959CC"/>
    <w:rsid w:val="0059787D"/>
    <w:rsid w:val="005A0039"/>
    <w:rsid w:val="005A02A5"/>
    <w:rsid w:val="005A03B2"/>
    <w:rsid w:val="005A047D"/>
    <w:rsid w:val="005A0BFC"/>
    <w:rsid w:val="005A1067"/>
    <w:rsid w:val="005A23F1"/>
    <w:rsid w:val="005A24DB"/>
    <w:rsid w:val="005A281F"/>
    <w:rsid w:val="005A3450"/>
    <w:rsid w:val="005A37D1"/>
    <w:rsid w:val="005A3B9E"/>
    <w:rsid w:val="005A4593"/>
    <w:rsid w:val="005A45A4"/>
    <w:rsid w:val="005A5B4C"/>
    <w:rsid w:val="005A610E"/>
    <w:rsid w:val="005A66BE"/>
    <w:rsid w:val="005A6BBA"/>
    <w:rsid w:val="005A7F70"/>
    <w:rsid w:val="005B22DC"/>
    <w:rsid w:val="005B2375"/>
    <w:rsid w:val="005B2629"/>
    <w:rsid w:val="005B26C8"/>
    <w:rsid w:val="005B4C39"/>
    <w:rsid w:val="005B63EA"/>
    <w:rsid w:val="005B67C1"/>
    <w:rsid w:val="005B68CD"/>
    <w:rsid w:val="005C2AB7"/>
    <w:rsid w:val="005C2F7F"/>
    <w:rsid w:val="005C386A"/>
    <w:rsid w:val="005C4D65"/>
    <w:rsid w:val="005C4E65"/>
    <w:rsid w:val="005C5036"/>
    <w:rsid w:val="005C65B4"/>
    <w:rsid w:val="005C7FC5"/>
    <w:rsid w:val="005D04A4"/>
    <w:rsid w:val="005D1145"/>
    <w:rsid w:val="005D16C0"/>
    <w:rsid w:val="005D216D"/>
    <w:rsid w:val="005D31A7"/>
    <w:rsid w:val="005D56C5"/>
    <w:rsid w:val="005D5E3B"/>
    <w:rsid w:val="005D64BF"/>
    <w:rsid w:val="005D69A5"/>
    <w:rsid w:val="005D73EF"/>
    <w:rsid w:val="005D7B9D"/>
    <w:rsid w:val="005E1A22"/>
    <w:rsid w:val="005E1AB4"/>
    <w:rsid w:val="005E1D5C"/>
    <w:rsid w:val="005E28D6"/>
    <w:rsid w:val="005E37F0"/>
    <w:rsid w:val="005E3D73"/>
    <w:rsid w:val="005E403E"/>
    <w:rsid w:val="005E4FBA"/>
    <w:rsid w:val="005E543B"/>
    <w:rsid w:val="005E5F3E"/>
    <w:rsid w:val="005E6B8C"/>
    <w:rsid w:val="005E6C76"/>
    <w:rsid w:val="005E6E7E"/>
    <w:rsid w:val="005E72E4"/>
    <w:rsid w:val="005E7BC4"/>
    <w:rsid w:val="005F07AC"/>
    <w:rsid w:val="005F0B27"/>
    <w:rsid w:val="005F0F09"/>
    <w:rsid w:val="005F0F4F"/>
    <w:rsid w:val="005F0FB9"/>
    <w:rsid w:val="005F11C6"/>
    <w:rsid w:val="005F2884"/>
    <w:rsid w:val="005F290D"/>
    <w:rsid w:val="005F30DD"/>
    <w:rsid w:val="005F3DC2"/>
    <w:rsid w:val="005F510A"/>
    <w:rsid w:val="005F6870"/>
    <w:rsid w:val="005F79A6"/>
    <w:rsid w:val="00600DDB"/>
    <w:rsid w:val="006012F9"/>
    <w:rsid w:val="00601711"/>
    <w:rsid w:val="00603561"/>
    <w:rsid w:val="006047E9"/>
    <w:rsid w:val="00604BD4"/>
    <w:rsid w:val="00605457"/>
    <w:rsid w:val="006062EC"/>
    <w:rsid w:val="00606986"/>
    <w:rsid w:val="00606D91"/>
    <w:rsid w:val="00607E3D"/>
    <w:rsid w:val="00610205"/>
    <w:rsid w:val="00611E6D"/>
    <w:rsid w:val="006137E3"/>
    <w:rsid w:val="006139A6"/>
    <w:rsid w:val="00613B3B"/>
    <w:rsid w:val="00613C92"/>
    <w:rsid w:val="0061521D"/>
    <w:rsid w:val="00615698"/>
    <w:rsid w:val="00615744"/>
    <w:rsid w:val="006165AE"/>
    <w:rsid w:val="00616CD0"/>
    <w:rsid w:val="0061772D"/>
    <w:rsid w:val="00617D3B"/>
    <w:rsid w:val="0062328C"/>
    <w:rsid w:val="006240F4"/>
    <w:rsid w:val="006258BD"/>
    <w:rsid w:val="00626B26"/>
    <w:rsid w:val="00626BD1"/>
    <w:rsid w:val="00630664"/>
    <w:rsid w:val="00632172"/>
    <w:rsid w:val="00632342"/>
    <w:rsid w:val="006325DA"/>
    <w:rsid w:val="00632832"/>
    <w:rsid w:val="006330C1"/>
    <w:rsid w:val="00633629"/>
    <w:rsid w:val="006354AF"/>
    <w:rsid w:val="006360FF"/>
    <w:rsid w:val="00636189"/>
    <w:rsid w:val="00636C7A"/>
    <w:rsid w:val="00637226"/>
    <w:rsid w:val="00640733"/>
    <w:rsid w:val="00641B78"/>
    <w:rsid w:val="0064299E"/>
    <w:rsid w:val="0064464D"/>
    <w:rsid w:val="00644CE6"/>
    <w:rsid w:val="0064550A"/>
    <w:rsid w:val="0065032B"/>
    <w:rsid w:val="00650FF3"/>
    <w:rsid w:val="00651602"/>
    <w:rsid w:val="006518BC"/>
    <w:rsid w:val="00651C1C"/>
    <w:rsid w:val="00651CA7"/>
    <w:rsid w:val="00653A2C"/>
    <w:rsid w:val="00654D6F"/>
    <w:rsid w:val="00660182"/>
    <w:rsid w:val="00660533"/>
    <w:rsid w:val="00660DB8"/>
    <w:rsid w:val="00661FC2"/>
    <w:rsid w:val="00663A1F"/>
    <w:rsid w:val="00663AC6"/>
    <w:rsid w:val="00664F8B"/>
    <w:rsid w:val="006664CC"/>
    <w:rsid w:val="006664F7"/>
    <w:rsid w:val="00667AB4"/>
    <w:rsid w:val="00667CE9"/>
    <w:rsid w:val="00670278"/>
    <w:rsid w:val="00671100"/>
    <w:rsid w:val="006719CB"/>
    <w:rsid w:val="00672B25"/>
    <w:rsid w:val="00673E7B"/>
    <w:rsid w:val="00673E7E"/>
    <w:rsid w:val="0067479D"/>
    <w:rsid w:val="00674922"/>
    <w:rsid w:val="00676AF0"/>
    <w:rsid w:val="00677F6E"/>
    <w:rsid w:val="00680E28"/>
    <w:rsid w:val="0068110B"/>
    <w:rsid w:val="00681D63"/>
    <w:rsid w:val="00681F9C"/>
    <w:rsid w:val="006821DA"/>
    <w:rsid w:val="00682792"/>
    <w:rsid w:val="006827F2"/>
    <w:rsid w:val="00682D6B"/>
    <w:rsid w:val="00684EC1"/>
    <w:rsid w:val="006852F3"/>
    <w:rsid w:val="00686E54"/>
    <w:rsid w:val="00687655"/>
    <w:rsid w:val="006877EC"/>
    <w:rsid w:val="00687EBD"/>
    <w:rsid w:val="0069000F"/>
    <w:rsid w:val="00690A0E"/>
    <w:rsid w:val="00690E24"/>
    <w:rsid w:val="006912B3"/>
    <w:rsid w:val="00691485"/>
    <w:rsid w:val="00692BB2"/>
    <w:rsid w:val="00692EC1"/>
    <w:rsid w:val="006932F6"/>
    <w:rsid w:val="006935D6"/>
    <w:rsid w:val="00693703"/>
    <w:rsid w:val="00694E60"/>
    <w:rsid w:val="006959DF"/>
    <w:rsid w:val="006972B6"/>
    <w:rsid w:val="006A02B0"/>
    <w:rsid w:val="006A1353"/>
    <w:rsid w:val="006A1900"/>
    <w:rsid w:val="006A1B6E"/>
    <w:rsid w:val="006A35AE"/>
    <w:rsid w:val="006A3963"/>
    <w:rsid w:val="006A3B28"/>
    <w:rsid w:val="006A5A00"/>
    <w:rsid w:val="006A5EB6"/>
    <w:rsid w:val="006A6285"/>
    <w:rsid w:val="006A79D0"/>
    <w:rsid w:val="006A7B94"/>
    <w:rsid w:val="006B2080"/>
    <w:rsid w:val="006B2389"/>
    <w:rsid w:val="006B51E6"/>
    <w:rsid w:val="006B5BD4"/>
    <w:rsid w:val="006B7926"/>
    <w:rsid w:val="006B7DE0"/>
    <w:rsid w:val="006C0787"/>
    <w:rsid w:val="006C1419"/>
    <w:rsid w:val="006C1FEF"/>
    <w:rsid w:val="006C32F2"/>
    <w:rsid w:val="006C350A"/>
    <w:rsid w:val="006C39DE"/>
    <w:rsid w:val="006C3A53"/>
    <w:rsid w:val="006C4655"/>
    <w:rsid w:val="006C4E8D"/>
    <w:rsid w:val="006C5A8F"/>
    <w:rsid w:val="006C62FF"/>
    <w:rsid w:val="006C6402"/>
    <w:rsid w:val="006C6EDC"/>
    <w:rsid w:val="006D1F40"/>
    <w:rsid w:val="006D206F"/>
    <w:rsid w:val="006D239B"/>
    <w:rsid w:val="006D2975"/>
    <w:rsid w:val="006D2B63"/>
    <w:rsid w:val="006D2CEE"/>
    <w:rsid w:val="006D2EDC"/>
    <w:rsid w:val="006D3FF3"/>
    <w:rsid w:val="006D4013"/>
    <w:rsid w:val="006D6074"/>
    <w:rsid w:val="006D79CD"/>
    <w:rsid w:val="006E07AA"/>
    <w:rsid w:val="006E08AB"/>
    <w:rsid w:val="006E1ED5"/>
    <w:rsid w:val="006E6A3D"/>
    <w:rsid w:val="006E73C7"/>
    <w:rsid w:val="006F03CA"/>
    <w:rsid w:val="006F0ED8"/>
    <w:rsid w:val="006F0F93"/>
    <w:rsid w:val="006F16BD"/>
    <w:rsid w:val="006F1F72"/>
    <w:rsid w:val="006F21B1"/>
    <w:rsid w:val="006F261C"/>
    <w:rsid w:val="006F2AA6"/>
    <w:rsid w:val="006F3458"/>
    <w:rsid w:val="006F3E16"/>
    <w:rsid w:val="006F49A1"/>
    <w:rsid w:val="006F4A4F"/>
    <w:rsid w:val="006F51F5"/>
    <w:rsid w:val="006F5A06"/>
    <w:rsid w:val="006F5A39"/>
    <w:rsid w:val="006F5A81"/>
    <w:rsid w:val="006F5CD8"/>
    <w:rsid w:val="006F6012"/>
    <w:rsid w:val="006F7454"/>
    <w:rsid w:val="006F7591"/>
    <w:rsid w:val="006F7834"/>
    <w:rsid w:val="007005E6"/>
    <w:rsid w:val="00701699"/>
    <w:rsid w:val="00703197"/>
    <w:rsid w:val="00704894"/>
    <w:rsid w:val="0070492B"/>
    <w:rsid w:val="00706271"/>
    <w:rsid w:val="007079EB"/>
    <w:rsid w:val="00707C82"/>
    <w:rsid w:val="00710EB4"/>
    <w:rsid w:val="00710FAC"/>
    <w:rsid w:val="0071320E"/>
    <w:rsid w:val="007134E6"/>
    <w:rsid w:val="00713584"/>
    <w:rsid w:val="007140A2"/>
    <w:rsid w:val="00714631"/>
    <w:rsid w:val="00714AE4"/>
    <w:rsid w:val="00715540"/>
    <w:rsid w:val="0071595D"/>
    <w:rsid w:val="007172C1"/>
    <w:rsid w:val="007178B6"/>
    <w:rsid w:val="007179B8"/>
    <w:rsid w:val="007179EC"/>
    <w:rsid w:val="00720754"/>
    <w:rsid w:val="00720D8F"/>
    <w:rsid w:val="00722CD4"/>
    <w:rsid w:val="00722D7E"/>
    <w:rsid w:val="00723FA8"/>
    <w:rsid w:val="00724105"/>
    <w:rsid w:val="0072465E"/>
    <w:rsid w:val="00724A6E"/>
    <w:rsid w:val="00724E7D"/>
    <w:rsid w:val="00725157"/>
    <w:rsid w:val="00725249"/>
    <w:rsid w:val="0072534C"/>
    <w:rsid w:val="00726771"/>
    <w:rsid w:val="00727B0B"/>
    <w:rsid w:val="007300BE"/>
    <w:rsid w:val="00730242"/>
    <w:rsid w:val="00730483"/>
    <w:rsid w:val="007306F2"/>
    <w:rsid w:val="007307D3"/>
    <w:rsid w:val="007314A6"/>
    <w:rsid w:val="00731C3C"/>
    <w:rsid w:val="00731E21"/>
    <w:rsid w:val="00731EDC"/>
    <w:rsid w:val="00732861"/>
    <w:rsid w:val="00732AC3"/>
    <w:rsid w:val="00732F6D"/>
    <w:rsid w:val="007332FC"/>
    <w:rsid w:val="007348F6"/>
    <w:rsid w:val="00734F22"/>
    <w:rsid w:val="0073556B"/>
    <w:rsid w:val="00736B03"/>
    <w:rsid w:val="007419DE"/>
    <w:rsid w:val="00741E19"/>
    <w:rsid w:val="007422DC"/>
    <w:rsid w:val="0074251E"/>
    <w:rsid w:val="007437C3"/>
    <w:rsid w:val="00743B0F"/>
    <w:rsid w:val="0074431B"/>
    <w:rsid w:val="007445DA"/>
    <w:rsid w:val="00744E3A"/>
    <w:rsid w:val="00745879"/>
    <w:rsid w:val="00745978"/>
    <w:rsid w:val="00745F7F"/>
    <w:rsid w:val="00745FA0"/>
    <w:rsid w:val="007474F5"/>
    <w:rsid w:val="00751A52"/>
    <w:rsid w:val="00752153"/>
    <w:rsid w:val="007521F8"/>
    <w:rsid w:val="007532E0"/>
    <w:rsid w:val="00753D7E"/>
    <w:rsid w:val="00753E56"/>
    <w:rsid w:val="00753F6F"/>
    <w:rsid w:val="00754E02"/>
    <w:rsid w:val="00756410"/>
    <w:rsid w:val="00756DCC"/>
    <w:rsid w:val="00756EF9"/>
    <w:rsid w:val="007624F1"/>
    <w:rsid w:val="007626FF"/>
    <w:rsid w:val="00763A34"/>
    <w:rsid w:val="00763C77"/>
    <w:rsid w:val="00764400"/>
    <w:rsid w:val="00765D19"/>
    <w:rsid w:val="00766F5E"/>
    <w:rsid w:val="00767C65"/>
    <w:rsid w:val="00767F1A"/>
    <w:rsid w:val="00770576"/>
    <w:rsid w:val="007730BD"/>
    <w:rsid w:val="00773882"/>
    <w:rsid w:val="00775525"/>
    <w:rsid w:val="007769E7"/>
    <w:rsid w:val="007771D4"/>
    <w:rsid w:val="007773C4"/>
    <w:rsid w:val="00777491"/>
    <w:rsid w:val="007777E4"/>
    <w:rsid w:val="00777835"/>
    <w:rsid w:val="00777837"/>
    <w:rsid w:val="00780E88"/>
    <w:rsid w:val="0078123C"/>
    <w:rsid w:val="0078171B"/>
    <w:rsid w:val="00781EC6"/>
    <w:rsid w:val="007834BB"/>
    <w:rsid w:val="00783928"/>
    <w:rsid w:val="00783EB3"/>
    <w:rsid w:val="007858D2"/>
    <w:rsid w:val="007864A1"/>
    <w:rsid w:val="0078751B"/>
    <w:rsid w:val="00787BA6"/>
    <w:rsid w:val="00787F1F"/>
    <w:rsid w:val="00787FA9"/>
    <w:rsid w:val="007900BE"/>
    <w:rsid w:val="007917AA"/>
    <w:rsid w:val="00791938"/>
    <w:rsid w:val="00792973"/>
    <w:rsid w:val="00792A8D"/>
    <w:rsid w:val="00792D3B"/>
    <w:rsid w:val="00793399"/>
    <w:rsid w:val="007934B1"/>
    <w:rsid w:val="00793584"/>
    <w:rsid w:val="0079463A"/>
    <w:rsid w:val="00795976"/>
    <w:rsid w:val="00795DA3"/>
    <w:rsid w:val="00795E40"/>
    <w:rsid w:val="00797438"/>
    <w:rsid w:val="0079788F"/>
    <w:rsid w:val="007A062B"/>
    <w:rsid w:val="007A0850"/>
    <w:rsid w:val="007A1E10"/>
    <w:rsid w:val="007A262F"/>
    <w:rsid w:val="007A2663"/>
    <w:rsid w:val="007A2879"/>
    <w:rsid w:val="007A35E3"/>
    <w:rsid w:val="007A43FA"/>
    <w:rsid w:val="007A48F3"/>
    <w:rsid w:val="007A4C10"/>
    <w:rsid w:val="007A4FC1"/>
    <w:rsid w:val="007A5620"/>
    <w:rsid w:val="007A568C"/>
    <w:rsid w:val="007A5A9E"/>
    <w:rsid w:val="007A6B11"/>
    <w:rsid w:val="007A70EA"/>
    <w:rsid w:val="007A71EF"/>
    <w:rsid w:val="007A75C0"/>
    <w:rsid w:val="007A7A3D"/>
    <w:rsid w:val="007A7FC2"/>
    <w:rsid w:val="007B118A"/>
    <w:rsid w:val="007B2B35"/>
    <w:rsid w:val="007B2C73"/>
    <w:rsid w:val="007B2DF3"/>
    <w:rsid w:val="007B2FBB"/>
    <w:rsid w:val="007B4675"/>
    <w:rsid w:val="007B4E8B"/>
    <w:rsid w:val="007B6417"/>
    <w:rsid w:val="007B6703"/>
    <w:rsid w:val="007B681D"/>
    <w:rsid w:val="007B6E06"/>
    <w:rsid w:val="007B6E34"/>
    <w:rsid w:val="007B7327"/>
    <w:rsid w:val="007C01DF"/>
    <w:rsid w:val="007C0303"/>
    <w:rsid w:val="007C090B"/>
    <w:rsid w:val="007C0944"/>
    <w:rsid w:val="007C32FE"/>
    <w:rsid w:val="007C3FE3"/>
    <w:rsid w:val="007C400A"/>
    <w:rsid w:val="007C4402"/>
    <w:rsid w:val="007C5461"/>
    <w:rsid w:val="007C5FF3"/>
    <w:rsid w:val="007C6310"/>
    <w:rsid w:val="007D0877"/>
    <w:rsid w:val="007D0AE7"/>
    <w:rsid w:val="007D149A"/>
    <w:rsid w:val="007D19FE"/>
    <w:rsid w:val="007D2ACE"/>
    <w:rsid w:val="007D3A54"/>
    <w:rsid w:val="007D4928"/>
    <w:rsid w:val="007D4C23"/>
    <w:rsid w:val="007D5194"/>
    <w:rsid w:val="007D6365"/>
    <w:rsid w:val="007D7383"/>
    <w:rsid w:val="007E080A"/>
    <w:rsid w:val="007E0887"/>
    <w:rsid w:val="007E1781"/>
    <w:rsid w:val="007E2A45"/>
    <w:rsid w:val="007E3CCC"/>
    <w:rsid w:val="007E4015"/>
    <w:rsid w:val="007E4192"/>
    <w:rsid w:val="007E48A6"/>
    <w:rsid w:val="007E5431"/>
    <w:rsid w:val="007E55AF"/>
    <w:rsid w:val="007E5649"/>
    <w:rsid w:val="007E659B"/>
    <w:rsid w:val="007E7DCB"/>
    <w:rsid w:val="007F0157"/>
    <w:rsid w:val="007F076D"/>
    <w:rsid w:val="007F1484"/>
    <w:rsid w:val="007F1E3B"/>
    <w:rsid w:val="007F1F25"/>
    <w:rsid w:val="007F2D34"/>
    <w:rsid w:val="007F3CA1"/>
    <w:rsid w:val="007F4014"/>
    <w:rsid w:val="007F4640"/>
    <w:rsid w:val="007F5261"/>
    <w:rsid w:val="007F606D"/>
    <w:rsid w:val="007F6145"/>
    <w:rsid w:val="007F6376"/>
    <w:rsid w:val="007F65F7"/>
    <w:rsid w:val="007F70C8"/>
    <w:rsid w:val="008011E2"/>
    <w:rsid w:val="008017F9"/>
    <w:rsid w:val="0080207C"/>
    <w:rsid w:val="00805C71"/>
    <w:rsid w:val="00806354"/>
    <w:rsid w:val="008067FD"/>
    <w:rsid w:val="00806AEB"/>
    <w:rsid w:val="00806D02"/>
    <w:rsid w:val="008102A6"/>
    <w:rsid w:val="0081099F"/>
    <w:rsid w:val="00810B65"/>
    <w:rsid w:val="00810C10"/>
    <w:rsid w:val="00811DCF"/>
    <w:rsid w:val="00811F53"/>
    <w:rsid w:val="00812C1C"/>
    <w:rsid w:val="00812FB3"/>
    <w:rsid w:val="00814981"/>
    <w:rsid w:val="00815538"/>
    <w:rsid w:val="00815766"/>
    <w:rsid w:val="00816058"/>
    <w:rsid w:val="008167C2"/>
    <w:rsid w:val="008179EF"/>
    <w:rsid w:val="00820340"/>
    <w:rsid w:val="00820CA4"/>
    <w:rsid w:val="008215F7"/>
    <w:rsid w:val="00821691"/>
    <w:rsid w:val="00822CA9"/>
    <w:rsid w:val="008237CB"/>
    <w:rsid w:val="00824EC3"/>
    <w:rsid w:val="00826317"/>
    <w:rsid w:val="00826C94"/>
    <w:rsid w:val="00830792"/>
    <w:rsid w:val="00830797"/>
    <w:rsid w:val="00830BF3"/>
    <w:rsid w:val="0083247F"/>
    <w:rsid w:val="00832970"/>
    <w:rsid w:val="00832B69"/>
    <w:rsid w:val="0083527B"/>
    <w:rsid w:val="00835D21"/>
    <w:rsid w:val="00836873"/>
    <w:rsid w:val="00837BFE"/>
    <w:rsid w:val="008407F0"/>
    <w:rsid w:val="008409EC"/>
    <w:rsid w:val="008429BC"/>
    <w:rsid w:val="00842E04"/>
    <w:rsid w:val="00843232"/>
    <w:rsid w:val="00843637"/>
    <w:rsid w:val="00843758"/>
    <w:rsid w:val="0084380E"/>
    <w:rsid w:val="00844129"/>
    <w:rsid w:val="008443CE"/>
    <w:rsid w:val="008449D0"/>
    <w:rsid w:val="00845435"/>
    <w:rsid w:val="00845629"/>
    <w:rsid w:val="0084704B"/>
    <w:rsid w:val="008471A9"/>
    <w:rsid w:val="008477C3"/>
    <w:rsid w:val="00850E5C"/>
    <w:rsid w:val="00850F66"/>
    <w:rsid w:val="00853D36"/>
    <w:rsid w:val="00854BCF"/>
    <w:rsid w:val="00856050"/>
    <w:rsid w:val="008560B6"/>
    <w:rsid w:val="008562B9"/>
    <w:rsid w:val="0085634D"/>
    <w:rsid w:val="00856432"/>
    <w:rsid w:val="008612F4"/>
    <w:rsid w:val="00861D17"/>
    <w:rsid w:val="00861E84"/>
    <w:rsid w:val="008627FA"/>
    <w:rsid w:val="00863840"/>
    <w:rsid w:val="00864522"/>
    <w:rsid w:val="0086523E"/>
    <w:rsid w:val="00865C26"/>
    <w:rsid w:val="00865F9E"/>
    <w:rsid w:val="00866FF5"/>
    <w:rsid w:val="00867496"/>
    <w:rsid w:val="008674C2"/>
    <w:rsid w:val="00867831"/>
    <w:rsid w:val="00867B35"/>
    <w:rsid w:val="00867D05"/>
    <w:rsid w:val="00870785"/>
    <w:rsid w:val="00870EA7"/>
    <w:rsid w:val="0087119F"/>
    <w:rsid w:val="00871617"/>
    <w:rsid w:val="00871E85"/>
    <w:rsid w:val="008731C0"/>
    <w:rsid w:val="008733B9"/>
    <w:rsid w:val="00873491"/>
    <w:rsid w:val="00873940"/>
    <w:rsid w:val="008739B5"/>
    <w:rsid w:val="00873AB3"/>
    <w:rsid w:val="00873C88"/>
    <w:rsid w:val="00874A14"/>
    <w:rsid w:val="008803B2"/>
    <w:rsid w:val="0088167C"/>
    <w:rsid w:val="008848A2"/>
    <w:rsid w:val="00885018"/>
    <w:rsid w:val="008852C9"/>
    <w:rsid w:val="00886EBA"/>
    <w:rsid w:val="008871E0"/>
    <w:rsid w:val="0088799C"/>
    <w:rsid w:val="00887D45"/>
    <w:rsid w:val="008903C4"/>
    <w:rsid w:val="008908F5"/>
    <w:rsid w:val="008910CA"/>
    <w:rsid w:val="008937B4"/>
    <w:rsid w:val="0089391E"/>
    <w:rsid w:val="0089425A"/>
    <w:rsid w:val="008948C8"/>
    <w:rsid w:val="008958D9"/>
    <w:rsid w:val="008963DE"/>
    <w:rsid w:val="008965B0"/>
    <w:rsid w:val="00897D0D"/>
    <w:rsid w:val="00897D3B"/>
    <w:rsid w:val="008A055C"/>
    <w:rsid w:val="008A13D6"/>
    <w:rsid w:val="008A1409"/>
    <w:rsid w:val="008A15AE"/>
    <w:rsid w:val="008A214A"/>
    <w:rsid w:val="008A3181"/>
    <w:rsid w:val="008A3A15"/>
    <w:rsid w:val="008A4397"/>
    <w:rsid w:val="008A54EC"/>
    <w:rsid w:val="008A622C"/>
    <w:rsid w:val="008A7322"/>
    <w:rsid w:val="008A7739"/>
    <w:rsid w:val="008A786C"/>
    <w:rsid w:val="008A7A23"/>
    <w:rsid w:val="008A7D9E"/>
    <w:rsid w:val="008B0DD7"/>
    <w:rsid w:val="008B0DD8"/>
    <w:rsid w:val="008B10B8"/>
    <w:rsid w:val="008B1A74"/>
    <w:rsid w:val="008B1C17"/>
    <w:rsid w:val="008B4F80"/>
    <w:rsid w:val="008B571E"/>
    <w:rsid w:val="008B57F0"/>
    <w:rsid w:val="008B6C4C"/>
    <w:rsid w:val="008B6D65"/>
    <w:rsid w:val="008B6FC3"/>
    <w:rsid w:val="008B7018"/>
    <w:rsid w:val="008B7F27"/>
    <w:rsid w:val="008C03C6"/>
    <w:rsid w:val="008C2EF9"/>
    <w:rsid w:val="008C33D6"/>
    <w:rsid w:val="008C4336"/>
    <w:rsid w:val="008C5862"/>
    <w:rsid w:val="008C5A98"/>
    <w:rsid w:val="008C604C"/>
    <w:rsid w:val="008C6F55"/>
    <w:rsid w:val="008C780E"/>
    <w:rsid w:val="008D0095"/>
    <w:rsid w:val="008D0611"/>
    <w:rsid w:val="008D15D5"/>
    <w:rsid w:val="008D1A09"/>
    <w:rsid w:val="008D1C7C"/>
    <w:rsid w:val="008D2299"/>
    <w:rsid w:val="008D348A"/>
    <w:rsid w:val="008D425A"/>
    <w:rsid w:val="008D438D"/>
    <w:rsid w:val="008D4536"/>
    <w:rsid w:val="008D6489"/>
    <w:rsid w:val="008D656F"/>
    <w:rsid w:val="008E1748"/>
    <w:rsid w:val="008E2FE6"/>
    <w:rsid w:val="008E369D"/>
    <w:rsid w:val="008E3B0C"/>
    <w:rsid w:val="008E4095"/>
    <w:rsid w:val="008E44EF"/>
    <w:rsid w:val="008E4B47"/>
    <w:rsid w:val="008E4C84"/>
    <w:rsid w:val="008E4F73"/>
    <w:rsid w:val="008E674E"/>
    <w:rsid w:val="008E719F"/>
    <w:rsid w:val="008F30A2"/>
    <w:rsid w:val="008F37DB"/>
    <w:rsid w:val="008F3B8D"/>
    <w:rsid w:val="008F51A2"/>
    <w:rsid w:val="008F556E"/>
    <w:rsid w:val="008F5812"/>
    <w:rsid w:val="008F7633"/>
    <w:rsid w:val="008F7B0A"/>
    <w:rsid w:val="008F7B57"/>
    <w:rsid w:val="0090024C"/>
    <w:rsid w:val="009007A3"/>
    <w:rsid w:val="009015EF"/>
    <w:rsid w:val="00903800"/>
    <w:rsid w:val="00903E07"/>
    <w:rsid w:val="009043FA"/>
    <w:rsid w:val="00905285"/>
    <w:rsid w:val="009054DA"/>
    <w:rsid w:val="009055BB"/>
    <w:rsid w:val="009073D8"/>
    <w:rsid w:val="0090743A"/>
    <w:rsid w:val="00910FFA"/>
    <w:rsid w:val="00911A0B"/>
    <w:rsid w:val="00912DEF"/>
    <w:rsid w:val="00912E69"/>
    <w:rsid w:val="0091314E"/>
    <w:rsid w:val="00914C96"/>
    <w:rsid w:val="0091707F"/>
    <w:rsid w:val="00917957"/>
    <w:rsid w:val="009209C9"/>
    <w:rsid w:val="009212A0"/>
    <w:rsid w:val="0092139E"/>
    <w:rsid w:val="009216AE"/>
    <w:rsid w:val="00921B8E"/>
    <w:rsid w:val="00922C95"/>
    <w:rsid w:val="00922E38"/>
    <w:rsid w:val="00923B3F"/>
    <w:rsid w:val="00923C61"/>
    <w:rsid w:val="009248DB"/>
    <w:rsid w:val="009253AA"/>
    <w:rsid w:val="00926389"/>
    <w:rsid w:val="00927A94"/>
    <w:rsid w:val="00930DA0"/>
    <w:rsid w:val="009313FE"/>
    <w:rsid w:val="00932B29"/>
    <w:rsid w:val="00932CFA"/>
    <w:rsid w:val="009333A6"/>
    <w:rsid w:val="009352CD"/>
    <w:rsid w:val="00935BB7"/>
    <w:rsid w:val="0093615E"/>
    <w:rsid w:val="00936BA9"/>
    <w:rsid w:val="009373B2"/>
    <w:rsid w:val="009404BC"/>
    <w:rsid w:val="00940DA6"/>
    <w:rsid w:val="00942D61"/>
    <w:rsid w:val="009438ED"/>
    <w:rsid w:val="00944253"/>
    <w:rsid w:val="00944309"/>
    <w:rsid w:val="00944FA7"/>
    <w:rsid w:val="0094631F"/>
    <w:rsid w:val="00946EB1"/>
    <w:rsid w:val="00950EC5"/>
    <w:rsid w:val="009514D8"/>
    <w:rsid w:val="00951C8B"/>
    <w:rsid w:val="0095301E"/>
    <w:rsid w:val="00955336"/>
    <w:rsid w:val="009564AA"/>
    <w:rsid w:val="00956615"/>
    <w:rsid w:val="009574B9"/>
    <w:rsid w:val="00957A1D"/>
    <w:rsid w:val="00957A5B"/>
    <w:rsid w:val="009605F7"/>
    <w:rsid w:val="009606C7"/>
    <w:rsid w:val="00960AD3"/>
    <w:rsid w:val="00960CE8"/>
    <w:rsid w:val="00960D0C"/>
    <w:rsid w:val="0096128B"/>
    <w:rsid w:val="00962409"/>
    <w:rsid w:val="00964673"/>
    <w:rsid w:val="00964BB3"/>
    <w:rsid w:val="00964BE9"/>
    <w:rsid w:val="009655BB"/>
    <w:rsid w:val="00965E9D"/>
    <w:rsid w:val="00966777"/>
    <w:rsid w:val="009676B0"/>
    <w:rsid w:val="009679C9"/>
    <w:rsid w:val="009722BD"/>
    <w:rsid w:val="00973439"/>
    <w:rsid w:val="009737BA"/>
    <w:rsid w:val="009753F2"/>
    <w:rsid w:val="00975C24"/>
    <w:rsid w:val="00982605"/>
    <w:rsid w:val="00982CF0"/>
    <w:rsid w:val="0098383C"/>
    <w:rsid w:val="0098414E"/>
    <w:rsid w:val="00984A96"/>
    <w:rsid w:val="0098537E"/>
    <w:rsid w:val="009855A3"/>
    <w:rsid w:val="00985E24"/>
    <w:rsid w:val="009866AB"/>
    <w:rsid w:val="00987649"/>
    <w:rsid w:val="00987D0D"/>
    <w:rsid w:val="00991244"/>
    <w:rsid w:val="00992FB6"/>
    <w:rsid w:val="009930C8"/>
    <w:rsid w:val="00993AF7"/>
    <w:rsid w:val="00994641"/>
    <w:rsid w:val="00994A53"/>
    <w:rsid w:val="0099569A"/>
    <w:rsid w:val="00996018"/>
    <w:rsid w:val="00996583"/>
    <w:rsid w:val="00997601"/>
    <w:rsid w:val="009977B6"/>
    <w:rsid w:val="009977DE"/>
    <w:rsid w:val="009A1579"/>
    <w:rsid w:val="009A1E8D"/>
    <w:rsid w:val="009A2C02"/>
    <w:rsid w:val="009A3683"/>
    <w:rsid w:val="009A369D"/>
    <w:rsid w:val="009A3E60"/>
    <w:rsid w:val="009A4782"/>
    <w:rsid w:val="009A496B"/>
    <w:rsid w:val="009A4C4B"/>
    <w:rsid w:val="009A6B00"/>
    <w:rsid w:val="009A730A"/>
    <w:rsid w:val="009A76D7"/>
    <w:rsid w:val="009A7C5B"/>
    <w:rsid w:val="009A7FBE"/>
    <w:rsid w:val="009B052D"/>
    <w:rsid w:val="009B06E6"/>
    <w:rsid w:val="009B0C51"/>
    <w:rsid w:val="009B266F"/>
    <w:rsid w:val="009B2AEF"/>
    <w:rsid w:val="009B376B"/>
    <w:rsid w:val="009B4508"/>
    <w:rsid w:val="009B46C3"/>
    <w:rsid w:val="009B562E"/>
    <w:rsid w:val="009B70BE"/>
    <w:rsid w:val="009B7290"/>
    <w:rsid w:val="009B7830"/>
    <w:rsid w:val="009B7BDB"/>
    <w:rsid w:val="009C006A"/>
    <w:rsid w:val="009C02EA"/>
    <w:rsid w:val="009C0CED"/>
    <w:rsid w:val="009C0E95"/>
    <w:rsid w:val="009C317C"/>
    <w:rsid w:val="009C319D"/>
    <w:rsid w:val="009C344B"/>
    <w:rsid w:val="009C35DA"/>
    <w:rsid w:val="009C363E"/>
    <w:rsid w:val="009C3A2C"/>
    <w:rsid w:val="009C40FF"/>
    <w:rsid w:val="009C42BA"/>
    <w:rsid w:val="009C4FFE"/>
    <w:rsid w:val="009C6968"/>
    <w:rsid w:val="009C785B"/>
    <w:rsid w:val="009C7C5E"/>
    <w:rsid w:val="009D029A"/>
    <w:rsid w:val="009D1D45"/>
    <w:rsid w:val="009D2ED9"/>
    <w:rsid w:val="009D3D0C"/>
    <w:rsid w:val="009D3F5D"/>
    <w:rsid w:val="009D4B7E"/>
    <w:rsid w:val="009D4CF0"/>
    <w:rsid w:val="009D4EC2"/>
    <w:rsid w:val="009D554D"/>
    <w:rsid w:val="009D5E7D"/>
    <w:rsid w:val="009D7033"/>
    <w:rsid w:val="009D707B"/>
    <w:rsid w:val="009D738B"/>
    <w:rsid w:val="009D7960"/>
    <w:rsid w:val="009E169F"/>
    <w:rsid w:val="009E1D55"/>
    <w:rsid w:val="009E1EAD"/>
    <w:rsid w:val="009E228E"/>
    <w:rsid w:val="009E2F11"/>
    <w:rsid w:val="009E3AF1"/>
    <w:rsid w:val="009E4AA6"/>
    <w:rsid w:val="009E6411"/>
    <w:rsid w:val="009E650F"/>
    <w:rsid w:val="009F00B2"/>
    <w:rsid w:val="009F01C0"/>
    <w:rsid w:val="009F0280"/>
    <w:rsid w:val="009F04EB"/>
    <w:rsid w:val="009F0AB7"/>
    <w:rsid w:val="009F13B6"/>
    <w:rsid w:val="009F2758"/>
    <w:rsid w:val="009F35C7"/>
    <w:rsid w:val="009F4276"/>
    <w:rsid w:val="009F53A6"/>
    <w:rsid w:val="009F5B2D"/>
    <w:rsid w:val="009F5E53"/>
    <w:rsid w:val="009F5F82"/>
    <w:rsid w:val="009F6E02"/>
    <w:rsid w:val="00A0108D"/>
    <w:rsid w:val="00A01B46"/>
    <w:rsid w:val="00A02854"/>
    <w:rsid w:val="00A0366E"/>
    <w:rsid w:val="00A03CD2"/>
    <w:rsid w:val="00A04472"/>
    <w:rsid w:val="00A04A0B"/>
    <w:rsid w:val="00A05915"/>
    <w:rsid w:val="00A06DB6"/>
    <w:rsid w:val="00A06EC0"/>
    <w:rsid w:val="00A06F83"/>
    <w:rsid w:val="00A07059"/>
    <w:rsid w:val="00A07458"/>
    <w:rsid w:val="00A1251E"/>
    <w:rsid w:val="00A12A23"/>
    <w:rsid w:val="00A134D9"/>
    <w:rsid w:val="00A137B9"/>
    <w:rsid w:val="00A139A1"/>
    <w:rsid w:val="00A13E26"/>
    <w:rsid w:val="00A13F4F"/>
    <w:rsid w:val="00A14856"/>
    <w:rsid w:val="00A15AAC"/>
    <w:rsid w:val="00A161C6"/>
    <w:rsid w:val="00A16721"/>
    <w:rsid w:val="00A16C8B"/>
    <w:rsid w:val="00A16DF1"/>
    <w:rsid w:val="00A17956"/>
    <w:rsid w:val="00A17A20"/>
    <w:rsid w:val="00A17BD4"/>
    <w:rsid w:val="00A17ED2"/>
    <w:rsid w:val="00A23421"/>
    <w:rsid w:val="00A24087"/>
    <w:rsid w:val="00A272F2"/>
    <w:rsid w:val="00A27BAC"/>
    <w:rsid w:val="00A31F51"/>
    <w:rsid w:val="00A31FB8"/>
    <w:rsid w:val="00A32030"/>
    <w:rsid w:val="00A32C43"/>
    <w:rsid w:val="00A342E3"/>
    <w:rsid w:val="00A358DE"/>
    <w:rsid w:val="00A35BF0"/>
    <w:rsid w:val="00A35E84"/>
    <w:rsid w:val="00A3602D"/>
    <w:rsid w:val="00A3625D"/>
    <w:rsid w:val="00A36D3D"/>
    <w:rsid w:val="00A3764E"/>
    <w:rsid w:val="00A379EB"/>
    <w:rsid w:val="00A402A3"/>
    <w:rsid w:val="00A40E8E"/>
    <w:rsid w:val="00A42A7A"/>
    <w:rsid w:val="00A42DD9"/>
    <w:rsid w:val="00A4340B"/>
    <w:rsid w:val="00A438D8"/>
    <w:rsid w:val="00A45F88"/>
    <w:rsid w:val="00A475F3"/>
    <w:rsid w:val="00A47973"/>
    <w:rsid w:val="00A47D81"/>
    <w:rsid w:val="00A521C6"/>
    <w:rsid w:val="00A52A32"/>
    <w:rsid w:val="00A52F81"/>
    <w:rsid w:val="00A53E30"/>
    <w:rsid w:val="00A54138"/>
    <w:rsid w:val="00A5525F"/>
    <w:rsid w:val="00A560AC"/>
    <w:rsid w:val="00A565DF"/>
    <w:rsid w:val="00A57035"/>
    <w:rsid w:val="00A57D3C"/>
    <w:rsid w:val="00A60951"/>
    <w:rsid w:val="00A61391"/>
    <w:rsid w:val="00A62456"/>
    <w:rsid w:val="00A626BD"/>
    <w:rsid w:val="00A634F5"/>
    <w:rsid w:val="00A639D5"/>
    <w:rsid w:val="00A64DE9"/>
    <w:rsid w:val="00A67B1F"/>
    <w:rsid w:val="00A700CB"/>
    <w:rsid w:val="00A70527"/>
    <w:rsid w:val="00A70FDE"/>
    <w:rsid w:val="00A7136F"/>
    <w:rsid w:val="00A714C9"/>
    <w:rsid w:val="00A7152E"/>
    <w:rsid w:val="00A71A12"/>
    <w:rsid w:val="00A725F0"/>
    <w:rsid w:val="00A7291E"/>
    <w:rsid w:val="00A744A6"/>
    <w:rsid w:val="00A75AB2"/>
    <w:rsid w:val="00A76965"/>
    <w:rsid w:val="00A76F02"/>
    <w:rsid w:val="00A770EF"/>
    <w:rsid w:val="00A77FD6"/>
    <w:rsid w:val="00A8071F"/>
    <w:rsid w:val="00A80EB3"/>
    <w:rsid w:val="00A82438"/>
    <w:rsid w:val="00A82C88"/>
    <w:rsid w:val="00A85179"/>
    <w:rsid w:val="00A8563A"/>
    <w:rsid w:val="00A8619B"/>
    <w:rsid w:val="00A874F5"/>
    <w:rsid w:val="00A87D67"/>
    <w:rsid w:val="00A87EC3"/>
    <w:rsid w:val="00A90214"/>
    <w:rsid w:val="00A90423"/>
    <w:rsid w:val="00A91609"/>
    <w:rsid w:val="00A916D0"/>
    <w:rsid w:val="00A917F9"/>
    <w:rsid w:val="00A92D5C"/>
    <w:rsid w:val="00A9397C"/>
    <w:rsid w:val="00A94274"/>
    <w:rsid w:val="00A94860"/>
    <w:rsid w:val="00A951B9"/>
    <w:rsid w:val="00A955C1"/>
    <w:rsid w:val="00A95889"/>
    <w:rsid w:val="00A96B32"/>
    <w:rsid w:val="00A9707F"/>
    <w:rsid w:val="00AA1106"/>
    <w:rsid w:val="00AA1A6D"/>
    <w:rsid w:val="00AA2614"/>
    <w:rsid w:val="00AA35A3"/>
    <w:rsid w:val="00AA4BDC"/>
    <w:rsid w:val="00AA5209"/>
    <w:rsid w:val="00AA7016"/>
    <w:rsid w:val="00AA7118"/>
    <w:rsid w:val="00AB04C3"/>
    <w:rsid w:val="00AB1030"/>
    <w:rsid w:val="00AB2895"/>
    <w:rsid w:val="00AB3C39"/>
    <w:rsid w:val="00AB5A14"/>
    <w:rsid w:val="00AB5C4E"/>
    <w:rsid w:val="00AB5E5A"/>
    <w:rsid w:val="00AB653D"/>
    <w:rsid w:val="00AB6A3B"/>
    <w:rsid w:val="00AC1731"/>
    <w:rsid w:val="00AC1ADA"/>
    <w:rsid w:val="00AC1B32"/>
    <w:rsid w:val="00AC25D9"/>
    <w:rsid w:val="00AC39AD"/>
    <w:rsid w:val="00AC3DD9"/>
    <w:rsid w:val="00AC4FD8"/>
    <w:rsid w:val="00AC5FA3"/>
    <w:rsid w:val="00AC74C1"/>
    <w:rsid w:val="00AC799B"/>
    <w:rsid w:val="00AD0B27"/>
    <w:rsid w:val="00AD0DD0"/>
    <w:rsid w:val="00AD1559"/>
    <w:rsid w:val="00AD195B"/>
    <w:rsid w:val="00AD1C3E"/>
    <w:rsid w:val="00AD3752"/>
    <w:rsid w:val="00AD39E8"/>
    <w:rsid w:val="00AD3DDA"/>
    <w:rsid w:val="00AD679D"/>
    <w:rsid w:val="00AD6D42"/>
    <w:rsid w:val="00AE055C"/>
    <w:rsid w:val="00AE056E"/>
    <w:rsid w:val="00AE0CB3"/>
    <w:rsid w:val="00AE1B14"/>
    <w:rsid w:val="00AE25C0"/>
    <w:rsid w:val="00AE302A"/>
    <w:rsid w:val="00AE3737"/>
    <w:rsid w:val="00AE3763"/>
    <w:rsid w:val="00AE4F9D"/>
    <w:rsid w:val="00AE6A95"/>
    <w:rsid w:val="00AE6E9F"/>
    <w:rsid w:val="00AE722E"/>
    <w:rsid w:val="00AE7553"/>
    <w:rsid w:val="00AE7ED6"/>
    <w:rsid w:val="00AF0F8F"/>
    <w:rsid w:val="00AF1159"/>
    <w:rsid w:val="00AF2605"/>
    <w:rsid w:val="00AF2B03"/>
    <w:rsid w:val="00AF3D48"/>
    <w:rsid w:val="00AF435D"/>
    <w:rsid w:val="00AF460A"/>
    <w:rsid w:val="00AF49CF"/>
    <w:rsid w:val="00AF540A"/>
    <w:rsid w:val="00AF5E0D"/>
    <w:rsid w:val="00AF68EA"/>
    <w:rsid w:val="00AF6D40"/>
    <w:rsid w:val="00AF6E50"/>
    <w:rsid w:val="00AF7DD2"/>
    <w:rsid w:val="00AF7E59"/>
    <w:rsid w:val="00B0019D"/>
    <w:rsid w:val="00B0096C"/>
    <w:rsid w:val="00B0204A"/>
    <w:rsid w:val="00B024AA"/>
    <w:rsid w:val="00B03BFE"/>
    <w:rsid w:val="00B03EDE"/>
    <w:rsid w:val="00B044F0"/>
    <w:rsid w:val="00B04591"/>
    <w:rsid w:val="00B07D01"/>
    <w:rsid w:val="00B1168C"/>
    <w:rsid w:val="00B1179F"/>
    <w:rsid w:val="00B11AA0"/>
    <w:rsid w:val="00B11C07"/>
    <w:rsid w:val="00B129E5"/>
    <w:rsid w:val="00B1373F"/>
    <w:rsid w:val="00B13B0F"/>
    <w:rsid w:val="00B13EAD"/>
    <w:rsid w:val="00B13FDC"/>
    <w:rsid w:val="00B1482E"/>
    <w:rsid w:val="00B164A4"/>
    <w:rsid w:val="00B17585"/>
    <w:rsid w:val="00B17B7A"/>
    <w:rsid w:val="00B17E1B"/>
    <w:rsid w:val="00B21017"/>
    <w:rsid w:val="00B22923"/>
    <w:rsid w:val="00B22975"/>
    <w:rsid w:val="00B24AC6"/>
    <w:rsid w:val="00B263B4"/>
    <w:rsid w:val="00B26556"/>
    <w:rsid w:val="00B26D02"/>
    <w:rsid w:val="00B30880"/>
    <w:rsid w:val="00B32E13"/>
    <w:rsid w:val="00B33F9F"/>
    <w:rsid w:val="00B34060"/>
    <w:rsid w:val="00B34A0B"/>
    <w:rsid w:val="00B35F0D"/>
    <w:rsid w:val="00B36083"/>
    <w:rsid w:val="00B406F9"/>
    <w:rsid w:val="00B40C24"/>
    <w:rsid w:val="00B41477"/>
    <w:rsid w:val="00B42CF1"/>
    <w:rsid w:val="00B45218"/>
    <w:rsid w:val="00B46425"/>
    <w:rsid w:val="00B477C4"/>
    <w:rsid w:val="00B47E07"/>
    <w:rsid w:val="00B5000B"/>
    <w:rsid w:val="00B50997"/>
    <w:rsid w:val="00B52E17"/>
    <w:rsid w:val="00B53AC1"/>
    <w:rsid w:val="00B53FB7"/>
    <w:rsid w:val="00B545D2"/>
    <w:rsid w:val="00B54B62"/>
    <w:rsid w:val="00B55E0E"/>
    <w:rsid w:val="00B56A4C"/>
    <w:rsid w:val="00B57AF4"/>
    <w:rsid w:val="00B602A3"/>
    <w:rsid w:val="00B60A27"/>
    <w:rsid w:val="00B60AD1"/>
    <w:rsid w:val="00B60D22"/>
    <w:rsid w:val="00B61289"/>
    <w:rsid w:val="00B6131E"/>
    <w:rsid w:val="00B61E16"/>
    <w:rsid w:val="00B61E25"/>
    <w:rsid w:val="00B636D5"/>
    <w:rsid w:val="00B6432B"/>
    <w:rsid w:val="00B644F4"/>
    <w:rsid w:val="00B6460A"/>
    <w:rsid w:val="00B64B9A"/>
    <w:rsid w:val="00B65E89"/>
    <w:rsid w:val="00B661B1"/>
    <w:rsid w:val="00B66494"/>
    <w:rsid w:val="00B66B6D"/>
    <w:rsid w:val="00B66EB2"/>
    <w:rsid w:val="00B672F7"/>
    <w:rsid w:val="00B67F87"/>
    <w:rsid w:val="00B70087"/>
    <w:rsid w:val="00B711F9"/>
    <w:rsid w:val="00B715F3"/>
    <w:rsid w:val="00B71921"/>
    <w:rsid w:val="00B72F2F"/>
    <w:rsid w:val="00B747FF"/>
    <w:rsid w:val="00B74DD2"/>
    <w:rsid w:val="00B76345"/>
    <w:rsid w:val="00B76526"/>
    <w:rsid w:val="00B76899"/>
    <w:rsid w:val="00B76D6C"/>
    <w:rsid w:val="00B77BE2"/>
    <w:rsid w:val="00B80047"/>
    <w:rsid w:val="00B802A8"/>
    <w:rsid w:val="00B81B87"/>
    <w:rsid w:val="00B82028"/>
    <w:rsid w:val="00B831CC"/>
    <w:rsid w:val="00B8447F"/>
    <w:rsid w:val="00B844A5"/>
    <w:rsid w:val="00B846A6"/>
    <w:rsid w:val="00B84869"/>
    <w:rsid w:val="00B85915"/>
    <w:rsid w:val="00B85B31"/>
    <w:rsid w:val="00B8610D"/>
    <w:rsid w:val="00B86198"/>
    <w:rsid w:val="00B8667D"/>
    <w:rsid w:val="00B870FC"/>
    <w:rsid w:val="00B90466"/>
    <w:rsid w:val="00B91A76"/>
    <w:rsid w:val="00B91F28"/>
    <w:rsid w:val="00B92EB8"/>
    <w:rsid w:val="00B9436D"/>
    <w:rsid w:val="00B94482"/>
    <w:rsid w:val="00B94B77"/>
    <w:rsid w:val="00B953C8"/>
    <w:rsid w:val="00BA088E"/>
    <w:rsid w:val="00BA1A7C"/>
    <w:rsid w:val="00BA1AE1"/>
    <w:rsid w:val="00BA1EF2"/>
    <w:rsid w:val="00BA224A"/>
    <w:rsid w:val="00BA5550"/>
    <w:rsid w:val="00BA579B"/>
    <w:rsid w:val="00BA5D11"/>
    <w:rsid w:val="00BB0E07"/>
    <w:rsid w:val="00BB0E0A"/>
    <w:rsid w:val="00BB16BB"/>
    <w:rsid w:val="00BB19D4"/>
    <w:rsid w:val="00BB1A7C"/>
    <w:rsid w:val="00BB1ED0"/>
    <w:rsid w:val="00BB2239"/>
    <w:rsid w:val="00BB2621"/>
    <w:rsid w:val="00BB2AEB"/>
    <w:rsid w:val="00BB2B78"/>
    <w:rsid w:val="00BB3166"/>
    <w:rsid w:val="00BB319C"/>
    <w:rsid w:val="00BB3F12"/>
    <w:rsid w:val="00BB4BA6"/>
    <w:rsid w:val="00BB594E"/>
    <w:rsid w:val="00BB61DA"/>
    <w:rsid w:val="00BB7058"/>
    <w:rsid w:val="00BB71DD"/>
    <w:rsid w:val="00BC164F"/>
    <w:rsid w:val="00BC242F"/>
    <w:rsid w:val="00BC25BF"/>
    <w:rsid w:val="00BC2904"/>
    <w:rsid w:val="00BC3488"/>
    <w:rsid w:val="00BC3576"/>
    <w:rsid w:val="00BC4101"/>
    <w:rsid w:val="00BC4E74"/>
    <w:rsid w:val="00BC5388"/>
    <w:rsid w:val="00BC574F"/>
    <w:rsid w:val="00BC58FB"/>
    <w:rsid w:val="00BC598F"/>
    <w:rsid w:val="00BC6213"/>
    <w:rsid w:val="00BC7EA6"/>
    <w:rsid w:val="00BD0734"/>
    <w:rsid w:val="00BD0A15"/>
    <w:rsid w:val="00BD0AF0"/>
    <w:rsid w:val="00BD1599"/>
    <w:rsid w:val="00BD2312"/>
    <w:rsid w:val="00BD2345"/>
    <w:rsid w:val="00BD236B"/>
    <w:rsid w:val="00BD2DA8"/>
    <w:rsid w:val="00BD3434"/>
    <w:rsid w:val="00BD34BB"/>
    <w:rsid w:val="00BD35CD"/>
    <w:rsid w:val="00BD54E3"/>
    <w:rsid w:val="00BD5F10"/>
    <w:rsid w:val="00BD74B4"/>
    <w:rsid w:val="00BE0150"/>
    <w:rsid w:val="00BE16C8"/>
    <w:rsid w:val="00BE1B6A"/>
    <w:rsid w:val="00BE1CB6"/>
    <w:rsid w:val="00BE203C"/>
    <w:rsid w:val="00BE23AA"/>
    <w:rsid w:val="00BE2717"/>
    <w:rsid w:val="00BE374D"/>
    <w:rsid w:val="00BE3C1E"/>
    <w:rsid w:val="00BE41B8"/>
    <w:rsid w:val="00BE45E3"/>
    <w:rsid w:val="00BE4DA7"/>
    <w:rsid w:val="00BE60B6"/>
    <w:rsid w:val="00BE6864"/>
    <w:rsid w:val="00BE6C13"/>
    <w:rsid w:val="00BE6CB1"/>
    <w:rsid w:val="00BE6DAA"/>
    <w:rsid w:val="00BE7188"/>
    <w:rsid w:val="00BF0235"/>
    <w:rsid w:val="00BF0EBF"/>
    <w:rsid w:val="00BF16AF"/>
    <w:rsid w:val="00BF16D1"/>
    <w:rsid w:val="00BF45C3"/>
    <w:rsid w:val="00BF4691"/>
    <w:rsid w:val="00BF5B4B"/>
    <w:rsid w:val="00BF6148"/>
    <w:rsid w:val="00BF672C"/>
    <w:rsid w:val="00BF726E"/>
    <w:rsid w:val="00BF7A91"/>
    <w:rsid w:val="00BF7DEC"/>
    <w:rsid w:val="00BF7DF6"/>
    <w:rsid w:val="00C00A93"/>
    <w:rsid w:val="00C01339"/>
    <w:rsid w:val="00C01C66"/>
    <w:rsid w:val="00C01D3D"/>
    <w:rsid w:val="00C0223E"/>
    <w:rsid w:val="00C041E8"/>
    <w:rsid w:val="00C04252"/>
    <w:rsid w:val="00C045ED"/>
    <w:rsid w:val="00C0465A"/>
    <w:rsid w:val="00C053E7"/>
    <w:rsid w:val="00C069C7"/>
    <w:rsid w:val="00C069E6"/>
    <w:rsid w:val="00C1023D"/>
    <w:rsid w:val="00C103D5"/>
    <w:rsid w:val="00C11163"/>
    <w:rsid w:val="00C11E01"/>
    <w:rsid w:val="00C11E65"/>
    <w:rsid w:val="00C128BD"/>
    <w:rsid w:val="00C130B9"/>
    <w:rsid w:val="00C1352F"/>
    <w:rsid w:val="00C13A6D"/>
    <w:rsid w:val="00C13F47"/>
    <w:rsid w:val="00C14B6B"/>
    <w:rsid w:val="00C15446"/>
    <w:rsid w:val="00C1598C"/>
    <w:rsid w:val="00C1617D"/>
    <w:rsid w:val="00C16BAD"/>
    <w:rsid w:val="00C1774A"/>
    <w:rsid w:val="00C20CA8"/>
    <w:rsid w:val="00C2264B"/>
    <w:rsid w:val="00C24555"/>
    <w:rsid w:val="00C257A3"/>
    <w:rsid w:val="00C26205"/>
    <w:rsid w:val="00C26841"/>
    <w:rsid w:val="00C271BA"/>
    <w:rsid w:val="00C272B4"/>
    <w:rsid w:val="00C316D6"/>
    <w:rsid w:val="00C317E1"/>
    <w:rsid w:val="00C31E50"/>
    <w:rsid w:val="00C323F0"/>
    <w:rsid w:val="00C3262C"/>
    <w:rsid w:val="00C328F3"/>
    <w:rsid w:val="00C33EB8"/>
    <w:rsid w:val="00C340F5"/>
    <w:rsid w:val="00C34710"/>
    <w:rsid w:val="00C34ED3"/>
    <w:rsid w:val="00C35605"/>
    <w:rsid w:val="00C357D2"/>
    <w:rsid w:val="00C36244"/>
    <w:rsid w:val="00C36597"/>
    <w:rsid w:val="00C367AC"/>
    <w:rsid w:val="00C36F55"/>
    <w:rsid w:val="00C403F2"/>
    <w:rsid w:val="00C41EBF"/>
    <w:rsid w:val="00C42571"/>
    <w:rsid w:val="00C42863"/>
    <w:rsid w:val="00C43042"/>
    <w:rsid w:val="00C441ED"/>
    <w:rsid w:val="00C443C6"/>
    <w:rsid w:val="00C46970"/>
    <w:rsid w:val="00C46FEC"/>
    <w:rsid w:val="00C50215"/>
    <w:rsid w:val="00C506E3"/>
    <w:rsid w:val="00C51303"/>
    <w:rsid w:val="00C51688"/>
    <w:rsid w:val="00C51E87"/>
    <w:rsid w:val="00C5210F"/>
    <w:rsid w:val="00C525FD"/>
    <w:rsid w:val="00C52D3E"/>
    <w:rsid w:val="00C54BDA"/>
    <w:rsid w:val="00C54C06"/>
    <w:rsid w:val="00C55A4B"/>
    <w:rsid w:val="00C55E3A"/>
    <w:rsid w:val="00C56056"/>
    <w:rsid w:val="00C56BFC"/>
    <w:rsid w:val="00C56E08"/>
    <w:rsid w:val="00C57AAF"/>
    <w:rsid w:val="00C62295"/>
    <w:rsid w:val="00C62703"/>
    <w:rsid w:val="00C62EB8"/>
    <w:rsid w:val="00C63113"/>
    <w:rsid w:val="00C6347A"/>
    <w:rsid w:val="00C63A1F"/>
    <w:rsid w:val="00C641BC"/>
    <w:rsid w:val="00C6424C"/>
    <w:rsid w:val="00C64A9D"/>
    <w:rsid w:val="00C65201"/>
    <w:rsid w:val="00C652C3"/>
    <w:rsid w:val="00C65599"/>
    <w:rsid w:val="00C66598"/>
    <w:rsid w:val="00C66D2C"/>
    <w:rsid w:val="00C66F53"/>
    <w:rsid w:val="00C6738B"/>
    <w:rsid w:val="00C6774E"/>
    <w:rsid w:val="00C700F1"/>
    <w:rsid w:val="00C7022B"/>
    <w:rsid w:val="00C70980"/>
    <w:rsid w:val="00C70A54"/>
    <w:rsid w:val="00C71D07"/>
    <w:rsid w:val="00C7256F"/>
    <w:rsid w:val="00C730AD"/>
    <w:rsid w:val="00C74DF9"/>
    <w:rsid w:val="00C74F07"/>
    <w:rsid w:val="00C75227"/>
    <w:rsid w:val="00C76716"/>
    <w:rsid w:val="00C77158"/>
    <w:rsid w:val="00C7781E"/>
    <w:rsid w:val="00C77A11"/>
    <w:rsid w:val="00C77DAB"/>
    <w:rsid w:val="00C802BA"/>
    <w:rsid w:val="00C804EB"/>
    <w:rsid w:val="00C80617"/>
    <w:rsid w:val="00C829B7"/>
    <w:rsid w:val="00C834D2"/>
    <w:rsid w:val="00C84350"/>
    <w:rsid w:val="00C84944"/>
    <w:rsid w:val="00C85925"/>
    <w:rsid w:val="00C869B3"/>
    <w:rsid w:val="00C86F1B"/>
    <w:rsid w:val="00C87436"/>
    <w:rsid w:val="00C902E5"/>
    <w:rsid w:val="00C908C3"/>
    <w:rsid w:val="00C912B0"/>
    <w:rsid w:val="00C915CA"/>
    <w:rsid w:val="00C916DE"/>
    <w:rsid w:val="00C91EDB"/>
    <w:rsid w:val="00C92050"/>
    <w:rsid w:val="00C93564"/>
    <w:rsid w:val="00C945FF"/>
    <w:rsid w:val="00C94A57"/>
    <w:rsid w:val="00C9640A"/>
    <w:rsid w:val="00C9727D"/>
    <w:rsid w:val="00C97FAD"/>
    <w:rsid w:val="00CA06DE"/>
    <w:rsid w:val="00CA08C0"/>
    <w:rsid w:val="00CA0A8C"/>
    <w:rsid w:val="00CA0DAD"/>
    <w:rsid w:val="00CA1629"/>
    <w:rsid w:val="00CA23CC"/>
    <w:rsid w:val="00CA28A3"/>
    <w:rsid w:val="00CA47EE"/>
    <w:rsid w:val="00CA561D"/>
    <w:rsid w:val="00CA610C"/>
    <w:rsid w:val="00CA611D"/>
    <w:rsid w:val="00CA6A40"/>
    <w:rsid w:val="00CA6B77"/>
    <w:rsid w:val="00CA6FC6"/>
    <w:rsid w:val="00CB05CE"/>
    <w:rsid w:val="00CB09B7"/>
    <w:rsid w:val="00CB3942"/>
    <w:rsid w:val="00CB40F4"/>
    <w:rsid w:val="00CB450C"/>
    <w:rsid w:val="00CB4D4E"/>
    <w:rsid w:val="00CB622A"/>
    <w:rsid w:val="00CB6262"/>
    <w:rsid w:val="00CB629D"/>
    <w:rsid w:val="00CB6D26"/>
    <w:rsid w:val="00CB77D0"/>
    <w:rsid w:val="00CC1C49"/>
    <w:rsid w:val="00CC1DBC"/>
    <w:rsid w:val="00CC285C"/>
    <w:rsid w:val="00CC39A8"/>
    <w:rsid w:val="00CC47D8"/>
    <w:rsid w:val="00CC4A1D"/>
    <w:rsid w:val="00CC5495"/>
    <w:rsid w:val="00CC6801"/>
    <w:rsid w:val="00CC6A8A"/>
    <w:rsid w:val="00CC732C"/>
    <w:rsid w:val="00CD1190"/>
    <w:rsid w:val="00CD17CD"/>
    <w:rsid w:val="00CD21A9"/>
    <w:rsid w:val="00CD2E12"/>
    <w:rsid w:val="00CD316B"/>
    <w:rsid w:val="00CD396B"/>
    <w:rsid w:val="00CD5DD4"/>
    <w:rsid w:val="00CD6A27"/>
    <w:rsid w:val="00CE0152"/>
    <w:rsid w:val="00CE0306"/>
    <w:rsid w:val="00CE082F"/>
    <w:rsid w:val="00CE14F7"/>
    <w:rsid w:val="00CE1539"/>
    <w:rsid w:val="00CE19F6"/>
    <w:rsid w:val="00CE327D"/>
    <w:rsid w:val="00CE3507"/>
    <w:rsid w:val="00CE51C4"/>
    <w:rsid w:val="00CE5C10"/>
    <w:rsid w:val="00CE62F5"/>
    <w:rsid w:val="00CE7B91"/>
    <w:rsid w:val="00CF020F"/>
    <w:rsid w:val="00CF023A"/>
    <w:rsid w:val="00CF078F"/>
    <w:rsid w:val="00CF15A6"/>
    <w:rsid w:val="00CF1C91"/>
    <w:rsid w:val="00CF23EA"/>
    <w:rsid w:val="00CF25A7"/>
    <w:rsid w:val="00CF2753"/>
    <w:rsid w:val="00CF4321"/>
    <w:rsid w:val="00CF46CC"/>
    <w:rsid w:val="00CF5268"/>
    <w:rsid w:val="00CF5626"/>
    <w:rsid w:val="00CF6353"/>
    <w:rsid w:val="00CF6B49"/>
    <w:rsid w:val="00CF7722"/>
    <w:rsid w:val="00D009D3"/>
    <w:rsid w:val="00D00BA9"/>
    <w:rsid w:val="00D00C53"/>
    <w:rsid w:val="00D01124"/>
    <w:rsid w:val="00D02E3B"/>
    <w:rsid w:val="00D0314E"/>
    <w:rsid w:val="00D03B15"/>
    <w:rsid w:val="00D03EFC"/>
    <w:rsid w:val="00D047D3"/>
    <w:rsid w:val="00D057FF"/>
    <w:rsid w:val="00D06C25"/>
    <w:rsid w:val="00D06E02"/>
    <w:rsid w:val="00D07740"/>
    <w:rsid w:val="00D07F5B"/>
    <w:rsid w:val="00D114F6"/>
    <w:rsid w:val="00D13206"/>
    <w:rsid w:val="00D13238"/>
    <w:rsid w:val="00D14253"/>
    <w:rsid w:val="00D14640"/>
    <w:rsid w:val="00D14FC2"/>
    <w:rsid w:val="00D1519B"/>
    <w:rsid w:val="00D16223"/>
    <w:rsid w:val="00D1782B"/>
    <w:rsid w:val="00D17A7B"/>
    <w:rsid w:val="00D200E7"/>
    <w:rsid w:val="00D21C29"/>
    <w:rsid w:val="00D21C3C"/>
    <w:rsid w:val="00D228B1"/>
    <w:rsid w:val="00D26748"/>
    <w:rsid w:val="00D26917"/>
    <w:rsid w:val="00D2740B"/>
    <w:rsid w:val="00D30546"/>
    <w:rsid w:val="00D3150F"/>
    <w:rsid w:val="00D31830"/>
    <w:rsid w:val="00D318D1"/>
    <w:rsid w:val="00D3217E"/>
    <w:rsid w:val="00D348F7"/>
    <w:rsid w:val="00D35D56"/>
    <w:rsid w:val="00D372B4"/>
    <w:rsid w:val="00D3744F"/>
    <w:rsid w:val="00D37EDA"/>
    <w:rsid w:val="00D4079D"/>
    <w:rsid w:val="00D40A6C"/>
    <w:rsid w:val="00D41877"/>
    <w:rsid w:val="00D44212"/>
    <w:rsid w:val="00D44DA8"/>
    <w:rsid w:val="00D45808"/>
    <w:rsid w:val="00D45B7A"/>
    <w:rsid w:val="00D463DB"/>
    <w:rsid w:val="00D46AB2"/>
    <w:rsid w:val="00D514CC"/>
    <w:rsid w:val="00D532A2"/>
    <w:rsid w:val="00D54539"/>
    <w:rsid w:val="00D54EB8"/>
    <w:rsid w:val="00D54F38"/>
    <w:rsid w:val="00D55E47"/>
    <w:rsid w:val="00D60507"/>
    <w:rsid w:val="00D61726"/>
    <w:rsid w:val="00D61D83"/>
    <w:rsid w:val="00D61E3E"/>
    <w:rsid w:val="00D627BD"/>
    <w:rsid w:val="00D62C03"/>
    <w:rsid w:val="00D63161"/>
    <w:rsid w:val="00D639A8"/>
    <w:rsid w:val="00D64B04"/>
    <w:rsid w:val="00D6575A"/>
    <w:rsid w:val="00D65D5D"/>
    <w:rsid w:val="00D66462"/>
    <w:rsid w:val="00D66515"/>
    <w:rsid w:val="00D67CDB"/>
    <w:rsid w:val="00D67DEE"/>
    <w:rsid w:val="00D67FE1"/>
    <w:rsid w:val="00D702D2"/>
    <w:rsid w:val="00D71861"/>
    <w:rsid w:val="00D71CB8"/>
    <w:rsid w:val="00D7340B"/>
    <w:rsid w:val="00D758F4"/>
    <w:rsid w:val="00D76F67"/>
    <w:rsid w:val="00D82731"/>
    <w:rsid w:val="00D83AA2"/>
    <w:rsid w:val="00D83C9D"/>
    <w:rsid w:val="00D84702"/>
    <w:rsid w:val="00D85827"/>
    <w:rsid w:val="00D858A4"/>
    <w:rsid w:val="00D86204"/>
    <w:rsid w:val="00D86260"/>
    <w:rsid w:val="00D866C8"/>
    <w:rsid w:val="00D87171"/>
    <w:rsid w:val="00D90D0C"/>
    <w:rsid w:val="00D91B81"/>
    <w:rsid w:val="00D944CD"/>
    <w:rsid w:val="00D965CF"/>
    <w:rsid w:val="00D9773F"/>
    <w:rsid w:val="00D97FA2"/>
    <w:rsid w:val="00DA04F2"/>
    <w:rsid w:val="00DA0D43"/>
    <w:rsid w:val="00DA2DB7"/>
    <w:rsid w:val="00DA315E"/>
    <w:rsid w:val="00DA318C"/>
    <w:rsid w:val="00DA3243"/>
    <w:rsid w:val="00DA3993"/>
    <w:rsid w:val="00DA4BE1"/>
    <w:rsid w:val="00DA4EE7"/>
    <w:rsid w:val="00DA55E6"/>
    <w:rsid w:val="00DA5905"/>
    <w:rsid w:val="00DB009F"/>
    <w:rsid w:val="00DB1DEA"/>
    <w:rsid w:val="00DB295B"/>
    <w:rsid w:val="00DB5A22"/>
    <w:rsid w:val="00DB6625"/>
    <w:rsid w:val="00DB6AEF"/>
    <w:rsid w:val="00DB77B5"/>
    <w:rsid w:val="00DC0AEB"/>
    <w:rsid w:val="00DC0DCC"/>
    <w:rsid w:val="00DC1F50"/>
    <w:rsid w:val="00DC28D1"/>
    <w:rsid w:val="00DC2E96"/>
    <w:rsid w:val="00DC57D7"/>
    <w:rsid w:val="00DC5FD9"/>
    <w:rsid w:val="00DC6C6A"/>
    <w:rsid w:val="00DD0C1D"/>
    <w:rsid w:val="00DD19DF"/>
    <w:rsid w:val="00DD2752"/>
    <w:rsid w:val="00DD295C"/>
    <w:rsid w:val="00DD2A41"/>
    <w:rsid w:val="00DD2C1D"/>
    <w:rsid w:val="00DD3001"/>
    <w:rsid w:val="00DD49D0"/>
    <w:rsid w:val="00DD5143"/>
    <w:rsid w:val="00DD60F6"/>
    <w:rsid w:val="00DD62FB"/>
    <w:rsid w:val="00DD7BE3"/>
    <w:rsid w:val="00DD7E8B"/>
    <w:rsid w:val="00DD7ED3"/>
    <w:rsid w:val="00DE1115"/>
    <w:rsid w:val="00DE13E7"/>
    <w:rsid w:val="00DE1CD4"/>
    <w:rsid w:val="00DE23F6"/>
    <w:rsid w:val="00DE246D"/>
    <w:rsid w:val="00DE2F89"/>
    <w:rsid w:val="00DE3007"/>
    <w:rsid w:val="00DE37AA"/>
    <w:rsid w:val="00DE4BC5"/>
    <w:rsid w:val="00DE4C4D"/>
    <w:rsid w:val="00DE6654"/>
    <w:rsid w:val="00DE67E9"/>
    <w:rsid w:val="00DE6A74"/>
    <w:rsid w:val="00DE6B7D"/>
    <w:rsid w:val="00DE6F52"/>
    <w:rsid w:val="00DE6F99"/>
    <w:rsid w:val="00DE7D36"/>
    <w:rsid w:val="00DE7FA4"/>
    <w:rsid w:val="00DF03B6"/>
    <w:rsid w:val="00DF03F8"/>
    <w:rsid w:val="00DF06C0"/>
    <w:rsid w:val="00DF2291"/>
    <w:rsid w:val="00DF2623"/>
    <w:rsid w:val="00DF38B5"/>
    <w:rsid w:val="00DF3F58"/>
    <w:rsid w:val="00DF413A"/>
    <w:rsid w:val="00DF5139"/>
    <w:rsid w:val="00DF556E"/>
    <w:rsid w:val="00DF618F"/>
    <w:rsid w:val="00E00733"/>
    <w:rsid w:val="00E01699"/>
    <w:rsid w:val="00E01890"/>
    <w:rsid w:val="00E0413F"/>
    <w:rsid w:val="00E04147"/>
    <w:rsid w:val="00E053E3"/>
    <w:rsid w:val="00E06DF0"/>
    <w:rsid w:val="00E07AF1"/>
    <w:rsid w:val="00E10CD3"/>
    <w:rsid w:val="00E114CC"/>
    <w:rsid w:val="00E11C0F"/>
    <w:rsid w:val="00E11C38"/>
    <w:rsid w:val="00E11EF0"/>
    <w:rsid w:val="00E121B6"/>
    <w:rsid w:val="00E121D0"/>
    <w:rsid w:val="00E127F2"/>
    <w:rsid w:val="00E14A09"/>
    <w:rsid w:val="00E14C05"/>
    <w:rsid w:val="00E14E9B"/>
    <w:rsid w:val="00E1565C"/>
    <w:rsid w:val="00E15879"/>
    <w:rsid w:val="00E15CE4"/>
    <w:rsid w:val="00E21455"/>
    <w:rsid w:val="00E21CF6"/>
    <w:rsid w:val="00E228FC"/>
    <w:rsid w:val="00E23D10"/>
    <w:rsid w:val="00E2657B"/>
    <w:rsid w:val="00E30AB7"/>
    <w:rsid w:val="00E310B2"/>
    <w:rsid w:val="00E315F9"/>
    <w:rsid w:val="00E316FA"/>
    <w:rsid w:val="00E31BB8"/>
    <w:rsid w:val="00E320F1"/>
    <w:rsid w:val="00E338EC"/>
    <w:rsid w:val="00E341C5"/>
    <w:rsid w:val="00E35D24"/>
    <w:rsid w:val="00E36C69"/>
    <w:rsid w:val="00E37666"/>
    <w:rsid w:val="00E40284"/>
    <w:rsid w:val="00E40A70"/>
    <w:rsid w:val="00E40F3B"/>
    <w:rsid w:val="00E417DB"/>
    <w:rsid w:val="00E4213A"/>
    <w:rsid w:val="00E42A08"/>
    <w:rsid w:val="00E43776"/>
    <w:rsid w:val="00E4398C"/>
    <w:rsid w:val="00E4422F"/>
    <w:rsid w:val="00E45317"/>
    <w:rsid w:val="00E463BE"/>
    <w:rsid w:val="00E465CB"/>
    <w:rsid w:val="00E46BB8"/>
    <w:rsid w:val="00E46D2C"/>
    <w:rsid w:val="00E50058"/>
    <w:rsid w:val="00E51CAA"/>
    <w:rsid w:val="00E52271"/>
    <w:rsid w:val="00E52278"/>
    <w:rsid w:val="00E52BD9"/>
    <w:rsid w:val="00E53E0A"/>
    <w:rsid w:val="00E541A1"/>
    <w:rsid w:val="00E5517F"/>
    <w:rsid w:val="00E5642C"/>
    <w:rsid w:val="00E5671A"/>
    <w:rsid w:val="00E5735F"/>
    <w:rsid w:val="00E57377"/>
    <w:rsid w:val="00E61BCD"/>
    <w:rsid w:val="00E657AD"/>
    <w:rsid w:val="00E65A44"/>
    <w:rsid w:val="00E65CD3"/>
    <w:rsid w:val="00E66232"/>
    <w:rsid w:val="00E66EA7"/>
    <w:rsid w:val="00E673F2"/>
    <w:rsid w:val="00E67D68"/>
    <w:rsid w:val="00E702E2"/>
    <w:rsid w:val="00E70AAA"/>
    <w:rsid w:val="00E70F10"/>
    <w:rsid w:val="00E71996"/>
    <w:rsid w:val="00E73DC5"/>
    <w:rsid w:val="00E74BC8"/>
    <w:rsid w:val="00E74CE9"/>
    <w:rsid w:val="00E757F7"/>
    <w:rsid w:val="00E76F0A"/>
    <w:rsid w:val="00E77893"/>
    <w:rsid w:val="00E8029F"/>
    <w:rsid w:val="00E8170D"/>
    <w:rsid w:val="00E817ED"/>
    <w:rsid w:val="00E8185A"/>
    <w:rsid w:val="00E81FA1"/>
    <w:rsid w:val="00E833B6"/>
    <w:rsid w:val="00E83484"/>
    <w:rsid w:val="00E84420"/>
    <w:rsid w:val="00E84BEA"/>
    <w:rsid w:val="00E853E7"/>
    <w:rsid w:val="00E85A13"/>
    <w:rsid w:val="00E86A72"/>
    <w:rsid w:val="00E87040"/>
    <w:rsid w:val="00E87AF4"/>
    <w:rsid w:val="00E87DC2"/>
    <w:rsid w:val="00E87F93"/>
    <w:rsid w:val="00E904CF"/>
    <w:rsid w:val="00E90EA7"/>
    <w:rsid w:val="00E90F8F"/>
    <w:rsid w:val="00E910EB"/>
    <w:rsid w:val="00E91152"/>
    <w:rsid w:val="00E91482"/>
    <w:rsid w:val="00E91755"/>
    <w:rsid w:val="00E91A11"/>
    <w:rsid w:val="00E91B1D"/>
    <w:rsid w:val="00E9329D"/>
    <w:rsid w:val="00E966E3"/>
    <w:rsid w:val="00E9729A"/>
    <w:rsid w:val="00E9787C"/>
    <w:rsid w:val="00EA1E40"/>
    <w:rsid w:val="00EA21A9"/>
    <w:rsid w:val="00EA29BC"/>
    <w:rsid w:val="00EA2C7B"/>
    <w:rsid w:val="00EA2FBD"/>
    <w:rsid w:val="00EA30AB"/>
    <w:rsid w:val="00EA45B9"/>
    <w:rsid w:val="00EA5104"/>
    <w:rsid w:val="00EA510C"/>
    <w:rsid w:val="00EA588D"/>
    <w:rsid w:val="00EA62DE"/>
    <w:rsid w:val="00EA6517"/>
    <w:rsid w:val="00EA6EC0"/>
    <w:rsid w:val="00EB0240"/>
    <w:rsid w:val="00EB02E7"/>
    <w:rsid w:val="00EB0A43"/>
    <w:rsid w:val="00EB0A45"/>
    <w:rsid w:val="00EB0F51"/>
    <w:rsid w:val="00EB190C"/>
    <w:rsid w:val="00EB1D6D"/>
    <w:rsid w:val="00EB2389"/>
    <w:rsid w:val="00EB26EA"/>
    <w:rsid w:val="00EB28BE"/>
    <w:rsid w:val="00EB3D21"/>
    <w:rsid w:val="00EB4314"/>
    <w:rsid w:val="00EB442D"/>
    <w:rsid w:val="00EB48E6"/>
    <w:rsid w:val="00EB522E"/>
    <w:rsid w:val="00EB5C9E"/>
    <w:rsid w:val="00EB6C6C"/>
    <w:rsid w:val="00EB785A"/>
    <w:rsid w:val="00EB7ED8"/>
    <w:rsid w:val="00EC0238"/>
    <w:rsid w:val="00EC0297"/>
    <w:rsid w:val="00EC0F20"/>
    <w:rsid w:val="00EC1594"/>
    <w:rsid w:val="00EC17B7"/>
    <w:rsid w:val="00EC1C84"/>
    <w:rsid w:val="00EC2928"/>
    <w:rsid w:val="00EC3E29"/>
    <w:rsid w:val="00EC5154"/>
    <w:rsid w:val="00EC66A7"/>
    <w:rsid w:val="00EC676B"/>
    <w:rsid w:val="00EC712E"/>
    <w:rsid w:val="00EC758B"/>
    <w:rsid w:val="00ED0D8B"/>
    <w:rsid w:val="00ED1678"/>
    <w:rsid w:val="00ED26F2"/>
    <w:rsid w:val="00ED2EFC"/>
    <w:rsid w:val="00ED5DE1"/>
    <w:rsid w:val="00ED6654"/>
    <w:rsid w:val="00EE06A5"/>
    <w:rsid w:val="00EE07D1"/>
    <w:rsid w:val="00EE0AD4"/>
    <w:rsid w:val="00EE27F0"/>
    <w:rsid w:val="00EE30CC"/>
    <w:rsid w:val="00EE3616"/>
    <w:rsid w:val="00EE3737"/>
    <w:rsid w:val="00EE374B"/>
    <w:rsid w:val="00EE5130"/>
    <w:rsid w:val="00EE6321"/>
    <w:rsid w:val="00EF063A"/>
    <w:rsid w:val="00EF07E9"/>
    <w:rsid w:val="00EF1181"/>
    <w:rsid w:val="00EF1692"/>
    <w:rsid w:val="00EF1996"/>
    <w:rsid w:val="00EF2E2D"/>
    <w:rsid w:val="00EF3570"/>
    <w:rsid w:val="00EF4BDC"/>
    <w:rsid w:val="00EF533A"/>
    <w:rsid w:val="00EF59D4"/>
    <w:rsid w:val="00EF5A5C"/>
    <w:rsid w:val="00EF6A2A"/>
    <w:rsid w:val="00EF7553"/>
    <w:rsid w:val="00F00F23"/>
    <w:rsid w:val="00F011C2"/>
    <w:rsid w:val="00F013C6"/>
    <w:rsid w:val="00F013C7"/>
    <w:rsid w:val="00F015D8"/>
    <w:rsid w:val="00F02318"/>
    <w:rsid w:val="00F0260D"/>
    <w:rsid w:val="00F02A67"/>
    <w:rsid w:val="00F035E4"/>
    <w:rsid w:val="00F039C8"/>
    <w:rsid w:val="00F03A59"/>
    <w:rsid w:val="00F03F9D"/>
    <w:rsid w:val="00F04959"/>
    <w:rsid w:val="00F05F19"/>
    <w:rsid w:val="00F066AD"/>
    <w:rsid w:val="00F06A55"/>
    <w:rsid w:val="00F10245"/>
    <w:rsid w:val="00F11779"/>
    <w:rsid w:val="00F11972"/>
    <w:rsid w:val="00F11B1E"/>
    <w:rsid w:val="00F131D8"/>
    <w:rsid w:val="00F135FE"/>
    <w:rsid w:val="00F14036"/>
    <w:rsid w:val="00F147A7"/>
    <w:rsid w:val="00F15FEA"/>
    <w:rsid w:val="00F164D0"/>
    <w:rsid w:val="00F16659"/>
    <w:rsid w:val="00F2060F"/>
    <w:rsid w:val="00F20DDE"/>
    <w:rsid w:val="00F20EC5"/>
    <w:rsid w:val="00F22163"/>
    <w:rsid w:val="00F26854"/>
    <w:rsid w:val="00F26EA3"/>
    <w:rsid w:val="00F26FED"/>
    <w:rsid w:val="00F2785D"/>
    <w:rsid w:val="00F3004C"/>
    <w:rsid w:val="00F304C7"/>
    <w:rsid w:val="00F30CF5"/>
    <w:rsid w:val="00F31372"/>
    <w:rsid w:val="00F347C9"/>
    <w:rsid w:val="00F3535E"/>
    <w:rsid w:val="00F360B7"/>
    <w:rsid w:val="00F3626A"/>
    <w:rsid w:val="00F362E8"/>
    <w:rsid w:val="00F36B52"/>
    <w:rsid w:val="00F36EF5"/>
    <w:rsid w:val="00F3737D"/>
    <w:rsid w:val="00F37381"/>
    <w:rsid w:val="00F37426"/>
    <w:rsid w:val="00F379CA"/>
    <w:rsid w:val="00F401E3"/>
    <w:rsid w:val="00F40379"/>
    <w:rsid w:val="00F4045C"/>
    <w:rsid w:val="00F40647"/>
    <w:rsid w:val="00F4093F"/>
    <w:rsid w:val="00F42E87"/>
    <w:rsid w:val="00F433EC"/>
    <w:rsid w:val="00F43C85"/>
    <w:rsid w:val="00F445D3"/>
    <w:rsid w:val="00F448B4"/>
    <w:rsid w:val="00F4582D"/>
    <w:rsid w:val="00F466C6"/>
    <w:rsid w:val="00F46D5A"/>
    <w:rsid w:val="00F47CB4"/>
    <w:rsid w:val="00F50D7C"/>
    <w:rsid w:val="00F51D7B"/>
    <w:rsid w:val="00F51DC5"/>
    <w:rsid w:val="00F51F24"/>
    <w:rsid w:val="00F5245F"/>
    <w:rsid w:val="00F525D8"/>
    <w:rsid w:val="00F52D5B"/>
    <w:rsid w:val="00F52EB6"/>
    <w:rsid w:val="00F535C1"/>
    <w:rsid w:val="00F5483D"/>
    <w:rsid w:val="00F54C72"/>
    <w:rsid w:val="00F57AC4"/>
    <w:rsid w:val="00F602F4"/>
    <w:rsid w:val="00F615A7"/>
    <w:rsid w:val="00F62172"/>
    <w:rsid w:val="00F62180"/>
    <w:rsid w:val="00F63EF1"/>
    <w:rsid w:val="00F65740"/>
    <w:rsid w:val="00F71E87"/>
    <w:rsid w:val="00F72EE9"/>
    <w:rsid w:val="00F737C5"/>
    <w:rsid w:val="00F738C1"/>
    <w:rsid w:val="00F73D0A"/>
    <w:rsid w:val="00F73FE7"/>
    <w:rsid w:val="00F74074"/>
    <w:rsid w:val="00F745C2"/>
    <w:rsid w:val="00F74A00"/>
    <w:rsid w:val="00F765A1"/>
    <w:rsid w:val="00F76747"/>
    <w:rsid w:val="00F77880"/>
    <w:rsid w:val="00F80EDC"/>
    <w:rsid w:val="00F82E47"/>
    <w:rsid w:val="00F83170"/>
    <w:rsid w:val="00F83D8A"/>
    <w:rsid w:val="00F85006"/>
    <w:rsid w:val="00F85C73"/>
    <w:rsid w:val="00F85E68"/>
    <w:rsid w:val="00F8657D"/>
    <w:rsid w:val="00F868E8"/>
    <w:rsid w:val="00F87863"/>
    <w:rsid w:val="00F87EEF"/>
    <w:rsid w:val="00F9004E"/>
    <w:rsid w:val="00F90197"/>
    <w:rsid w:val="00F909FA"/>
    <w:rsid w:val="00F9276A"/>
    <w:rsid w:val="00F936E9"/>
    <w:rsid w:val="00F9383C"/>
    <w:rsid w:val="00F950ED"/>
    <w:rsid w:val="00F962D1"/>
    <w:rsid w:val="00F96814"/>
    <w:rsid w:val="00F977B2"/>
    <w:rsid w:val="00F978D4"/>
    <w:rsid w:val="00F97C0B"/>
    <w:rsid w:val="00FA0410"/>
    <w:rsid w:val="00FA206F"/>
    <w:rsid w:val="00FA371C"/>
    <w:rsid w:val="00FA3F32"/>
    <w:rsid w:val="00FA4408"/>
    <w:rsid w:val="00FA44DF"/>
    <w:rsid w:val="00FA4CF9"/>
    <w:rsid w:val="00FA6289"/>
    <w:rsid w:val="00FA65EF"/>
    <w:rsid w:val="00FA6AA0"/>
    <w:rsid w:val="00FA722C"/>
    <w:rsid w:val="00FA75E2"/>
    <w:rsid w:val="00FA7B4B"/>
    <w:rsid w:val="00FA7F6D"/>
    <w:rsid w:val="00FA7FB9"/>
    <w:rsid w:val="00FB05EC"/>
    <w:rsid w:val="00FB1211"/>
    <w:rsid w:val="00FB276C"/>
    <w:rsid w:val="00FB37A6"/>
    <w:rsid w:val="00FB6465"/>
    <w:rsid w:val="00FB7444"/>
    <w:rsid w:val="00FC03F2"/>
    <w:rsid w:val="00FC1364"/>
    <w:rsid w:val="00FC1432"/>
    <w:rsid w:val="00FC205B"/>
    <w:rsid w:val="00FC2242"/>
    <w:rsid w:val="00FC28E1"/>
    <w:rsid w:val="00FC2FA0"/>
    <w:rsid w:val="00FC3604"/>
    <w:rsid w:val="00FC3893"/>
    <w:rsid w:val="00FC4906"/>
    <w:rsid w:val="00FC5F29"/>
    <w:rsid w:val="00FD13C8"/>
    <w:rsid w:val="00FD26DC"/>
    <w:rsid w:val="00FD2CBC"/>
    <w:rsid w:val="00FD3030"/>
    <w:rsid w:val="00FD363F"/>
    <w:rsid w:val="00FD4072"/>
    <w:rsid w:val="00FD4376"/>
    <w:rsid w:val="00FD4947"/>
    <w:rsid w:val="00FD5E84"/>
    <w:rsid w:val="00FD6B1F"/>
    <w:rsid w:val="00FD79DD"/>
    <w:rsid w:val="00FE0567"/>
    <w:rsid w:val="00FE10B6"/>
    <w:rsid w:val="00FE13ED"/>
    <w:rsid w:val="00FE1ABF"/>
    <w:rsid w:val="00FE1AFF"/>
    <w:rsid w:val="00FE2186"/>
    <w:rsid w:val="00FE26B3"/>
    <w:rsid w:val="00FE2766"/>
    <w:rsid w:val="00FE286E"/>
    <w:rsid w:val="00FE2B22"/>
    <w:rsid w:val="00FE2F68"/>
    <w:rsid w:val="00FE33AF"/>
    <w:rsid w:val="00FE359A"/>
    <w:rsid w:val="00FE4DA7"/>
    <w:rsid w:val="00FE4E89"/>
    <w:rsid w:val="00FE5FED"/>
    <w:rsid w:val="00FF04B1"/>
    <w:rsid w:val="00FF15B4"/>
    <w:rsid w:val="00FF1670"/>
    <w:rsid w:val="00FF1BFD"/>
    <w:rsid w:val="00FF2BA9"/>
    <w:rsid w:val="00FF3173"/>
    <w:rsid w:val="00FF36D0"/>
    <w:rsid w:val="00FF53DC"/>
    <w:rsid w:val="00FF5D41"/>
    <w:rsid w:val="00FF76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A1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4323"/>
    <w:pPr>
      <w:spacing w:after="240"/>
    </w:pPr>
    <w:rPr>
      <w:rFonts w:ascii="Arial" w:hAnsi="Arial"/>
      <w:sz w:val="24"/>
    </w:rPr>
  </w:style>
  <w:style w:type="paragraph" w:styleId="Heading1">
    <w:name w:val="heading 1"/>
    <w:basedOn w:val="Normal"/>
    <w:next w:val="Normal"/>
    <w:link w:val="Heading1Char"/>
    <w:qFormat/>
    <w:rsid w:val="009404BC"/>
    <w:pPr>
      <w:keepNext/>
      <w:numPr>
        <w:numId w:val="10"/>
      </w:numPr>
      <w:tabs>
        <w:tab w:val="clear" w:pos="882"/>
        <w:tab w:val="num" w:pos="716"/>
      </w:tabs>
      <w:spacing w:before="240" w:after="60"/>
      <w:ind w:left="432"/>
      <w:outlineLvl w:val="0"/>
    </w:pPr>
    <w:rPr>
      <w:rFonts w:cs="Arial"/>
      <w:b/>
      <w:bCs/>
      <w:kern w:val="32"/>
      <w:sz w:val="32"/>
      <w:szCs w:val="32"/>
    </w:rPr>
  </w:style>
  <w:style w:type="paragraph" w:styleId="Heading2">
    <w:name w:val="heading 2"/>
    <w:basedOn w:val="Normal"/>
    <w:next w:val="Normal"/>
    <w:link w:val="Heading2Char"/>
    <w:qFormat/>
    <w:rsid w:val="007E659B"/>
    <w:pPr>
      <w:keepNext/>
      <w:numPr>
        <w:ilvl w:val="1"/>
        <w:numId w:val="1"/>
      </w:numPr>
      <w:tabs>
        <w:tab w:val="clear" w:pos="864"/>
        <w:tab w:val="num" w:pos="1639"/>
      </w:tabs>
      <w:spacing w:before="240" w:after="60"/>
      <w:ind w:left="706" w:hanging="274"/>
      <w:outlineLvl w:val="1"/>
    </w:pPr>
    <w:rPr>
      <w:rFonts w:cs="Arial"/>
      <w:b/>
      <w:bCs/>
      <w:i/>
      <w:iCs/>
      <w:sz w:val="28"/>
      <w:szCs w:val="28"/>
    </w:rPr>
  </w:style>
  <w:style w:type="paragraph" w:styleId="Heading3">
    <w:name w:val="heading 3"/>
    <w:basedOn w:val="Normal"/>
    <w:next w:val="Normal"/>
    <w:qFormat/>
    <w:rsid w:val="0051773A"/>
    <w:pPr>
      <w:keepNext/>
      <w:numPr>
        <w:ilvl w:val="2"/>
        <w:numId w:val="10"/>
      </w:numPr>
      <w:tabs>
        <w:tab w:val="clear" w:pos="1670"/>
        <w:tab w:val="num" w:pos="1247"/>
      </w:tabs>
      <w:spacing w:before="240" w:after="60"/>
      <w:ind w:left="1397" w:hanging="677"/>
      <w:outlineLvl w:val="2"/>
    </w:pPr>
    <w:rPr>
      <w:rFonts w:cs="Arial"/>
      <w:b/>
      <w:bCs/>
      <w:sz w:val="26"/>
      <w:szCs w:val="26"/>
    </w:rPr>
  </w:style>
  <w:style w:type="paragraph" w:styleId="Heading4">
    <w:name w:val="heading 4"/>
    <w:basedOn w:val="Normal"/>
    <w:next w:val="Normal"/>
    <w:qFormat/>
    <w:rsid w:val="003D5557"/>
    <w:pPr>
      <w:keepNext/>
      <w:numPr>
        <w:ilvl w:val="3"/>
        <w:numId w:val="10"/>
      </w:numPr>
      <w:spacing w:before="240" w:after="60"/>
      <w:outlineLvl w:val="3"/>
    </w:pPr>
    <w:rPr>
      <w:rFonts w:ascii="Times New Roman" w:hAnsi="Times New Roman"/>
      <w:bCs/>
      <w:i/>
      <w:szCs w:val="28"/>
    </w:rPr>
  </w:style>
  <w:style w:type="paragraph" w:styleId="Heading5">
    <w:name w:val="heading 5"/>
    <w:basedOn w:val="Normal"/>
    <w:next w:val="Normal"/>
    <w:qFormat/>
    <w:rsid w:val="00C62295"/>
    <w:pPr>
      <w:keepNext/>
      <w:numPr>
        <w:ilvl w:val="4"/>
        <w:numId w:val="10"/>
      </w:numPr>
      <w:tabs>
        <w:tab w:val="left" w:pos="2700"/>
      </w:tabs>
      <w:outlineLvl w:val="4"/>
    </w:pPr>
    <w:rPr>
      <w:b/>
      <w:color w:val="000000"/>
      <w:sz w:val="18"/>
    </w:rPr>
  </w:style>
  <w:style w:type="paragraph" w:styleId="Heading6">
    <w:name w:val="heading 6"/>
    <w:basedOn w:val="Normal"/>
    <w:next w:val="Normal"/>
    <w:qFormat/>
    <w:rsid w:val="00C62295"/>
    <w:pPr>
      <w:keepNext/>
      <w:numPr>
        <w:ilvl w:val="5"/>
        <w:numId w:val="10"/>
      </w:numPr>
      <w:tabs>
        <w:tab w:val="left" w:pos="2700"/>
      </w:tabs>
      <w:outlineLvl w:val="5"/>
    </w:pPr>
    <w:rPr>
      <w:b/>
      <w:color w:val="000000"/>
      <w:sz w:val="16"/>
    </w:rPr>
  </w:style>
  <w:style w:type="paragraph" w:styleId="Heading7">
    <w:name w:val="heading 7"/>
    <w:aliases w:val="Title Heading"/>
    <w:basedOn w:val="Heading1"/>
    <w:next w:val="Normal"/>
    <w:qFormat/>
    <w:rsid w:val="00B54B62"/>
    <w:pPr>
      <w:numPr>
        <w:ilvl w:val="6"/>
      </w:numPr>
      <w:outlineLvl w:val="6"/>
    </w:pPr>
    <w:rPr>
      <w:rFonts w:ascii="Times New Roman" w:hAnsi="Times New Roman"/>
      <w:sz w:val="24"/>
      <w:szCs w:val="24"/>
    </w:rPr>
  </w:style>
  <w:style w:type="paragraph" w:styleId="Heading8">
    <w:name w:val="heading 8"/>
    <w:basedOn w:val="Normal"/>
    <w:next w:val="Normal"/>
    <w:qFormat/>
    <w:rsid w:val="00B54B62"/>
    <w:pPr>
      <w:numPr>
        <w:ilvl w:val="7"/>
        <w:numId w:val="10"/>
      </w:numPr>
      <w:spacing w:before="240" w:after="60"/>
      <w:outlineLvl w:val="7"/>
    </w:pPr>
    <w:rPr>
      <w:rFonts w:ascii="Times New Roman" w:hAnsi="Times New Roman"/>
      <w:i/>
      <w:iCs/>
      <w:szCs w:val="24"/>
    </w:rPr>
  </w:style>
  <w:style w:type="paragraph" w:styleId="Heading9">
    <w:name w:val="heading 9"/>
    <w:basedOn w:val="Normal"/>
    <w:next w:val="Normal"/>
    <w:qFormat/>
    <w:rsid w:val="00B54B62"/>
    <w:pPr>
      <w:numPr>
        <w:ilvl w:val="8"/>
        <w:numId w:val="10"/>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2295"/>
    <w:pPr>
      <w:tabs>
        <w:tab w:val="center" w:pos="4320"/>
        <w:tab w:val="right" w:pos="8640"/>
      </w:tabs>
    </w:pPr>
  </w:style>
  <w:style w:type="paragraph" w:styleId="Footer">
    <w:name w:val="footer"/>
    <w:basedOn w:val="Normal"/>
    <w:link w:val="FooterChar"/>
    <w:uiPriority w:val="99"/>
    <w:rsid w:val="00C62295"/>
    <w:pPr>
      <w:tabs>
        <w:tab w:val="center" w:pos="4320"/>
        <w:tab w:val="right" w:pos="8640"/>
      </w:tabs>
    </w:pPr>
  </w:style>
  <w:style w:type="table" w:styleId="TableGrid">
    <w:name w:val="Table Grid"/>
    <w:basedOn w:val="TableNormal"/>
    <w:rsid w:val="00B54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B54B62"/>
    <w:pPr>
      <w:spacing w:before="120" w:after="120"/>
    </w:pPr>
    <w:rPr>
      <w:rFonts w:ascii="Times New Roman" w:hAnsi="Times New Roman"/>
    </w:rPr>
  </w:style>
  <w:style w:type="character" w:styleId="FootnoteReference">
    <w:name w:val="footnote reference"/>
    <w:semiHidden/>
    <w:rsid w:val="00B54B62"/>
    <w:rPr>
      <w:vertAlign w:val="superscript"/>
    </w:rPr>
  </w:style>
  <w:style w:type="character" w:styleId="CommentReference">
    <w:name w:val="annotation reference"/>
    <w:rsid w:val="00093880"/>
    <w:rPr>
      <w:sz w:val="16"/>
      <w:szCs w:val="16"/>
    </w:rPr>
  </w:style>
  <w:style w:type="paragraph" w:styleId="CommentText">
    <w:name w:val="annotation text"/>
    <w:basedOn w:val="Normal"/>
    <w:link w:val="CommentTextChar"/>
    <w:rsid w:val="00093880"/>
  </w:style>
  <w:style w:type="paragraph" w:styleId="CommentSubject">
    <w:name w:val="annotation subject"/>
    <w:basedOn w:val="CommentText"/>
    <w:next w:val="CommentText"/>
    <w:semiHidden/>
    <w:rsid w:val="00093880"/>
    <w:rPr>
      <w:b/>
      <w:bCs/>
    </w:rPr>
  </w:style>
  <w:style w:type="paragraph" w:styleId="BalloonText">
    <w:name w:val="Balloon Text"/>
    <w:basedOn w:val="Normal"/>
    <w:semiHidden/>
    <w:rsid w:val="00093880"/>
    <w:rPr>
      <w:rFonts w:ascii="Tahoma" w:hAnsi="Tahoma" w:cs="Tahoma"/>
      <w:sz w:val="16"/>
      <w:szCs w:val="16"/>
    </w:rPr>
  </w:style>
  <w:style w:type="character" w:styleId="Hyperlink">
    <w:name w:val="Hyperlink"/>
    <w:uiPriority w:val="99"/>
    <w:rsid w:val="00EF07E9"/>
    <w:rPr>
      <w:color w:val="0000FF"/>
      <w:u w:val="single"/>
    </w:rPr>
  </w:style>
  <w:style w:type="paragraph" w:styleId="ListParagraph">
    <w:name w:val="List Paragraph"/>
    <w:basedOn w:val="Normal"/>
    <w:uiPriority w:val="34"/>
    <w:qFormat/>
    <w:rsid w:val="00C045ED"/>
    <w:pPr>
      <w:spacing w:after="200" w:line="276" w:lineRule="auto"/>
      <w:ind w:left="720"/>
      <w:contextualSpacing/>
    </w:pPr>
    <w:rPr>
      <w:rFonts w:ascii="Calibri" w:eastAsia="Calibri" w:hAnsi="Calibri"/>
      <w:sz w:val="22"/>
      <w:szCs w:val="22"/>
      <w:lang w:eastAsia="en-US"/>
    </w:rPr>
  </w:style>
  <w:style w:type="paragraph" w:styleId="TOCHeading">
    <w:name w:val="TOC Heading"/>
    <w:basedOn w:val="Heading1"/>
    <w:next w:val="Normal"/>
    <w:uiPriority w:val="39"/>
    <w:semiHidden/>
    <w:unhideWhenUsed/>
    <w:qFormat/>
    <w:rsid w:val="00E06DF0"/>
    <w:pPr>
      <w:keepLines/>
      <w:numPr>
        <w:numId w:val="0"/>
      </w:numPr>
      <w:spacing w:before="480" w:after="0" w:line="276" w:lineRule="auto"/>
      <w:outlineLvl w:val="9"/>
    </w:pPr>
    <w:rPr>
      <w:rFonts w:ascii="Cambria" w:eastAsia="MS Gothic" w:hAnsi="Cambria" w:cs="Times New Roman"/>
      <w:color w:val="365F91"/>
      <w:kern w:val="0"/>
      <w:sz w:val="28"/>
      <w:szCs w:val="28"/>
      <w:lang w:eastAsia="ja-JP"/>
    </w:rPr>
  </w:style>
  <w:style w:type="paragraph" w:styleId="TOC1">
    <w:name w:val="toc 1"/>
    <w:basedOn w:val="Normal"/>
    <w:next w:val="Normal"/>
    <w:autoRedefine/>
    <w:uiPriority w:val="39"/>
    <w:rsid w:val="00FC2FA0"/>
    <w:pPr>
      <w:tabs>
        <w:tab w:val="left" w:pos="600"/>
        <w:tab w:val="right" w:leader="dot" w:pos="8630"/>
      </w:tabs>
      <w:spacing w:after="180"/>
    </w:pPr>
    <w:rPr>
      <w:rFonts w:ascii="Calibri" w:hAnsi="Calibri"/>
      <w:b/>
    </w:rPr>
  </w:style>
  <w:style w:type="paragraph" w:styleId="TOC2">
    <w:name w:val="toc 2"/>
    <w:basedOn w:val="Normal"/>
    <w:next w:val="Normal"/>
    <w:autoRedefine/>
    <w:uiPriority w:val="39"/>
    <w:rsid w:val="00D97FA2"/>
    <w:pPr>
      <w:tabs>
        <w:tab w:val="left" w:pos="880"/>
        <w:tab w:val="right" w:leader="dot" w:pos="8630"/>
      </w:tabs>
      <w:spacing w:after="180"/>
      <w:ind w:left="202"/>
    </w:pPr>
    <w:rPr>
      <w:rFonts w:ascii="Calibri" w:hAnsi="Calibri"/>
      <w:sz w:val="22"/>
    </w:rPr>
  </w:style>
  <w:style w:type="paragraph" w:styleId="TOC3">
    <w:name w:val="toc 3"/>
    <w:basedOn w:val="Normal"/>
    <w:next w:val="Normal"/>
    <w:autoRedefine/>
    <w:uiPriority w:val="39"/>
    <w:rsid w:val="003A6858"/>
    <w:pPr>
      <w:ind w:left="400"/>
    </w:pPr>
    <w:rPr>
      <w:rFonts w:ascii="Calibri" w:hAnsi="Calibri"/>
      <w:sz w:val="22"/>
    </w:rPr>
  </w:style>
  <w:style w:type="paragraph" w:styleId="Title">
    <w:name w:val="Title"/>
    <w:basedOn w:val="Normal"/>
    <w:next w:val="Normal"/>
    <w:link w:val="TitleChar"/>
    <w:qFormat/>
    <w:rsid w:val="003A6858"/>
    <w:pPr>
      <w:spacing w:before="240" w:after="60"/>
      <w:jc w:val="center"/>
      <w:outlineLvl w:val="0"/>
    </w:pPr>
    <w:rPr>
      <w:rFonts w:ascii="Cambria" w:hAnsi="Cambria"/>
      <w:b/>
      <w:bCs/>
      <w:kern w:val="28"/>
      <w:sz w:val="32"/>
      <w:szCs w:val="32"/>
    </w:rPr>
  </w:style>
  <w:style w:type="character" w:customStyle="1" w:styleId="TitleChar">
    <w:name w:val="Title Char"/>
    <w:link w:val="Title"/>
    <w:rsid w:val="003A6858"/>
    <w:rPr>
      <w:rFonts w:ascii="Cambria" w:eastAsia="Times New Roman" w:hAnsi="Cambria" w:cs="Times New Roman"/>
      <w:b/>
      <w:bCs/>
      <w:kern w:val="28"/>
      <w:sz w:val="32"/>
      <w:szCs w:val="32"/>
      <w:lang w:val="fr-CA"/>
    </w:rPr>
  </w:style>
  <w:style w:type="paragraph" w:styleId="Subtitle">
    <w:name w:val="Subtitle"/>
    <w:basedOn w:val="Normal"/>
    <w:next w:val="Normal"/>
    <w:link w:val="SubtitleChar"/>
    <w:qFormat/>
    <w:rsid w:val="004F7C0F"/>
    <w:pPr>
      <w:spacing w:after="60"/>
      <w:jc w:val="center"/>
      <w:outlineLvl w:val="1"/>
    </w:pPr>
    <w:rPr>
      <w:rFonts w:ascii="Cambria" w:hAnsi="Cambria"/>
      <w:szCs w:val="24"/>
    </w:rPr>
  </w:style>
  <w:style w:type="paragraph" w:styleId="TOC4">
    <w:name w:val="toc 4"/>
    <w:basedOn w:val="Normal"/>
    <w:next w:val="Normal"/>
    <w:autoRedefine/>
    <w:rsid w:val="003A6858"/>
    <w:pPr>
      <w:ind w:left="600"/>
    </w:pPr>
    <w:rPr>
      <w:rFonts w:ascii="Calibri" w:hAnsi="Calibri"/>
    </w:rPr>
  </w:style>
  <w:style w:type="character" w:customStyle="1" w:styleId="SubtitleChar">
    <w:name w:val="Subtitle Char"/>
    <w:link w:val="Subtitle"/>
    <w:rsid w:val="004F7C0F"/>
    <w:rPr>
      <w:rFonts w:ascii="Cambria" w:eastAsia="Times New Roman" w:hAnsi="Cambria" w:cs="Times New Roman"/>
      <w:sz w:val="24"/>
      <w:szCs w:val="24"/>
      <w:lang w:val="fr-CA"/>
    </w:rPr>
  </w:style>
  <w:style w:type="paragraph" w:styleId="Caption">
    <w:name w:val="caption"/>
    <w:basedOn w:val="Normal"/>
    <w:next w:val="Normal"/>
    <w:unhideWhenUsed/>
    <w:qFormat/>
    <w:rsid w:val="009977DE"/>
    <w:rPr>
      <w:b/>
      <w:bCs/>
    </w:rPr>
  </w:style>
  <w:style w:type="character" w:styleId="LineNumber">
    <w:name w:val="line number"/>
    <w:rsid w:val="00AC799B"/>
  </w:style>
  <w:style w:type="paragraph" w:styleId="Revision">
    <w:name w:val="Revision"/>
    <w:hidden/>
    <w:uiPriority w:val="99"/>
    <w:semiHidden/>
    <w:rsid w:val="000E245B"/>
    <w:rPr>
      <w:rFonts w:ascii="Helvetica" w:hAnsi="Helvetica"/>
    </w:rPr>
  </w:style>
  <w:style w:type="character" w:styleId="FollowedHyperlink">
    <w:name w:val="FollowedHyperlink"/>
    <w:basedOn w:val="DefaultParagraphFont"/>
    <w:rsid w:val="000A7B0F"/>
    <w:rPr>
      <w:color w:val="800080" w:themeColor="followedHyperlink"/>
      <w:u w:val="single"/>
    </w:rPr>
  </w:style>
  <w:style w:type="character" w:customStyle="1" w:styleId="CommentTextChar">
    <w:name w:val="Comment Text Char"/>
    <w:basedOn w:val="DefaultParagraphFont"/>
    <w:link w:val="CommentText"/>
    <w:rsid w:val="009C02EA"/>
    <w:rPr>
      <w:rFonts w:ascii="Arial" w:hAnsi="Arial"/>
      <w:sz w:val="24"/>
      <w:lang w:val="fr-CA"/>
    </w:rPr>
  </w:style>
  <w:style w:type="paragraph" w:styleId="TableofFigures">
    <w:name w:val="table of figures"/>
    <w:basedOn w:val="Normal"/>
    <w:next w:val="Normal"/>
    <w:uiPriority w:val="99"/>
    <w:rsid w:val="00F035E4"/>
    <w:pPr>
      <w:spacing w:before="240" w:line="480" w:lineRule="auto"/>
    </w:pPr>
  </w:style>
  <w:style w:type="character" w:customStyle="1" w:styleId="Heading1Char">
    <w:name w:val="Heading 1 Char"/>
    <w:basedOn w:val="DefaultParagraphFont"/>
    <w:link w:val="Heading1"/>
    <w:rsid w:val="009404BC"/>
    <w:rPr>
      <w:rFonts w:ascii="Arial" w:hAnsi="Arial" w:cs="Arial"/>
      <w:b/>
      <w:bCs/>
      <w:kern w:val="32"/>
      <w:sz w:val="32"/>
      <w:szCs w:val="32"/>
      <w:lang w:val="fr-CA"/>
    </w:rPr>
  </w:style>
  <w:style w:type="character" w:customStyle="1" w:styleId="Heading2Char">
    <w:name w:val="Heading 2 Char"/>
    <w:basedOn w:val="DefaultParagraphFont"/>
    <w:link w:val="Heading2"/>
    <w:rsid w:val="007E659B"/>
    <w:rPr>
      <w:rFonts w:ascii="Arial" w:hAnsi="Arial" w:cs="Arial"/>
      <w:b/>
      <w:bCs/>
      <w:i/>
      <w:iCs/>
      <w:sz w:val="28"/>
      <w:szCs w:val="28"/>
    </w:rPr>
  </w:style>
  <w:style w:type="character" w:customStyle="1" w:styleId="FooterChar">
    <w:name w:val="Footer Char"/>
    <w:basedOn w:val="DefaultParagraphFont"/>
    <w:link w:val="Footer"/>
    <w:uiPriority w:val="99"/>
    <w:rsid w:val="00EF59D4"/>
    <w:rPr>
      <w:rFonts w:ascii="Arial" w:hAnsi="Arial"/>
      <w:sz w:val="24"/>
      <w:lang w:val="fr-CA"/>
    </w:rPr>
  </w:style>
  <w:style w:type="character" w:customStyle="1" w:styleId="apple-converted-space">
    <w:name w:val="apple-converted-space"/>
    <w:basedOn w:val="DefaultParagraphFont"/>
    <w:rsid w:val="003534A4"/>
  </w:style>
  <w:style w:type="paragraph" w:styleId="NormalWeb">
    <w:name w:val="Normal (Web)"/>
    <w:basedOn w:val="Normal"/>
    <w:uiPriority w:val="99"/>
    <w:semiHidden/>
    <w:unhideWhenUsed/>
    <w:rsid w:val="00C35605"/>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C35605"/>
    <w:rPr>
      <w:b/>
      <w:bCs/>
    </w:rPr>
  </w:style>
  <w:style w:type="paragraph" w:styleId="BodyText">
    <w:name w:val="Body Text"/>
    <w:basedOn w:val="Normal"/>
    <w:link w:val="BodyTextChar"/>
    <w:rsid w:val="00AD679D"/>
    <w:pPr>
      <w:spacing w:after="0"/>
    </w:pPr>
  </w:style>
  <w:style w:type="character" w:customStyle="1" w:styleId="BodyTextChar">
    <w:name w:val="Body Text Char"/>
    <w:basedOn w:val="DefaultParagraphFont"/>
    <w:link w:val="BodyText"/>
    <w:rsid w:val="00AD679D"/>
    <w:rPr>
      <w:rFonts w:ascii="Arial" w:hAnsi="Arial"/>
      <w:sz w:val="24"/>
      <w:lang w:val="fr-CA"/>
    </w:rPr>
  </w:style>
  <w:style w:type="character" w:customStyle="1" w:styleId="HeaderChar">
    <w:name w:val="Header Char"/>
    <w:basedOn w:val="DefaultParagraphFont"/>
    <w:link w:val="Header"/>
    <w:uiPriority w:val="99"/>
    <w:rsid w:val="00FF15B4"/>
    <w:rPr>
      <w:rFonts w:ascii="Arial" w:hAnsi="Arial"/>
      <w:sz w:val="24"/>
      <w:lang w:val="fr-CA"/>
    </w:rPr>
  </w:style>
  <w:style w:type="paragraph" w:customStyle="1" w:styleId="Normal1">
    <w:name w:val="Normal1"/>
    <w:basedOn w:val="Normal"/>
    <w:rsid w:val="00ED26F2"/>
    <w:pPr>
      <w:spacing w:after="200" w:line="260" w:lineRule="atLeast"/>
    </w:pPr>
    <w:rPr>
      <w:rFonts w:ascii="Calibri" w:hAnsi="Calibri" w:cs="Calibri"/>
      <w:sz w:val="22"/>
      <w:szCs w:val="22"/>
    </w:rPr>
  </w:style>
  <w:style w:type="character" w:customStyle="1" w:styleId="normalchar1">
    <w:name w:val="normal__char1"/>
    <w:basedOn w:val="DefaultParagraphFont"/>
    <w:rsid w:val="00ED26F2"/>
    <w:rPr>
      <w:rFonts w:ascii="Calibri" w:hAnsi="Calibri" w:cs="Calibri" w:hint="default"/>
      <w:sz w:val="22"/>
      <w:szCs w:val="22"/>
    </w:rPr>
  </w:style>
  <w:style w:type="character" w:styleId="Emphasis">
    <w:name w:val="Emphasis"/>
    <w:basedOn w:val="DefaultParagraphFont"/>
    <w:qFormat/>
    <w:rsid w:val="009F35C7"/>
    <w:rPr>
      <w:i/>
      <w:iCs/>
    </w:rPr>
  </w:style>
  <w:style w:type="character" w:styleId="HTMLCite">
    <w:name w:val="HTML Cite"/>
    <w:basedOn w:val="DefaultParagraphFont"/>
    <w:uiPriority w:val="99"/>
    <w:semiHidden/>
    <w:unhideWhenUsed/>
    <w:rsid w:val="00C362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00399">
      <w:bodyDiv w:val="1"/>
      <w:marLeft w:val="0"/>
      <w:marRight w:val="0"/>
      <w:marTop w:val="0"/>
      <w:marBottom w:val="0"/>
      <w:divBdr>
        <w:top w:val="none" w:sz="0" w:space="0" w:color="auto"/>
        <w:left w:val="none" w:sz="0" w:space="0" w:color="auto"/>
        <w:bottom w:val="none" w:sz="0" w:space="0" w:color="auto"/>
        <w:right w:val="none" w:sz="0" w:space="0" w:color="auto"/>
      </w:divBdr>
    </w:div>
    <w:div w:id="372122556">
      <w:bodyDiv w:val="1"/>
      <w:marLeft w:val="0"/>
      <w:marRight w:val="0"/>
      <w:marTop w:val="0"/>
      <w:marBottom w:val="0"/>
      <w:divBdr>
        <w:top w:val="none" w:sz="0" w:space="0" w:color="auto"/>
        <w:left w:val="none" w:sz="0" w:space="0" w:color="auto"/>
        <w:bottom w:val="none" w:sz="0" w:space="0" w:color="auto"/>
        <w:right w:val="none" w:sz="0" w:space="0" w:color="auto"/>
      </w:divBdr>
    </w:div>
    <w:div w:id="425229424">
      <w:bodyDiv w:val="1"/>
      <w:marLeft w:val="0"/>
      <w:marRight w:val="0"/>
      <w:marTop w:val="0"/>
      <w:marBottom w:val="0"/>
      <w:divBdr>
        <w:top w:val="none" w:sz="0" w:space="0" w:color="auto"/>
        <w:left w:val="none" w:sz="0" w:space="0" w:color="auto"/>
        <w:bottom w:val="none" w:sz="0" w:space="0" w:color="auto"/>
        <w:right w:val="none" w:sz="0" w:space="0" w:color="auto"/>
      </w:divBdr>
    </w:div>
    <w:div w:id="539244653">
      <w:bodyDiv w:val="1"/>
      <w:marLeft w:val="0"/>
      <w:marRight w:val="0"/>
      <w:marTop w:val="0"/>
      <w:marBottom w:val="0"/>
      <w:divBdr>
        <w:top w:val="none" w:sz="0" w:space="0" w:color="auto"/>
        <w:left w:val="none" w:sz="0" w:space="0" w:color="auto"/>
        <w:bottom w:val="none" w:sz="0" w:space="0" w:color="auto"/>
        <w:right w:val="none" w:sz="0" w:space="0" w:color="auto"/>
      </w:divBdr>
    </w:div>
    <w:div w:id="604266267">
      <w:bodyDiv w:val="1"/>
      <w:marLeft w:val="0"/>
      <w:marRight w:val="0"/>
      <w:marTop w:val="0"/>
      <w:marBottom w:val="0"/>
      <w:divBdr>
        <w:top w:val="none" w:sz="0" w:space="0" w:color="auto"/>
        <w:left w:val="none" w:sz="0" w:space="0" w:color="auto"/>
        <w:bottom w:val="none" w:sz="0" w:space="0" w:color="auto"/>
        <w:right w:val="none" w:sz="0" w:space="0" w:color="auto"/>
      </w:divBdr>
    </w:div>
    <w:div w:id="713887278">
      <w:bodyDiv w:val="1"/>
      <w:marLeft w:val="0"/>
      <w:marRight w:val="0"/>
      <w:marTop w:val="0"/>
      <w:marBottom w:val="0"/>
      <w:divBdr>
        <w:top w:val="none" w:sz="0" w:space="0" w:color="auto"/>
        <w:left w:val="none" w:sz="0" w:space="0" w:color="auto"/>
        <w:bottom w:val="none" w:sz="0" w:space="0" w:color="auto"/>
        <w:right w:val="none" w:sz="0" w:space="0" w:color="auto"/>
      </w:divBdr>
      <w:divsChild>
        <w:div w:id="111559218">
          <w:marLeft w:val="274"/>
          <w:marRight w:val="0"/>
          <w:marTop w:val="0"/>
          <w:marBottom w:val="0"/>
          <w:divBdr>
            <w:top w:val="none" w:sz="0" w:space="0" w:color="auto"/>
            <w:left w:val="none" w:sz="0" w:space="0" w:color="auto"/>
            <w:bottom w:val="none" w:sz="0" w:space="0" w:color="auto"/>
            <w:right w:val="none" w:sz="0" w:space="0" w:color="auto"/>
          </w:divBdr>
        </w:div>
        <w:div w:id="247080843">
          <w:marLeft w:val="274"/>
          <w:marRight w:val="0"/>
          <w:marTop w:val="0"/>
          <w:marBottom w:val="0"/>
          <w:divBdr>
            <w:top w:val="none" w:sz="0" w:space="0" w:color="auto"/>
            <w:left w:val="none" w:sz="0" w:space="0" w:color="auto"/>
            <w:bottom w:val="none" w:sz="0" w:space="0" w:color="auto"/>
            <w:right w:val="none" w:sz="0" w:space="0" w:color="auto"/>
          </w:divBdr>
        </w:div>
        <w:div w:id="251789670">
          <w:marLeft w:val="274"/>
          <w:marRight w:val="0"/>
          <w:marTop w:val="0"/>
          <w:marBottom w:val="0"/>
          <w:divBdr>
            <w:top w:val="none" w:sz="0" w:space="0" w:color="auto"/>
            <w:left w:val="none" w:sz="0" w:space="0" w:color="auto"/>
            <w:bottom w:val="none" w:sz="0" w:space="0" w:color="auto"/>
            <w:right w:val="none" w:sz="0" w:space="0" w:color="auto"/>
          </w:divBdr>
        </w:div>
        <w:div w:id="447042295">
          <w:marLeft w:val="274"/>
          <w:marRight w:val="0"/>
          <w:marTop w:val="0"/>
          <w:marBottom w:val="0"/>
          <w:divBdr>
            <w:top w:val="none" w:sz="0" w:space="0" w:color="auto"/>
            <w:left w:val="none" w:sz="0" w:space="0" w:color="auto"/>
            <w:bottom w:val="none" w:sz="0" w:space="0" w:color="auto"/>
            <w:right w:val="none" w:sz="0" w:space="0" w:color="auto"/>
          </w:divBdr>
        </w:div>
        <w:div w:id="636229919">
          <w:marLeft w:val="274"/>
          <w:marRight w:val="0"/>
          <w:marTop w:val="0"/>
          <w:marBottom w:val="0"/>
          <w:divBdr>
            <w:top w:val="none" w:sz="0" w:space="0" w:color="auto"/>
            <w:left w:val="none" w:sz="0" w:space="0" w:color="auto"/>
            <w:bottom w:val="none" w:sz="0" w:space="0" w:color="auto"/>
            <w:right w:val="none" w:sz="0" w:space="0" w:color="auto"/>
          </w:divBdr>
        </w:div>
        <w:div w:id="740296737">
          <w:marLeft w:val="274"/>
          <w:marRight w:val="0"/>
          <w:marTop w:val="0"/>
          <w:marBottom w:val="0"/>
          <w:divBdr>
            <w:top w:val="none" w:sz="0" w:space="0" w:color="auto"/>
            <w:left w:val="none" w:sz="0" w:space="0" w:color="auto"/>
            <w:bottom w:val="none" w:sz="0" w:space="0" w:color="auto"/>
            <w:right w:val="none" w:sz="0" w:space="0" w:color="auto"/>
          </w:divBdr>
        </w:div>
        <w:div w:id="955672608">
          <w:marLeft w:val="274"/>
          <w:marRight w:val="0"/>
          <w:marTop w:val="0"/>
          <w:marBottom w:val="0"/>
          <w:divBdr>
            <w:top w:val="none" w:sz="0" w:space="0" w:color="auto"/>
            <w:left w:val="none" w:sz="0" w:space="0" w:color="auto"/>
            <w:bottom w:val="none" w:sz="0" w:space="0" w:color="auto"/>
            <w:right w:val="none" w:sz="0" w:space="0" w:color="auto"/>
          </w:divBdr>
        </w:div>
        <w:div w:id="1106265429">
          <w:marLeft w:val="274"/>
          <w:marRight w:val="0"/>
          <w:marTop w:val="0"/>
          <w:marBottom w:val="0"/>
          <w:divBdr>
            <w:top w:val="none" w:sz="0" w:space="0" w:color="auto"/>
            <w:left w:val="none" w:sz="0" w:space="0" w:color="auto"/>
            <w:bottom w:val="none" w:sz="0" w:space="0" w:color="auto"/>
            <w:right w:val="none" w:sz="0" w:space="0" w:color="auto"/>
          </w:divBdr>
        </w:div>
        <w:div w:id="1517190269">
          <w:marLeft w:val="274"/>
          <w:marRight w:val="0"/>
          <w:marTop w:val="0"/>
          <w:marBottom w:val="0"/>
          <w:divBdr>
            <w:top w:val="none" w:sz="0" w:space="0" w:color="auto"/>
            <w:left w:val="none" w:sz="0" w:space="0" w:color="auto"/>
            <w:bottom w:val="none" w:sz="0" w:space="0" w:color="auto"/>
            <w:right w:val="none" w:sz="0" w:space="0" w:color="auto"/>
          </w:divBdr>
        </w:div>
        <w:div w:id="1688411604">
          <w:marLeft w:val="274"/>
          <w:marRight w:val="0"/>
          <w:marTop w:val="0"/>
          <w:marBottom w:val="0"/>
          <w:divBdr>
            <w:top w:val="none" w:sz="0" w:space="0" w:color="auto"/>
            <w:left w:val="none" w:sz="0" w:space="0" w:color="auto"/>
            <w:bottom w:val="none" w:sz="0" w:space="0" w:color="auto"/>
            <w:right w:val="none" w:sz="0" w:space="0" w:color="auto"/>
          </w:divBdr>
        </w:div>
        <w:div w:id="1800680048">
          <w:marLeft w:val="274"/>
          <w:marRight w:val="0"/>
          <w:marTop w:val="0"/>
          <w:marBottom w:val="0"/>
          <w:divBdr>
            <w:top w:val="none" w:sz="0" w:space="0" w:color="auto"/>
            <w:left w:val="none" w:sz="0" w:space="0" w:color="auto"/>
            <w:bottom w:val="none" w:sz="0" w:space="0" w:color="auto"/>
            <w:right w:val="none" w:sz="0" w:space="0" w:color="auto"/>
          </w:divBdr>
        </w:div>
        <w:div w:id="1820926007">
          <w:marLeft w:val="274"/>
          <w:marRight w:val="0"/>
          <w:marTop w:val="0"/>
          <w:marBottom w:val="0"/>
          <w:divBdr>
            <w:top w:val="none" w:sz="0" w:space="0" w:color="auto"/>
            <w:left w:val="none" w:sz="0" w:space="0" w:color="auto"/>
            <w:bottom w:val="none" w:sz="0" w:space="0" w:color="auto"/>
            <w:right w:val="none" w:sz="0" w:space="0" w:color="auto"/>
          </w:divBdr>
        </w:div>
        <w:div w:id="1978997305">
          <w:marLeft w:val="274"/>
          <w:marRight w:val="0"/>
          <w:marTop w:val="0"/>
          <w:marBottom w:val="0"/>
          <w:divBdr>
            <w:top w:val="none" w:sz="0" w:space="0" w:color="auto"/>
            <w:left w:val="none" w:sz="0" w:space="0" w:color="auto"/>
            <w:bottom w:val="none" w:sz="0" w:space="0" w:color="auto"/>
            <w:right w:val="none" w:sz="0" w:space="0" w:color="auto"/>
          </w:divBdr>
        </w:div>
        <w:div w:id="2074084694">
          <w:marLeft w:val="274"/>
          <w:marRight w:val="0"/>
          <w:marTop w:val="0"/>
          <w:marBottom w:val="0"/>
          <w:divBdr>
            <w:top w:val="none" w:sz="0" w:space="0" w:color="auto"/>
            <w:left w:val="none" w:sz="0" w:space="0" w:color="auto"/>
            <w:bottom w:val="none" w:sz="0" w:space="0" w:color="auto"/>
            <w:right w:val="none" w:sz="0" w:space="0" w:color="auto"/>
          </w:divBdr>
        </w:div>
      </w:divsChild>
    </w:div>
    <w:div w:id="734856238">
      <w:bodyDiv w:val="1"/>
      <w:marLeft w:val="0"/>
      <w:marRight w:val="0"/>
      <w:marTop w:val="0"/>
      <w:marBottom w:val="0"/>
      <w:divBdr>
        <w:top w:val="none" w:sz="0" w:space="0" w:color="auto"/>
        <w:left w:val="none" w:sz="0" w:space="0" w:color="auto"/>
        <w:bottom w:val="none" w:sz="0" w:space="0" w:color="auto"/>
        <w:right w:val="none" w:sz="0" w:space="0" w:color="auto"/>
      </w:divBdr>
    </w:div>
    <w:div w:id="854802885">
      <w:bodyDiv w:val="1"/>
      <w:marLeft w:val="0"/>
      <w:marRight w:val="0"/>
      <w:marTop w:val="0"/>
      <w:marBottom w:val="0"/>
      <w:divBdr>
        <w:top w:val="none" w:sz="0" w:space="0" w:color="auto"/>
        <w:left w:val="none" w:sz="0" w:space="0" w:color="auto"/>
        <w:bottom w:val="none" w:sz="0" w:space="0" w:color="auto"/>
        <w:right w:val="none" w:sz="0" w:space="0" w:color="auto"/>
      </w:divBdr>
    </w:div>
    <w:div w:id="868030080">
      <w:bodyDiv w:val="1"/>
      <w:marLeft w:val="0"/>
      <w:marRight w:val="0"/>
      <w:marTop w:val="0"/>
      <w:marBottom w:val="0"/>
      <w:divBdr>
        <w:top w:val="none" w:sz="0" w:space="0" w:color="auto"/>
        <w:left w:val="none" w:sz="0" w:space="0" w:color="auto"/>
        <w:bottom w:val="none" w:sz="0" w:space="0" w:color="auto"/>
        <w:right w:val="none" w:sz="0" w:space="0" w:color="auto"/>
      </w:divBdr>
    </w:div>
    <w:div w:id="874149938">
      <w:bodyDiv w:val="1"/>
      <w:marLeft w:val="0"/>
      <w:marRight w:val="0"/>
      <w:marTop w:val="0"/>
      <w:marBottom w:val="0"/>
      <w:divBdr>
        <w:top w:val="none" w:sz="0" w:space="0" w:color="auto"/>
        <w:left w:val="none" w:sz="0" w:space="0" w:color="auto"/>
        <w:bottom w:val="none" w:sz="0" w:space="0" w:color="auto"/>
        <w:right w:val="none" w:sz="0" w:space="0" w:color="auto"/>
      </w:divBdr>
    </w:div>
    <w:div w:id="890386730">
      <w:bodyDiv w:val="1"/>
      <w:marLeft w:val="0"/>
      <w:marRight w:val="0"/>
      <w:marTop w:val="0"/>
      <w:marBottom w:val="0"/>
      <w:divBdr>
        <w:top w:val="none" w:sz="0" w:space="0" w:color="auto"/>
        <w:left w:val="none" w:sz="0" w:space="0" w:color="auto"/>
        <w:bottom w:val="none" w:sz="0" w:space="0" w:color="auto"/>
        <w:right w:val="none" w:sz="0" w:space="0" w:color="auto"/>
      </w:divBdr>
    </w:div>
    <w:div w:id="929968686">
      <w:bodyDiv w:val="1"/>
      <w:marLeft w:val="0"/>
      <w:marRight w:val="0"/>
      <w:marTop w:val="0"/>
      <w:marBottom w:val="0"/>
      <w:divBdr>
        <w:top w:val="none" w:sz="0" w:space="0" w:color="auto"/>
        <w:left w:val="none" w:sz="0" w:space="0" w:color="auto"/>
        <w:bottom w:val="none" w:sz="0" w:space="0" w:color="auto"/>
        <w:right w:val="none" w:sz="0" w:space="0" w:color="auto"/>
      </w:divBdr>
      <w:divsChild>
        <w:div w:id="1617328214">
          <w:marLeft w:val="1166"/>
          <w:marRight w:val="0"/>
          <w:marTop w:val="173"/>
          <w:marBottom w:val="0"/>
          <w:divBdr>
            <w:top w:val="none" w:sz="0" w:space="0" w:color="auto"/>
            <w:left w:val="none" w:sz="0" w:space="0" w:color="auto"/>
            <w:bottom w:val="none" w:sz="0" w:space="0" w:color="auto"/>
            <w:right w:val="none" w:sz="0" w:space="0" w:color="auto"/>
          </w:divBdr>
        </w:div>
      </w:divsChild>
    </w:div>
    <w:div w:id="944462630">
      <w:bodyDiv w:val="1"/>
      <w:marLeft w:val="0"/>
      <w:marRight w:val="0"/>
      <w:marTop w:val="0"/>
      <w:marBottom w:val="0"/>
      <w:divBdr>
        <w:top w:val="none" w:sz="0" w:space="0" w:color="auto"/>
        <w:left w:val="none" w:sz="0" w:space="0" w:color="auto"/>
        <w:bottom w:val="none" w:sz="0" w:space="0" w:color="auto"/>
        <w:right w:val="none" w:sz="0" w:space="0" w:color="auto"/>
      </w:divBdr>
    </w:div>
    <w:div w:id="1088117346">
      <w:bodyDiv w:val="1"/>
      <w:marLeft w:val="0"/>
      <w:marRight w:val="0"/>
      <w:marTop w:val="0"/>
      <w:marBottom w:val="0"/>
      <w:divBdr>
        <w:top w:val="none" w:sz="0" w:space="0" w:color="auto"/>
        <w:left w:val="none" w:sz="0" w:space="0" w:color="auto"/>
        <w:bottom w:val="none" w:sz="0" w:space="0" w:color="auto"/>
        <w:right w:val="none" w:sz="0" w:space="0" w:color="auto"/>
      </w:divBdr>
    </w:div>
    <w:div w:id="1117795944">
      <w:bodyDiv w:val="1"/>
      <w:marLeft w:val="0"/>
      <w:marRight w:val="0"/>
      <w:marTop w:val="0"/>
      <w:marBottom w:val="0"/>
      <w:divBdr>
        <w:top w:val="none" w:sz="0" w:space="0" w:color="auto"/>
        <w:left w:val="none" w:sz="0" w:space="0" w:color="auto"/>
        <w:bottom w:val="none" w:sz="0" w:space="0" w:color="auto"/>
        <w:right w:val="none" w:sz="0" w:space="0" w:color="auto"/>
      </w:divBdr>
    </w:div>
    <w:div w:id="1218858427">
      <w:bodyDiv w:val="1"/>
      <w:marLeft w:val="0"/>
      <w:marRight w:val="0"/>
      <w:marTop w:val="0"/>
      <w:marBottom w:val="0"/>
      <w:divBdr>
        <w:top w:val="none" w:sz="0" w:space="0" w:color="auto"/>
        <w:left w:val="none" w:sz="0" w:space="0" w:color="auto"/>
        <w:bottom w:val="none" w:sz="0" w:space="0" w:color="auto"/>
        <w:right w:val="none" w:sz="0" w:space="0" w:color="auto"/>
      </w:divBdr>
    </w:div>
    <w:div w:id="1219632171">
      <w:bodyDiv w:val="1"/>
      <w:marLeft w:val="0"/>
      <w:marRight w:val="0"/>
      <w:marTop w:val="0"/>
      <w:marBottom w:val="0"/>
      <w:divBdr>
        <w:top w:val="none" w:sz="0" w:space="0" w:color="auto"/>
        <w:left w:val="none" w:sz="0" w:space="0" w:color="auto"/>
        <w:bottom w:val="none" w:sz="0" w:space="0" w:color="auto"/>
        <w:right w:val="none" w:sz="0" w:space="0" w:color="auto"/>
      </w:divBdr>
    </w:div>
    <w:div w:id="1281689969">
      <w:bodyDiv w:val="1"/>
      <w:marLeft w:val="0"/>
      <w:marRight w:val="0"/>
      <w:marTop w:val="0"/>
      <w:marBottom w:val="0"/>
      <w:divBdr>
        <w:top w:val="none" w:sz="0" w:space="0" w:color="auto"/>
        <w:left w:val="none" w:sz="0" w:space="0" w:color="auto"/>
        <w:bottom w:val="none" w:sz="0" w:space="0" w:color="auto"/>
        <w:right w:val="none" w:sz="0" w:space="0" w:color="auto"/>
      </w:divBdr>
    </w:div>
    <w:div w:id="1299409995">
      <w:bodyDiv w:val="1"/>
      <w:marLeft w:val="0"/>
      <w:marRight w:val="0"/>
      <w:marTop w:val="0"/>
      <w:marBottom w:val="0"/>
      <w:divBdr>
        <w:top w:val="none" w:sz="0" w:space="0" w:color="auto"/>
        <w:left w:val="none" w:sz="0" w:space="0" w:color="auto"/>
        <w:bottom w:val="none" w:sz="0" w:space="0" w:color="auto"/>
        <w:right w:val="none" w:sz="0" w:space="0" w:color="auto"/>
      </w:divBdr>
    </w:div>
    <w:div w:id="1326275492">
      <w:bodyDiv w:val="1"/>
      <w:marLeft w:val="0"/>
      <w:marRight w:val="0"/>
      <w:marTop w:val="0"/>
      <w:marBottom w:val="0"/>
      <w:divBdr>
        <w:top w:val="none" w:sz="0" w:space="0" w:color="auto"/>
        <w:left w:val="none" w:sz="0" w:space="0" w:color="auto"/>
        <w:bottom w:val="none" w:sz="0" w:space="0" w:color="auto"/>
        <w:right w:val="none" w:sz="0" w:space="0" w:color="auto"/>
      </w:divBdr>
      <w:divsChild>
        <w:div w:id="132211">
          <w:marLeft w:val="274"/>
          <w:marRight w:val="0"/>
          <w:marTop w:val="0"/>
          <w:marBottom w:val="0"/>
          <w:divBdr>
            <w:top w:val="none" w:sz="0" w:space="0" w:color="auto"/>
            <w:left w:val="none" w:sz="0" w:space="0" w:color="auto"/>
            <w:bottom w:val="none" w:sz="0" w:space="0" w:color="auto"/>
            <w:right w:val="none" w:sz="0" w:space="0" w:color="auto"/>
          </w:divBdr>
        </w:div>
        <w:div w:id="81267101">
          <w:marLeft w:val="274"/>
          <w:marRight w:val="0"/>
          <w:marTop w:val="0"/>
          <w:marBottom w:val="0"/>
          <w:divBdr>
            <w:top w:val="none" w:sz="0" w:space="0" w:color="auto"/>
            <w:left w:val="none" w:sz="0" w:space="0" w:color="auto"/>
            <w:bottom w:val="none" w:sz="0" w:space="0" w:color="auto"/>
            <w:right w:val="none" w:sz="0" w:space="0" w:color="auto"/>
          </w:divBdr>
        </w:div>
        <w:div w:id="157503112">
          <w:marLeft w:val="274"/>
          <w:marRight w:val="0"/>
          <w:marTop w:val="0"/>
          <w:marBottom w:val="0"/>
          <w:divBdr>
            <w:top w:val="none" w:sz="0" w:space="0" w:color="auto"/>
            <w:left w:val="none" w:sz="0" w:space="0" w:color="auto"/>
            <w:bottom w:val="none" w:sz="0" w:space="0" w:color="auto"/>
            <w:right w:val="none" w:sz="0" w:space="0" w:color="auto"/>
          </w:divBdr>
        </w:div>
        <w:div w:id="217477976">
          <w:marLeft w:val="274"/>
          <w:marRight w:val="0"/>
          <w:marTop w:val="0"/>
          <w:marBottom w:val="0"/>
          <w:divBdr>
            <w:top w:val="none" w:sz="0" w:space="0" w:color="auto"/>
            <w:left w:val="none" w:sz="0" w:space="0" w:color="auto"/>
            <w:bottom w:val="none" w:sz="0" w:space="0" w:color="auto"/>
            <w:right w:val="none" w:sz="0" w:space="0" w:color="auto"/>
          </w:divBdr>
        </w:div>
        <w:div w:id="282424846">
          <w:marLeft w:val="274"/>
          <w:marRight w:val="0"/>
          <w:marTop w:val="0"/>
          <w:marBottom w:val="0"/>
          <w:divBdr>
            <w:top w:val="none" w:sz="0" w:space="0" w:color="auto"/>
            <w:left w:val="none" w:sz="0" w:space="0" w:color="auto"/>
            <w:bottom w:val="none" w:sz="0" w:space="0" w:color="auto"/>
            <w:right w:val="none" w:sz="0" w:space="0" w:color="auto"/>
          </w:divBdr>
        </w:div>
        <w:div w:id="601188721">
          <w:marLeft w:val="274"/>
          <w:marRight w:val="0"/>
          <w:marTop w:val="0"/>
          <w:marBottom w:val="0"/>
          <w:divBdr>
            <w:top w:val="none" w:sz="0" w:space="0" w:color="auto"/>
            <w:left w:val="none" w:sz="0" w:space="0" w:color="auto"/>
            <w:bottom w:val="none" w:sz="0" w:space="0" w:color="auto"/>
            <w:right w:val="none" w:sz="0" w:space="0" w:color="auto"/>
          </w:divBdr>
        </w:div>
        <w:div w:id="1005354532">
          <w:marLeft w:val="274"/>
          <w:marRight w:val="0"/>
          <w:marTop w:val="0"/>
          <w:marBottom w:val="0"/>
          <w:divBdr>
            <w:top w:val="none" w:sz="0" w:space="0" w:color="auto"/>
            <w:left w:val="none" w:sz="0" w:space="0" w:color="auto"/>
            <w:bottom w:val="none" w:sz="0" w:space="0" w:color="auto"/>
            <w:right w:val="none" w:sz="0" w:space="0" w:color="auto"/>
          </w:divBdr>
        </w:div>
        <w:div w:id="1049650958">
          <w:marLeft w:val="274"/>
          <w:marRight w:val="0"/>
          <w:marTop w:val="0"/>
          <w:marBottom w:val="0"/>
          <w:divBdr>
            <w:top w:val="none" w:sz="0" w:space="0" w:color="auto"/>
            <w:left w:val="none" w:sz="0" w:space="0" w:color="auto"/>
            <w:bottom w:val="none" w:sz="0" w:space="0" w:color="auto"/>
            <w:right w:val="none" w:sz="0" w:space="0" w:color="auto"/>
          </w:divBdr>
        </w:div>
        <w:div w:id="1648585036">
          <w:marLeft w:val="274"/>
          <w:marRight w:val="0"/>
          <w:marTop w:val="0"/>
          <w:marBottom w:val="0"/>
          <w:divBdr>
            <w:top w:val="none" w:sz="0" w:space="0" w:color="auto"/>
            <w:left w:val="none" w:sz="0" w:space="0" w:color="auto"/>
            <w:bottom w:val="none" w:sz="0" w:space="0" w:color="auto"/>
            <w:right w:val="none" w:sz="0" w:space="0" w:color="auto"/>
          </w:divBdr>
        </w:div>
        <w:div w:id="1819420667">
          <w:marLeft w:val="274"/>
          <w:marRight w:val="0"/>
          <w:marTop w:val="0"/>
          <w:marBottom w:val="0"/>
          <w:divBdr>
            <w:top w:val="none" w:sz="0" w:space="0" w:color="auto"/>
            <w:left w:val="none" w:sz="0" w:space="0" w:color="auto"/>
            <w:bottom w:val="none" w:sz="0" w:space="0" w:color="auto"/>
            <w:right w:val="none" w:sz="0" w:space="0" w:color="auto"/>
          </w:divBdr>
        </w:div>
        <w:div w:id="1855269810">
          <w:marLeft w:val="274"/>
          <w:marRight w:val="0"/>
          <w:marTop w:val="0"/>
          <w:marBottom w:val="0"/>
          <w:divBdr>
            <w:top w:val="none" w:sz="0" w:space="0" w:color="auto"/>
            <w:left w:val="none" w:sz="0" w:space="0" w:color="auto"/>
            <w:bottom w:val="none" w:sz="0" w:space="0" w:color="auto"/>
            <w:right w:val="none" w:sz="0" w:space="0" w:color="auto"/>
          </w:divBdr>
        </w:div>
        <w:div w:id="1884247455">
          <w:marLeft w:val="274"/>
          <w:marRight w:val="0"/>
          <w:marTop w:val="0"/>
          <w:marBottom w:val="0"/>
          <w:divBdr>
            <w:top w:val="none" w:sz="0" w:space="0" w:color="auto"/>
            <w:left w:val="none" w:sz="0" w:space="0" w:color="auto"/>
            <w:bottom w:val="none" w:sz="0" w:space="0" w:color="auto"/>
            <w:right w:val="none" w:sz="0" w:space="0" w:color="auto"/>
          </w:divBdr>
        </w:div>
        <w:div w:id="2016884696">
          <w:marLeft w:val="274"/>
          <w:marRight w:val="0"/>
          <w:marTop w:val="0"/>
          <w:marBottom w:val="0"/>
          <w:divBdr>
            <w:top w:val="none" w:sz="0" w:space="0" w:color="auto"/>
            <w:left w:val="none" w:sz="0" w:space="0" w:color="auto"/>
            <w:bottom w:val="none" w:sz="0" w:space="0" w:color="auto"/>
            <w:right w:val="none" w:sz="0" w:space="0" w:color="auto"/>
          </w:divBdr>
        </w:div>
        <w:div w:id="2029023634">
          <w:marLeft w:val="274"/>
          <w:marRight w:val="0"/>
          <w:marTop w:val="0"/>
          <w:marBottom w:val="0"/>
          <w:divBdr>
            <w:top w:val="none" w:sz="0" w:space="0" w:color="auto"/>
            <w:left w:val="none" w:sz="0" w:space="0" w:color="auto"/>
            <w:bottom w:val="none" w:sz="0" w:space="0" w:color="auto"/>
            <w:right w:val="none" w:sz="0" w:space="0" w:color="auto"/>
          </w:divBdr>
        </w:div>
      </w:divsChild>
    </w:div>
    <w:div w:id="1457404533">
      <w:bodyDiv w:val="1"/>
      <w:marLeft w:val="0"/>
      <w:marRight w:val="0"/>
      <w:marTop w:val="0"/>
      <w:marBottom w:val="0"/>
      <w:divBdr>
        <w:top w:val="none" w:sz="0" w:space="0" w:color="auto"/>
        <w:left w:val="none" w:sz="0" w:space="0" w:color="auto"/>
        <w:bottom w:val="none" w:sz="0" w:space="0" w:color="auto"/>
        <w:right w:val="none" w:sz="0" w:space="0" w:color="auto"/>
      </w:divBdr>
    </w:div>
    <w:div w:id="1573731738">
      <w:bodyDiv w:val="1"/>
      <w:marLeft w:val="1440"/>
      <w:marRight w:val="1440"/>
      <w:marTop w:val="1440"/>
      <w:marBottom w:val="1440"/>
      <w:divBdr>
        <w:top w:val="none" w:sz="0" w:space="0" w:color="auto"/>
        <w:left w:val="none" w:sz="0" w:space="0" w:color="auto"/>
        <w:bottom w:val="none" w:sz="0" w:space="0" w:color="auto"/>
        <w:right w:val="none" w:sz="0" w:space="0" w:color="auto"/>
      </w:divBdr>
    </w:div>
    <w:div w:id="1581599180">
      <w:bodyDiv w:val="1"/>
      <w:marLeft w:val="0"/>
      <w:marRight w:val="0"/>
      <w:marTop w:val="0"/>
      <w:marBottom w:val="0"/>
      <w:divBdr>
        <w:top w:val="none" w:sz="0" w:space="0" w:color="auto"/>
        <w:left w:val="none" w:sz="0" w:space="0" w:color="auto"/>
        <w:bottom w:val="none" w:sz="0" w:space="0" w:color="auto"/>
        <w:right w:val="none" w:sz="0" w:space="0" w:color="auto"/>
      </w:divBdr>
    </w:div>
    <w:div w:id="180152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aws-lois.justice.gc.ca/fra/reglements/DORS-2007-237/?pedisable=true"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laws-lois.justice.gc.ca/fra/lois/f-14/" TargetMode="Externa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ontario.ca/fr/lois/loi/97f4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CAAFD-B319-454C-8587-A3F33F52E2EB}">
  <ds:schemaRefs>
    <ds:schemaRef ds:uri="http://schemas.openxmlformats.org/officeDocument/2006/bibliography"/>
  </ds:schemaRefs>
</ds:datastoreItem>
</file>

<file path=customXml/itemProps2.xml><?xml version="1.0" encoding="utf-8"?>
<ds:datastoreItem xmlns:ds="http://schemas.openxmlformats.org/officeDocument/2006/customXml" ds:itemID="{6C99D368-CC10-4B10-9E71-E6F96AAC8B4E}">
  <ds:schemaRefs>
    <ds:schemaRef ds:uri="http://schemas.openxmlformats.org/officeDocument/2006/bibliography"/>
  </ds:schemaRefs>
</ds:datastoreItem>
</file>

<file path=customXml/itemProps3.xml><?xml version="1.0" encoding="utf-8"?>
<ds:datastoreItem xmlns:ds="http://schemas.openxmlformats.org/officeDocument/2006/customXml" ds:itemID="{9FF11E31-D9A6-46D3-A3A0-50552D4B2119}">
  <ds:schemaRefs>
    <ds:schemaRef ds:uri="http://schemas.openxmlformats.org/officeDocument/2006/bibliography"/>
  </ds:schemaRefs>
</ds:datastoreItem>
</file>

<file path=customXml/itemProps4.xml><?xml version="1.0" encoding="utf-8"?>
<ds:datastoreItem xmlns:ds="http://schemas.openxmlformats.org/officeDocument/2006/customXml" ds:itemID="{A1FDB44A-B79C-4F3F-9CBD-ADE619842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6607</Words>
  <Characters>37663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44182</CharactersWithSpaces>
  <SharedDoc>false</SharedDoc>
  <HLinks>
    <vt:vector size="282" baseType="variant">
      <vt:variant>
        <vt:i4>1572951</vt:i4>
      </vt:variant>
      <vt:variant>
        <vt:i4>269</vt:i4>
      </vt:variant>
      <vt:variant>
        <vt:i4>0</vt:i4>
      </vt:variant>
      <vt:variant>
        <vt:i4>5</vt:i4>
      </vt:variant>
      <vt:variant>
        <vt:lpwstr>https://www.ontario.ca/document/policy-guidance-harm-and-harass-under-endangered-species-act</vt:lpwstr>
      </vt:variant>
      <vt:variant>
        <vt:lpwstr/>
      </vt:variant>
      <vt:variant>
        <vt:i4>4390953</vt:i4>
      </vt:variant>
      <vt:variant>
        <vt:i4>266</vt:i4>
      </vt:variant>
      <vt:variant>
        <vt:i4>0</vt:i4>
      </vt:variant>
      <vt:variant>
        <vt:i4>5</vt:i4>
      </vt:variant>
      <vt:variant>
        <vt:lpwstr>http://files.ontario.ca/environment-and-energy/species-at-risk/stdprod_093115.pdf</vt:lpwstr>
      </vt:variant>
      <vt:variant>
        <vt:lpwstr/>
      </vt:variant>
      <vt:variant>
        <vt:i4>720897</vt:i4>
      </vt:variant>
      <vt:variant>
        <vt:i4>263</vt:i4>
      </vt:variant>
      <vt:variant>
        <vt:i4>0</vt:i4>
      </vt:variant>
      <vt:variant>
        <vt:i4>5</vt:i4>
      </vt:variant>
      <vt:variant>
        <vt:lpwstr>https://www.ontario.ca/document/categorizing-and-protecting-habitat-under-endangered-species-act</vt:lpwstr>
      </vt:variant>
      <vt:variant>
        <vt:lpwstr/>
      </vt:variant>
      <vt:variant>
        <vt:i4>262152</vt:i4>
      </vt:variant>
      <vt:variant>
        <vt:i4>260</vt:i4>
      </vt:variant>
      <vt:variant>
        <vt:i4>0</vt:i4>
      </vt:variant>
      <vt:variant>
        <vt:i4>5</vt:i4>
      </vt:variant>
      <vt:variant>
        <vt:lpwstr>http://www.ontario.ca/laws/regulation/080230</vt:lpwstr>
      </vt:variant>
      <vt:variant>
        <vt:lpwstr/>
      </vt:variant>
      <vt:variant>
        <vt:i4>1179665</vt:i4>
      </vt:variant>
      <vt:variant>
        <vt:i4>257</vt:i4>
      </vt:variant>
      <vt:variant>
        <vt:i4>0</vt:i4>
      </vt:variant>
      <vt:variant>
        <vt:i4>5</vt:i4>
      </vt:variant>
      <vt:variant>
        <vt:lpwstr>http://www.ontario.ca/laws/statute/07e06</vt:lpwstr>
      </vt:variant>
      <vt:variant>
        <vt:lpwstr/>
      </vt:variant>
      <vt:variant>
        <vt:i4>1310771</vt:i4>
      </vt:variant>
      <vt:variant>
        <vt:i4>250</vt:i4>
      </vt:variant>
      <vt:variant>
        <vt:i4>0</vt:i4>
      </vt:variant>
      <vt:variant>
        <vt:i4>5</vt:i4>
      </vt:variant>
      <vt:variant>
        <vt:lpwstr/>
      </vt:variant>
      <vt:variant>
        <vt:lpwstr>_Toc450632422</vt:lpwstr>
      </vt:variant>
      <vt:variant>
        <vt:i4>1310771</vt:i4>
      </vt:variant>
      <vt:variant>
        <vt:i4>244</vt:i4>
      </vt:variant>
      <vt:variant>
        <vt:i4>0</vt:i4>
      </vt:variant>
      <vt:variant>
        <vt:i4>5</vt:i4>
      </vt:variant>
      <vt:variant>
        <vt:lpwstr/>
      </vt:variant>
      <vt:variant>
        <vt:lpwstr>_Toc450632421</vt:lpwstr>
      </vt:variant>
      <vt:variant>
        <vt:i4>1310771</vt:i4>
      </vt:variant>
      <vt:variant>
        <vt:i4>238</vt:i4>
      </vt:variant>
      <vt:variant>
        <vt:i4>0</vt:i4>
      </vt:variant>
      <vt:variant>
        <vt:i4>5</vt:i4>
      </vt:variant>
      <vt:variant>
        <vt:lpwstr/>
      </vt:variant>
      <vt:variant>
        <vt:lpwstr>_Toc450632420</vt:lpwstr>
      </vt:variant>
      <vt:variant>
        <vt:i4>1507379</vt:i4>
      </vt:variant>
      <vt:variant>
        <vt:i4>232</vt:i4>
      </vt:variant>
      <vt:variant>
        <vt:i4>0</vt:i4>
      </vt:variant>
      <vt:variant>
        <vt:i4>5</vt:i4>
      </vt:variant>
      <vt:variant>
        <vt:lpwstr/>
      </vt:variant>
      <vt:variant>
        <vt:lpwstr>_Toc450632419</vt:lpwstr>
      </vt:variant>
      <vt:variant>
        <vt:i4>1507379</vt:i4>
      </vt:variant>
      <vt:variant>
        <vt:i4>226</vt:i4>
      </vt:variant>
      <vt:variant>
        <vt:i4>0</vt:i4>
      </vt:variant>
      <vt:variant>
        <vt:i4>5</vt:i4>
      </vt:variant>
      <vt:variant>
        <vt:lpwstr/>
      </vt:variant>
      <vt:variant>
        <vt:lpwstr>_Toc450632418</vt:lpwstr>
      </vt:variant>
      <vt:variant>
        <vt:i4>1507379</vt:i4>
      </vt:variant>
      <vt:variant>
        <vt:i4>220</vt:i4>
      </vt:variant>
      <vt:variant>
        <vt:i4>0</vt:i4>
      </vt:variant>
      <vt:variant>
        <vt:i4>5</vt:i4>
      </vt:variant>
      <vt:variant>
        <vt:lpwstr/>
      </vt:variant>
      <vt:variant>
        <vt:lpwstr>_Toc450632417</vt:lpwstr>
      </vt:variant>
      <vt:variant>
        <vt:i4>1507379</vt:i4>
      </vt:variant>
      <vt:variant>
        <vt:i4>214</vt:i4>
      </vt:variant>
      <vt:variant>
        <vt:i4>0</vt:i4>
      </vt:variant>
      <vt:variant>
        <vt:i4>5</vt:i4>
      </vt:variant>
      <vt:variant>
        <vt:lpwstr/>
      </vt:variant>
      <vt:variant>
        <vt:lpwstr>_Toc450632416</vt:lpwstr>
      </vt:variant>
      <vt:variant>
        <vt:i4>1507379</vt:i4>
      </vt:variant>
      <vt:variant>
        <vt:i4>208</vt:i4>
      </vt:variant>
      <vt:variant>
        <vt:i4>0</vt:i4>
      </vt:variant>
      <vt:variant>
        <vt:i4>5</vt:i4>
      </vt:variant>
      <vt:variant>
        <vt:lpwstr/>
      </vt:variant>
      <vt:variant>
        <vt:lpwstr>_Toc450632415</vt:lpwstr>
      </vt:variant>
      <vt:variant>
        <vt:i4>1507379</vt:i4>
      </vt:variant>
      <vt:variant>
        <vt:i4>202</vt:i4>
      </vt:variant>
      <vt:variant>
        <vt:i4>0</vt:i4>
      </vt:variant>
      <vt:variant>
        <vt:i4>5</vt:i4>
      </vt:variant>
      <vt:variant>
        <vt:lpwstr/>
      </vt:variant>
      <vt:variant>
        <vt:lpwstr>_Toc450632414</vt:lpwstr>
      </vt:variant>
      <vt:variant>
        <vt:i4>1507379</vt:i4>
      </vt:variant>
      <vt:variant>
        <vt:i4>196</vt:i4>
      </vt:variant>
      <vt:variant>
        <vt:i4>0</vt:i4>
      </vt:variant>
      <vt:variant>
        <vt:i4>5</vt:i4>
      </vt:variant>
      <vt:variant>
        <vt:lpwstr/>
      </vt:variant>
      <vt:variant>
        <vt:lpwstr>_Toc450632413</vt:lpwstr>
      </vt:variant>
      <vt:variant>
        <vt:i4>1507379</vt:i4>
      </vt:variant>
      <vt:variant>
        <vt:i4>190</vt:i4>
      </vt:variant>
      <vt:variant>
        <vt:i4>0</vt:i4>
      </vt:variant>
      <vt:variant>
        <vt:i4>5</vt:i4>
      </vt:variant>
      <vt:variant>
        <vt:lpwstr/>
      </vt:variant>
      <vt:variant>
        <vt:lpwstr>_Toc450632412</vt:lpwstr>
      </vt:variant>
      <vt:variant>
        <vt:i4>1507379</vt:i4>
      </vt:variant>
      <vt:variant>
        <vt:i4>184</vt:i4>
      </vt:variant>
      <vt:variant>
        <vt:i4>0</vt:i4>
      </vt:variant>
      <vt:variant>
        <vt:i4>5</vt:i4>
      </vt:variant>
      <vt:variant>
        <vt:lpwstr/>
      </vt:variant>
      <vt:variant>
        <vt:lpwstr>_Toc450632411</vt:lpwstr>
      </vt:variant>
      <vt:variant>
        <vt:i4>1507379</vt:i4>
      </vt:variant>
      <vt:variant>
        <vt:i4>178</vt:i4>
      </vt:variant>
      <vt:variant>
        <vt:i4>0</vt:i4>
      </vt:variant>
      <vt:variant>
        <vt:i4>5</vt:i4>
      </vt:variant>
      <vt:variant>
        <vt:lpwstr/>
      </vt:variant>
      <vt:variant>
        <vt:lpwstr>_Toc450632410</vt:lpwstr>
      </vt:variant>
      <vt:variant>
        <vt:i4>1441843</vt:i4>
      </vt:variant>
      <vt:variant>
        <vt:i4>172</vt:i4>
      </vt:variant>
      <vt:variant>
        <vt:i4>0</vt:i4>
      </vt:variant>
      <vt:variant>
        <vt:i4>5</vt:i4>
      </vt:variant>
      <vt:variant>
        <vt:lpwstr/>
      </vt:variant>
      <vt:variant>
        <vt:lpwstr>_Toc450632409</vt:lpwstr>
      </vt:variant>
      <vt:variant>
        <vt:i4>1441843</vt:i4>
      </vt:variant>
      <vt:variant>
        <vt:i4>166</vt:i4>
      </vt:variant>
      <vt:variant>
        <vt:i4>0</vt:i4>
      </vt:variant>
      <vt:variant>
        <vt:i4>5</vt:i4>
      </vt:variant>
      <vt:variant>
        <vt:lpwstr/>
      </vt:variant>
      <vt:variant>
        <vt:lpwstr>_Toc450632408</vt:lpwstr>
      </vt:variant>
      <vt:variant>
        <vt:i4>1441843</vt:i4>
      </vt:variant>
      <vt:variant>
        <vt:i4>160</vt:i4>
      </vt:variant>
      <vt:variant>
        <vt:i4>0</vt:i4>
      </vt:variant>
      <vt:variant>
        <vt:i4>5</vt:i4>
      </vt:variant>
      <vt:variant>
        <vt:lpwstr/>
      </vt:variant>
      <vt:variant>
        <vt:lpwstr>_Toc450632407</vt:lpwstr>
      </vt:variant>
      <vt:variant>
        <vt:i4>1441843</vt:i4>
      </vt:variant>
      <vt:variant>
        <vt:i4>154</vt:i4>
      </vt:variant>
      <vt:variant>
        <vt:i4>0</vt:i4>
      </vt:variant>
      <vt:variant>
        <vt:i4>5</vt:i4>
      </vt:variant>
      <vt:variant>
        <vt:lpwstr/>
      </vt:variant>
      <vt:variant>
        <vt:lpwstr>_Toc450632406</vt:lpwstr>
      </vt:variant>
      <vt:variant>
        <vt:i4>1441843</vt:i4>
      </vt:variant>
      <vt:variant>
        <vt:i4>148</vt:i4>
      </vt:variant>
      <vt:variant>
        <vt:i4>0</vt:i4>
      </vt:variant>
      <vt:variant>
        <vt:i4>5</vt:i4>
      </vt:variant>
      <vt:variant>
        <vt:lpwstr/>
      </vt:variant>
      <vt:variant>
        <vt:lpwstr>_Toc450632405</vt:lpwstr>
      </vt:variant>
      <vt:variant>
        <vt:i4>1441843</vt:i4>
      </vt:variant>
      <vt:variant>
        <vt:i4>142</vt:i4>
      </vt:variant>
      <vt:variant>
        <vt:i4>0</vt:i4>
      </vt:variant>
      <vt:variant>
        <vt:i4>5</vt:i4>
      </vt:variant>
      <vt:variant>
        <vt:lpwstr/>
      </vt:variant>
      <vt:variant>
        <vt:lpwstr>_Toc450632404</vt:lpwstr>
      </vt:variant>
      <vt:variant>
        <vt:i4>1441843</vt:i4>
      </vt:variant>
      <vt:variant>
        <vt:i4>136</vt:i4>
      </vt:variant>
      <vt:variant>
        <vt:i4>0</vt:i4>
      </vt:variant>
      <vt:variant>
        <vt:i4>5</vt:i4>
      </vt:variant>
      <vt:variant>
        <vt:lpwstr/>
      </vt:variant>
      <vt:variant>
        <vt:lpwstr>_Toc450632403</vt:lpwstr>
      </vt:variant>
      <vt:variant>
        <vt:i4>1441843</vt:i4>
      </vt:variant>
      <vt:variant>
        <vt:i4>130</vt:i4>
      </vt:variant>
      <vt:variant>
        <vt:i4>0</vt:i4>
      </vt:variant>
      <vt:variant>
        <vt:i4>5</vt:i4>
      </vt:variant>
      <vt:variant>
        <vt:lpwstr/>
      </vt:variant>
      <vt:variant>
        <vt:lpwstr>_Toc450632402</vt:lpwstr>
      </vt:variant>
      <vt:variant>
        <vt:i4>1441843</vt:i4>
      </vt:variant>
      <vt:variant>
        <vt:i4>124</vt:i4>
      </vt:variant>
      <vt:variant>
        <vt:i4>0</vt:i4>
      </vt:variant>
      <vt:variant>
        <vt:i4>5</vt:i4>
      </vt:variant>
      <vt:variant>
        <vt:lpwstr/>
      </vt:variant>
      <vt:variant>
        <vt:lpwstr>_Toc450632401</vt:lpwstr>
      </vt:variant>
      <vt:variant>
        <vt:i4>1441843</vt:i4>
      </vt:variant>
      <vt:variant>
        <vt:i4>118</vt:i4>
      </vt:variant>
      <vt:variant>
        <vt:i4>0</vt:i4>
      </vt:variant>
      <vt:variant>
        <vt:i4>5</vt:i4>
      </vt:variant>
      <vt:variant>
        <vt:lpwstr/>
      </vt:variant>
      <vt:variant>
        <vt:lpwstr>_Toc450632400</vt:lpwstr>
      </vt:variant>
      <vt:variant>
        <vt:i4>2031668</vt:i4>
      </vt:variant>
      <vt:variant>
        <vt:i4>112</vt:i4>
      </vt:variant>
      <vt:variant>
        <vt:i4>0</vt:i4>
      </vt:variant>
      <vt:variant>
        <vt:i4>5</vt:i4>
      </vt:variant>
      <vt:variant>
        <vt:lpwstr/>
      </vt:variant>
      <vt:variant>
        <vt:lpwstr>_Toc450632399</vt:lpwstr>
      </vt:variant>
      <vt:variant>
        <vt:i4>2031668</vt:i4>
      </vt:variant>
      <vt:variant>
        <vt:i4>106</vt:i4>
      </vt:variant>
      <vt:variant>
        <vt:i4>0</vt:i4>
      </vt:variant>
      <vt:variant>
        <vt:i4>5</vt:i4>
      </vt:variant>
      <vt:variant>
        <vt:lpwstr/>
      </vt:variant>
      <vt:variant>
        <vt:lpwstr>_Toc450632398</vt:lpwstr>
      </vt:variant>
      <vt:variant>
        <vt:i4>2031668</vt:i4>
      </vt:variant>
      <vt:variant>
        <vt:i4>100</vt:i4>
      </vt:variant>
      <vt:variant>
        <vt:i4>0</vt:i4>
      </vt:variant>
      <vt:variant>
        <vt:i4>5</vt:i4>
      </vt:variant>
      <vt:variant>
        <vt:lpwstr/>
      </vt:variant>
      <vt:variant>
        <vt:lpwstr>_Toc450632397</vt:lpwstr>
      </vt:variant>
      <vt:variant>
        <vt:i4>2031668</vt:i4>
      </vt:variant>
      <vt:variant>
        <vt:i4>94</vt:i4>
      </vt:variant>
      <vt:variant>
        <vt:i4>0</vt:i4>
      </vt:variant>
      <vt:variant>
        <vt:i4>5</vt:i4>
      </vt:variant>
      <vt:variant>
        <vt:lpwstr/>
      </vt:variant>
      <vt:variant>
        <vt:lpwstr>_Toc450632396</vt:lpwstr>
      </vt:variant>
      <vt:variant>
        <vt:i4>2031668</vt:i4>
      </vt:variant>
      <vt:variant>
        <vt:i4>88</vt:i4>
      </vt:variant>
      <vt:variant>
        <vt:i4>0</vt:i4>
      </vt:variant>
      <vt:variant>
        <vt:i4>5</vt:i4>
      </vt:variant>
      <vt:variant>
        <vt:lpwstr/>
      </vt:variant>
      <vt:variant>
        <vt:lpwstr>_Toc450632395</vt:lpwstr>
      </vt:variant>
      <vt:variant>
        <vt:i4>2031668</vt:i4>
      </vt:variant>
      <vt:variant>
        <vt:i4>82</vt:i4>
      </vt:variant>
      <vt:variant>
        <vt:i4>0</vt:i4>
      </vt:variant>
      <vt:variant>
        <vt:i4>5</vt:i4>
      </vt:variant>
      <vt:variant>
        <vt:lpwstr/>
      </vt:variant>
      <vt:variant>
        <vt:lpwstr>_Toc450632394</vt:lpwstr>
      </vt:variant>
      <vt:variant>
        <vt:i4>2031668</vt:i4>
      </vt:variant>
      <vt:variant>
        <vt:i4>76</vt:i4>
      </vt:variant>
      <vt:variant>
        <vt:i4>0</vt:i4>
      </vt:variant>
      <vt:variant>
        <vt:i4>5</vt:i4>
      </vt:variant>
      <vt:variant>
        <vt:lpwstr/>
      </vt:variant>
      <vt:variant>
        <vt:lpwstr>_Toc450632393</vt:lpwstr>
      </vt:variant>
      <vt:variant>
        <vt:i4>2031668</vt:i4>
      </vt:variant>
      <vt:variant>
        <vt:i4>70</vt:i4>
      </vt:variant>
      <vt:variant>
        <vt:i4>0</vt:i4>
      </vt:variant>
      <vt:variant>
        <vt:i4>5</vt:i4>
      </vt:variant>
      <vt:variant>
        <vt:lpwstr/>
      </vt:variant>
      <vt:variant>
        <vt:lpwstr>_Toc450632392</vt:lpwstr>
      </vt:variant>
      <vt:variant>
        <vt:i4>2031668</vt:i4>
      </vt:variant>
      <vt:variant>
        <vt:i4>64</vt:i4>
      </vt:variant>
      <vt:variant>
        <vt:i4>0</vt:i4>
      </vt:variant>
      <vt:variant>
        <vt:i4>5</vt:i4>
      </vt:variant>
      <vt:variant>
        <vt:lpwstr/>
      </vt:variant>
      <vt:variant>
        <vt:lpwstr>_Toc450632391</vt:lpwstr>
      </vt:variant>
      <vt:variant>
        <vt:i4>2031668</vt:i4>
      </vt:variant>
      <vt:variant>
        <vt:i4>58</vt:i4>
      </vt:variant>
      <vt:variant>
        <vt:i4>0</vt:i4>
      </vt:variant>
      <vt:variant>
        <vt:i4>5</vt:i4>
      </vt:variant>
      <vt:variant>
        <vt:lpwstr/>
      </vt:variant>
      <vt:variant>
        <vt:lpwstr>_Toc450632390</vt:lpwstr>
      </vt:variant>
      <vt:variant>
        <vt:i4>1966132</vt:i4>
      </vt:variant>
      <vt:variant>
        <vt:i4>52</vt:i4>
      </vt:variant>
      <vt:variant>
        <vt:i4>0</vt:i4>
      </vt:variant>
      <vt:variant>
        <vt:i4>5</vt:i4>
      </vt:variant>
      <vt:variant>
        <vt:lpwstr/>
      </vt:variant>
      <vt:variant>
        <vt:lpwstr>_Toc450632389</vt:lpwstr>
      </vt:variant>
      <vt:variant>
        <vt:i4>1966132</vt:i4>
      </vt:variant>
      <vt:variant>
        <vt:i4>46</vt:i4>
      </vt:variant>
      <vt:variant>
        <vt:i4>0</vt:i4>
      </vt:variant>
      <vt:variant>
        <vt:i4>5</vt:i4>
      </vt:variant>
      <vt:variant>
        <vt:lpwstr/>
      </vt:variant>
      <vt:variant>
        <vt:lpwstr>_Toc450632388</vt:lpwstr>
      </vt:variant>
      <vt:variant>
        <vt:i4>1966132</vt:i4>
      </vt:variant>
      <vt:variant>
        <vt:i4>40</vt:i4>
      </vt:variant>
      <vt:variant>
        <vt:i4>0</vt:i4>
      </vt:variant>
      <vt:variant>
        <vt:i4>5</vt:i4>
      </vt:variant>
      <vt:variant>
        <vt:lpwstr/>
      </vt:variant>
      <vt:variant>
        <vt:lpwstr>_Toc450632387</vt:lpwstr>
      </vt:variant>
      <vt:variant>
        <vt:i4>1966132</vt:i4>
      </vt:variant>
      <vt:variant>
        <vt:i4>34</vt:i4>
      </vt:variant>
      <vt:variant>
        <vt:i4>0</vt:i4>
      </vt:variant>
      <vt:variant>
        <vt:i4>5</vt:i4>
      </vt:variant>
      <vt:variant>
        <vt:lpwstr/>
      </vt:variant>
      <vt:variant>
        <vt:lpwstr>_Toc450632386</vt:lpwstr>
      </vt:variant>
      <vt:variant>
        <vt:i4>1966132</vt:i4>
      </vt:variant>
      <vt:variant>
        <vt:i4>28</vt:i4>
      </vt:variant>
      <vt:variant>
        <vt:i4>0</vt:i4>
      </vt:variant>
      <vt:variant>
        <vt:i4>5</vt:i4>
      </vt:variant>
      <vt:variant>
        <vt:lpwstr/>
      </vt:variant>
      <vt:variant>
        <vt:lpwstr>_Toc450632385</vt:lpwstr>
      </vt:variant>
      <vt:variant>
        <vt:i4>1966132</vt:i4>
      </vt:variant>
      <vt:variant>
        <vt:i4>22</vt:i4>
      </vt:variant>
      <vt:variant>
        <vt:i4>0</vt:i4>
      </vt:variant>
      <vt:variant>
        <vt:i4>5</vt:i4>
      </vt:variant>
      <vt:variant>
        <vt:lpwstr/>
      </vt:variant>
      <vt:variant>
        <vt:lpwstr>_Toc450632384</vt:lpwstr>
      </vt:variant>
      <vt:variant>
        <vt:i4>1966132</vt:i4>
      </vt:variant>
      <vt:variant>
        <vt:i4>16</vt:i4>
      </vt:variant>
      <vt:variant>
        <vt:i4>0</vt:i4>
      </vt:variant>
      <vt:variant>
        <vt:i4>5</vt:i4>
      </vt:variant>
      <vt:variant>
        <vt:lpwstr/>
      </vt:variant>
      <vt:variant>
        <vt:lpwstr>_Toc450632383</vt:lpwstr>
      </vt:variant>
      <vt:variant>
        <vt:i4>1966132</vt:i4>
      </vt:variant>
      <vt:variant>
        <vt:i4>10</vt:i4>
      </vt:variant>
      <vt:variant>
        <vt:i4>0</vt:i4>
      </vt:variant>
      <vt:variant>
        <vt:i4>5</vt:i4>
      </vt:variant>
      <vt:variant>
        <vt:lpwstr/>
      </vt:variant>
      <vt:variant>
        <vt:lpwstr>_Toc450632382</vt:lpwstr>
      </vt:variant>
      <vt:variant>
        <vt:i4>1966132</vt:i4>
      </vt:variant>
      <vt:variant>
        <vt:i4>4</vt:i4>
      </vt:variant>
      <vt:variant>
        <vt:i4>0</vt:i4>
      </vt:variant>
      <vt:variant>
        <vt:i4>5</vt:i4>
      </vt:variant>
      <vt:variant>
        <vt:lpwstr/>
      </vt:variant>
      <vt:variant>
        <vt:lpwstr>_Toc450632381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2020-07-16T15:43:00Z</dcterms:created>
  <dcterms:modified xsi:type="dcterms:W3CDTF">2020-07-16T15:51:00Z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shannon.fera@ontario.ca</vt:lpwstr>
  </property>
  <property fmtid="{D5CDD505-2E9C-101B-9397-08002B2CF9AE}" pid="5" name="MSIP_Label_034a106e-6316-442c-ad35-738afd673d2b_SetDate">
    <vt:lpwstr>2020-07-10T14:09:38.4233782Z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3bf303ec-96e4-4b5f-85eb-0eb633b7f03c</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