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C1355" w14:textId="77777777" w:rsidR="001C77D8" w:rsidRDefault="001C77D8" w:rsidP="00E13E1D">
      <w:pPr>
        <w:ind w:right="4"/>
        <w:jc w:val="center"/>
        <w:rPr>
          <w:rFonts w:cs="Arial"/>
          <w:b/>
          <w:sz w:val="52"/>
          <w:szCs w:val="52"/>
        </w:rPr>
      </w:pPr>
      <w:bookmarkStart w:id="0" w:name="_Toc74450871"/>
      <w:bookmarkStart w:id="1" w:name="_Toc78162183"/>
      <w:bookmarkStart w:id="2" w:name="_Toc79571570"/>
    </w:p>
    <w:p w14:paraId="27FE9253" w14:textId="77777777" w:rsidR="00685488" w:rsidRDefault="00685488" w:rsidP="00E13E1D">
      <w:pPr>
        <w:ind w:right="4"/>
        <w:jc w:val="center"/>
        <w:rPr>
          <w:rFonts w:cs="Arial"/>
          <w:b/>
          <w:sz w:val="52"/>
          <w:szCs w:val="52"/>
        </w:rPr>
      </w:pPr>
    </w:p>
    <w:p w14:paraId="6C404A19" w14:textId="77777777" w:rsidR="00685488" w:rsidRDefault="00685488" w:rsidP="00E13E1D">
      <w:pPr>
        <w:ind w:right="4"/>
        <w:jc w:val="center"/>
        <w:rPr>
          <w:rFonts w:cs="Arial"/>
          <w:b/>
          <w:sz w:val="52"/>
          <w:szCs w:val="52"/>
        </w:rPr>
      </w:pPr>
    </w:p>
    <w:p w14:paraId="79679A03" w14:textId="606A4B3D" w:rsidR="001C77D8" w:rsidRPr="001401F5" w:rsidRDefault="001C77D8" w:rsidP="00723EC6">
      <w:pPr>
        <w:pStyle w:val="Title"/>
        <w:outlineLvl w:val="9"/>
        <w:rPr>
          <w:b w:val="0"/>
          <w:sz w:val="52"/>
          <w:szCs w:val="52"/>
        </w:rPr>
      </w:pPr>
      <w:bookmarkStart w:id="3" w:name="_Toc41568500"/>
      <w:r w:rsidRPr="001401F5">
        <w:rPr>
          <w:b w:val="0"/>
          <w:sz w:val="52"/>
          <w:szCs w:val="52"/>
        </w:rPr>
        <w:t xml:space="preserve">Procedures for the Use of Risk Assessment under Part XV.1 of the </w:t>
      </w:r>
      <w:r w:rsidRPr="001401F5">
        <w:rPr>
          <w:b w:val="0"/>
          <w:i/>
          <w:sz w:val="52"/>
          <w:szCs w:val="52"/>
        </w:rPr>
        <w:t>Environmental Protection Act</w:t>
      </w:r>
      <w:bookmarkEnd w:id="3"/>
    </w:p>
    <w:p w14:paraId="168C6BE4" w14:textId="77777777" w:rsidR="001C77D8" w:rsidRPr="008D65C3" w:rsidRDefault="001C77D8" w:rsidP="00E13E1D">
      <w:pPr>
        <w:ind w:right="4"/>
        <w:jc w:val="center"/>
        <w:rPr>
          <w:rFonts w:cs="Arial"/>
          <w:sz w:val="40"/>
          <w:szCs w:val="40"/>
        </w:rPr>
      </w:pPr>
    </w:p>
    <w:p w14:paraId="2413B49D" w14:textId="77777777" w:rsidR="001C77D8" w:rsidRPr="008D65C3" w:rsidRDefault="001C77D8" w:rsidP="00E13E1D">
      <w:pPr>
        <w:ind w:right="4"/>
        <w:jc w:val="center"/>
        <w:rPr>
          <w:rFonts w:cs="Arial"/>
          <w:sz w:val="28"/>
          <w:szCs w:val="28"/>
        </w:rPr>
      </w:pPr>
    </w:p>
    <w:p w14:paraId="2304BA03" w14:textId="77777777" w:rsidR="001C77D8" w:rsidRPr="008D65C3" w:rsidRDefault="001C77D8" w:rsidP="002A0F41">
      <w:pPr>
        <w:ind w:right="4"/>
        <w:rPr>
          <w:rFonts w:cs="Arial"/>
          <w:sz w:val="28"/>
          <w:szCs w:val="28"/>
        </w:rPr>
      </w:pPr>
    </w:p>
    <w:p w14:paraId="0760C9CE" w14:textId="5B89756F" w:rsidR="002A0F41" w:rsidRPr="006141A2" w:rsidRDefault="00305EA1" w:rsidP="002A0F41">
      <w:pPr>
        <w:ind w:right="4"/>
        <w:jc w:val="center"/>
        <w:rPr>
          <w:rFonts w:cs="Arial"/>
          <w:sz w:val="28"/>
          <w:szCs w:val="28"/>
          <w:highlight w:val="yellow"/>
        </w:rPr>
      </w:pPr>
      <w:r w:rsidRPr="006141A2">
        <w:rPr>
          <w:rFonts w:cs="Arial"/>
          <w:sz w:val="28"/>
          <w:szCs w:val="28"/>
          <w:highlight w:val="yellow"/>
        </w:rPr>
        <w:t>DRAFT</w:t>
      </w:r>
      <w:r w:rsidR="002A0F41" w:rsidRPr="006141A2">
        <w:rPr>
          <w:rFonts w:cs="Arial"/>
          <w:sz w:val="28"/>
          <w:szCs w:val="28"/>
          <w:highlight w:val="yellow"/>
        </w:rPr>
        <w:t xml:space="preserve"> v.</w:t>
      </w:r>
      <w:r w:rsidR="00037F16" w:rsidRPr="006141A2">
        <w:rPr>
          <w:rFonts w:cs="Arial"/>
          <w:sz w:val="28"/>
          <w:szCs w:val="28"/>
          <w:highlight w:val="yellow"/>
        </w:rPr>
        <w:t>2</w:t>
      </w:r>
      <w:r w:rsidR="00E3459F" w:rsidRPr="006141A2">
        <w:rPr>
          <w:rFonts w:cs="Arial"/>
          <w:sz w:val="28"/>
          <w:szCs w:val="28"/>
          <w:highlight w:val="yellow"/>
        </w:rPr>
        <w:t>.</w:t>
      </w:r>
      <w:r w:rsidR="005666A5" w:rsidRPr="006141A2">
        <w:rPr>
          <w:rFonts w:cs="Arial"/>
          <w:sz w:val="28"/>
          <w:szCs w:val="28"/>
          <w:highlight w:val="yellow"/>
        </w:rPr>
        <w:t>1</w:t>
      </w:r>
      <w:r w:rsidR="00E879E4">
        <w:rPr>
          <w:rFonts w:cs="Arial"/>
          <w:sz w:val="28"/>
          <w:szCs w:val="28"/>
          <w:highlight w:val="yellow"/>
        </w:rPr>
        <w:t>2</w:t>
      </w:r>
    </w:p>
    <w:p w14:paraId="272A869B" w14:textId="77777777" w:rsidR="001C77D8" w:rsidRPr="006141A2" w:rsidRDefault="001C77D8" w:rsidP="00E13E1D">
      <w:pPr>
        <w:widowControl w:val="0"/>
        <w:autoSpaceDE w:val="0"/>
        <w:autoSpaceDN w:val="0"/>
        <w:adjustRightInd w:val="0"/>
        <w:spacing w:line="256" w:lineRule="auto"/>
        <w:ind w:right="4"/>
        <w:jc w:val="center"/>
        <w:rPr>
          <w:rFonts w:cs="Arial"/>
          <w:sz w:val="28"/>
          <w:szCs w:val="28"/>
          <w:highlight w:val="yellow"/>
          <w:lang w:val="en-CA" w:eastAsia="en-CA"/>
        </w:rPr>
      </w:pPr>
    </w:p>
    <w:p w14:paraId="257AA693" w14:textId="0C954890" w:rsidR="001C77D8" w:rsidRPr="008D65C3" w:rsidRDefault="006141A2" w:rsidP="00E13E1D">
      <w:pPr>
        <w:widowControl w:val="0"/>
        <w:autoSpaceDE w:val="0"/>
        <w:autoSpaceDN w:val="0"/>
        <w:adjustRightInd w:val="0"/>
        <w:spacing w:line="256" w:lineRule="auto"/>
        <w:ind w:right="4"/>
        <w:jc w:val="center"/>
        <w:rPr>
          <w:rFonts w:cs="Arial"/>
          <w:sz w:val="28"/>
          <w:szCs w:val="28"/>
          <w:lang w:val="en-CA" w:eastAsia="en-CA"/>
        </w:rPr>
      </w:pPr>
      <w:r w:rsidRPr="006141A2">
        <w:rPr>
          <w:rFonts w:cs="Arial"/>
          <w:sz w:val="28"/>
          <w:szCs w:val="28"/>
          <w:highlight w:val="yellow"/>
          <w:lang w:val="en-CA" w:eastAsia="en-CA"/>
        </w:rPr>
        <w:t>Ju</w:t>
      </w:r>
      <w:r w:rsidR="00E879E4">
        <w:rPr>
          <w:rFonts w:cs="Arial"/>
          <w:sz w:val="28"/>
          <w:szCs w:val="28"/>
          <w:highlight w:val="yellow"/>
          <w:lang w:val="en-CA" w:eastAsia="en-CA"/>
        </w:rPr>
        <w:t>ly</w:t>
      </w:r>
      <w:r w:rsidR="00124ED0" w:rsidRPr="006141A2">
        <w:rPr>
          <w:rFonts w:cs="Arial"/>
          <w:sz w:val="28"/>
          <w:szCs w:val="28"/>
          <w:highlight w:val="yellow"/>
          <w:lang w:val="en-CA" w:eastAsia="en-CA"/>
        </w:rPr>
        <w:t xml:space="preserve"> 2020</w:t>
      </w:r>
    </w:p>
    <w:p w14:paraId="6D552D11" w14:textId="77777777" w:rsidR="00EC3FA5" w:rsidRPr="008D65C3" w:rsidRDefault="00EC3FA5" w:rsidP="00E13E1D">
      <w:pPr>
        <w:ind w:right="4"/>
        <w:jc w:val="center"/>
        <w:rPr>
          <w:rFonts w:cs="Arial"/>
          <w:sz w:val="40"/>
          <w:szCs w:val="40"/>
        </w:rPr>
      </w:pPr>
    </w:p>
    <w:p w14:paraId="77AED2F1" w14:textId="77777777" w:rsidR="00E65C0D" w:rsidRPr="008D65C3" w:rsidRDefault="00E65C0D" w:rsidP="00E34F81">
      <w:pPr>
        <w:spacing w:before="0" w:after="0"/>
        <w:rPr>
          <w:rFonts w:cs="Arial"/>
        </w:rPr>
      </w:pPr>
    </w:p>
    <w:p w14:paraId="08DF6BCE" w14:textId="77777777" w:rsidR="00E34F81" w:rsidRPr="008D65C3" w:rsidRDefault="00E34F81" w:rsidP="00E34F81">
      <w:pPr>
        <w:spacing w:before="0" w:after="0"/>
        <w:rPr>
          <w:rFonts w:cs="Arial"/>
        </w:rPr>
      </w:pPr>
    </w:p>
    <w:p w14:paraId="7E3761DF" w14:textId="77777777" w:rsidR="00E34F81" w:rsidRPr="008D65C3" w:rsidRDefault="00E34F81" w:rsidP="00E34F81">
      <w:pPr>
        <w:spacing w:before="0" w:after="0"/>
        <w:rPr>
          <w:rFonts w:cs="Arial"/>
        </w:rPr>
      </w:pPr>
    </w:p>
    <w:p w14:paraId="2DB2B660" w14:textId="77777777" w:rsidR="00685488" w:rsidRPr="008D65C3" w:rsidRDefault="00685488" w:rsidP="00E34F81">
      <w:pPr>
        <w:spacing w:before="0" w:after="0"/>
        <w:rPr>
          <w:rFonts w:cs="Arial"/>
        </w:rPr>
      </w:pPr>
    </w:p>
    <w:p w14:paraId="3C0B5F36" w14:textId="77777777" w:rsidR="001C77D8" w:rsidRPr="008D65C3" w:rsidRDefault="001C77D8" w:rsidP="0051765A">
      <w:pPr>
        <w:widowControl w:val="0"/>
        <w:autoSpaceDE w:val="0"/>
        <w:autoSpaceDN w:val="0"/>
        <w:adjustRightInd w:val="0"/>
        <w:spacing w:before="0" w:after="0"/>
        <w:ind w:right="-20"/>
        <w:rPr>
          <w:rFonts w:cs="Arial"/>
          <w:sz w:val="28"/>
          <w:szCs w:val="28"/>
          <w:lang w:val="en-CA" w:eastAsia="en-CA"/>
        </w:rPr>
      </w:pPr>
      <w:r w:rsidRPr="008D65C3">
        <w:rPr>
          <w:rFonts w:cs="Arial"/>
          <w:spacing w:val="-4"/>
          <w:sz w:val="28"/>
          <w:szCs w:val="28"/>
          <w:lang w:val="en-CA" w:eastAsia="en-CA"/>
        </w:rPr>
        <w:t>P</w:t>
      </w:r>
      <w:r w:rsidRPr="008D65C3">
        <w:rPr>
          <w:rFonts w:cs="Arial"/>
          <w:spacing w:val="-2"/>
          <w:sz w:val="28"/>
          <w:szCs w:val="28"/>
          <w:lang w:val="en-CA" w:eastAsia="en-CA"/>
        </w:rPr>
        <w:t>r</w:t>
      </w:r>
      <w:r w:rsidRPr="008D65C3">
        <w:rPr>
          <w:rFonts w:cs="Arial"/>
          <w:sz w:val="28"/>
          <w:szCs w:val="28"/>
          <w:lang w:val="en-CA" w:eastAsia="en-CA"/>
        </w:rPr>
        <w:t>epa</w:t>
      </w:r>
      <w:r w:rsidRPr="008D65C3">
        <w:rPr>
          <w:rFonts w:cs="Arial"/>
          <w:spacing w:val="-2"/>
          <w:sz w:val="28"/>
          <w:szCs w:val="28"/>
          <w:lang w:val="en-CA" w:eastAsia="en-CA"/>
        </w:rPr>
        <w:t>r</w:t>
      </w:r>
      <w:r w:rsidRPr="008D65C3">
        <w:rPr>
          <w:rFonts w:cs="Arial"/>
          <w:sz w:val="28"/>
          <w:szCs w:val="28"/>
          <w:lang w:val="en-CA" w:eastAsia="en-CA"/>
        </w:rPr>
        <w:t xml:space="preserve">ed </w:t>
      </w:r>
      <w:r w:rsidRPr="008D65C3">
        <w:rPr>
          <w:rFonts w:cs="Arial"/>
          <w:spacing w:val="-2"/>
          <w:sz w:val="28"/>
          <w:szCs w:val="28"/>
          <w:lang w:val="en-CA" w:eastAsia="en-CA"/>
        </w:rPr>
        <w:t>b</w:t>
      </w:r>
      <w:r w:rsidRPr="008D65C3">
        <w:rPr>
          <w:rFonts w:cs="Arial"/>
          <w:spacing w:val="5"/>
          <w:sz w:val="28"/>
          <w:szCs w:val="28"/>
          <w:lang w:val="en-CA" w:eastAsia="en-CA"/>
        </w:rPr>
        <w:t>y</w:t>
      </w:r>
      <w:r w:rsidRPr="008D65C3">
        <w:rPr>
          <w:rFonts w:cs="Arial"/>
          <w:sz w:val="28"/>
          <w:szCs w:val="28"/>
          <w:lang w:val="en-CA" w:eastAsia="en-CA"/>
        </w:rPr>
        <w:t>:</w:t>
      </w:r>
    </w:p>
    <w:p w14:paraId="1B506865" w14:textId="77777777" w:rsidR="0051765A" w:rsidRPr="008D65C3" w:rsidRDefault="0051765A" w:rsidP="0051765A">
      <w:pPr>
        <w:widowControl w:val="0"/>
        <w:autoSpaceDE w:val="0"/>
        <w:autoSpaceDN w:val="0"/>
        <w:adjustRightInd w:val="0"/>
        <w:spacing w:before="0" w:after="0"/>
        <w:ind w:right="-20"/>
        <w:rPr>
          <w:rFonts w:cs="Arial"/>
          <w:lang w:val="en-CA" w:eastAsia="en-CA"/>
        </w:rPr>
      </w:pPr>
    </w:p>
    <w:p w14:paraId="76C1B2FF" w14:textId="77777777" w:rsidR="001C77D8" w:rsidRPr="008D65C3" w:rsidRDefault="001C77D8" w:rsidP="0051765A">
      <w:pPr>
        <w:widowControl w:val="0"/>
        <w:autoSpaceDE w:val="0"/>
        <w:autoSpaceDN w:val="0"/>
        <w:adjustRightInd w:val="0"/>
        <w:spacing w:before="0" w:after="0"/>
        <w:ind w:right="-20"/>
        <w:rPr>
          <w:rFonts w:cs="Arial"/>
          <w:sz w:val="36"/>
          <w:szCs w:val="36"/>
          <w:lang w:val="en-CA" w:eastAsia="en-CA"/>
        </w:rPr>
      </w:pPr>
      <w:r w:rsidRPr="008D65C3">
        <w:rPr>
          <w:rFonts w:cs="Arial"/>
          <w:spacing w:val="4"/>
          <w:sz w:val="36"/>
          <w:szCs w:val="36"/>
          <w:lang w:val="en-CA" w:eastAsia="en-CA"/>
        </w:rPr>
        <w:t>M</w:t>
      </w:r>
      <w:r w:rsidRPr="008D65C3">
        <w:rPr>
          <w:rFonts w:cs="Arial"/>
          <w:sz w:val="36"/>
          <w:szCs w:val="36"/>
          <w:lang w:val="en-CA" w:eastAsia="en-CA"/>
        </w:rPr>
        <w:t>inist</w:t>
      </w:r>
      <w:r w:rsidRPr="008D65C3">
        <w:rPr>
          <w:rFonts w:cs="Arial"/>
          <w:spacing w:val="9"/>
          <w:sz w:val="36"/>
          <w:szCs w:val="36"/>
          <w:lang w:val="en-CA" w:eastAsia="en-CA"/>
        </w:rPr>
        <w:t>r</w:t>
      </w:r>
      <w:r w:rsidRPr="008D65C3">
        <w:rPr>
          <w:rFonts w:cs="Arial"/>
          <w:sz w:val="36"/>
          <w:szCs w:val="36"/>
          <w:lang w:val="en-CA" w:eastAsia="en-CA"/>
        </w:rPr>
        <w:t>y of the E</w:t>
      </w:r>
      <w:r w:rsidRPr="008D65C3">
        <w:rPr>
          <w:rFonts w:cs="Arial"/>
          <w:spacing w:val="-4"/>
          <w:sz w:val="36"/>
          <w:szCs w:val="36"/>
          <w:lang w:val="en-CA" w:eastAsia="en-CA"/>
        </w:rPr>
        <w:t>n</w:t>
      </w:r>
      <w:r w:rsidRPr="008D65C3">
        <w:rPr>
          <w:rFonts w:cs="Arial"/>
          <w:sz w:val="36"/>
          <w:szCs w:val="36"/>
          <w:lang w:val="en-CA" w:eastAsia="en-CA"/>
        </w:rPr>
        <w:t>vi</w:t>
      </w:r>
      <w:r w:rsidRPr="008D65C3">
        <w:rPr>
          <w:rFonts w:cs="Arial"/>
          <w:spacing w:val="-3"/>
          <w:sz w:val="36"/>
          <w:szCs w:val="36"/>
          <w:lang w:val="en-CA" w:eastAsia="en-CA"/>
        </w:rPr>
        <w:t>r</w:t>
      </w:r>
      <w:r w:rsidRPr="008D65C3">
        <w:rPr>
          <w:rFonts w:cs="Arial"/>
          <w:sz w:val="36"/>
          <w:szCs w:val="36"/>
          <w:lang w:val="en-CA" w:eastAsia="en-CA"/>
        </w:rPr>
        <w:t>onme</w:t>
      </w:r>
      <w:r w:rsidRPr="008D65C3">
        <w:rPr>
          <w:rFonts w:cs="Arial"/>
          <w:spacing w:val="-1"/>
          <w:sz w:val="36"/>
          <w:szCs w:val="36"/>
          <w:lang w:val="en-CA" w:eastAsia="en-CA"/>
        </w:rPr>
        <w:t>n</w:t>
      </w:r>
      <w:r w:rsidRPr="008D65C3">
        <w:rPr>
          <w:rFonts w:cs="Arial"/>
          <w:sz w:val="36"/>
          <w:szCs w:val="36"/>
          <w:lang w:val="en-CA" w:eastAsia="en-CA"/>
        </w:rPr>
        <w:t>t</w:t>
      </w:r>
      <w:r w:rsidR="00124ED0" w:rsidRPr="008D65C3">
        <w:rPr>
          <w:rFonts w:cs="Arial"/>
          <w:sz w:val="36"/>
          <w:szCs w:val="36"/>
          <w:lang w:val="en-CA" w:eastAsia="en-CA"/>
        </w:rPr>
        <w:t>, Conservation and Parks</w:t>
      </w:r>
    </w:p>
    <w:p w14:paraId="7FFCC556" w14:textId="77777777" w:rsidR="001C77D8" w:rsidRPr="008D65C3" w:rsidRDefault="00124ED0" w:rsidP="0051765A">
      <w:pPr>
        <w:widowControl w:val="0"/>
        <w:autoSpaceDE w:val="0"/>
        <w:autoSpaceDN w:val="0"/>
        <w:adjustRightInd w:val="0"/>
        <w:spacing w:before="0" w:after="0"/>
        <w:ind w:right="-20"/>
        <w:rPr>
          <w:rFonts w:cs="Arial"/>
          <w:sz w:val="28"/>
          <w:szCs w:val="28"/>
          <w:lang w:val="en-CA" w:eastAsia="en-CA"/>
        </w:rPr>
      </w:pPr>
      <w:r w:rsidRPr="008D65C3">
        <w:rPr>
          <w:rFonts w:cs="Arial"/>
          <w:spacing w:val="-2"/>
          <w:sz w:val="28"/>
          <w:szCs w:val="28"/>
          <w:lang w:val="en-CA" w:eastAsia="en-CA"/>
        </w:rPr>
        <w:t xml:space="preserve">Technical Assessment and </w:t>
      </w:r>
      <w:r w:rsidR="001C77D8" w:rsidRPr="008D65C3">
        <w:rPr>
          <w:rFonts w:cs="Arial"/>
          <w:spacing w:val="-2"/>
          <w:sz w:val="28"/>
          <w:szCs w:val="28"/>
          <w:lang w:val="en-CA" w:eastAsia="en-CA"/>
        </w:rPr>
        <w:t xml:space="preserve">Standards Development </w:t>
      </w:r>
      <w:r w:rsidR="001C77D8" w:rsidRPr="008D65C3">
        <w:rPr>
          <w:rFonts w:cs="Arial"/>
          <w:sz w:val="28"/>
          <w:szCs w:val="28"/>
          <w:lang w:val="en-CA" w:eastAsia="en-CA"/>
        </w:rPr>
        <w:t>B</w:t>
      </w:r>
      <w:r w:rsidR="001C77D8" w:rsidRPr="008D65C3">
        <w:rPr>
          <w:rFonts w:cs="Arial"/>
          <w:spacing w:val="-1"/>
          <w:sz w:val="28"/>
          <w:szCs w:val="28"/>
          <w:lang w:val="en-CA" w:eastAsia="en-CA"/>
        </w:rPr>
        <w:t>r</w:t>
      </w:r>
      <w:r w:rsidR="001C77D8" w:rsidRPr="008D65C3">
        <w:rPr>
          <w:rFonts w:cs="Arial"/>
          <w:sz w:val="28"/>
          <w:szCs w:val="28"/>
          <w:lang w:val="en-CA" w:eastAsia="en-CA"/>
        </w:rPr>
        <w:t>anch</w:t>
      </w:r>
    </w:p>
    <w:p w14:paraId="1F2B793E" w14:textId="77777777" w:rsidR="001C77D8" w:rsidRPr="008D65C3" w:rsidRDefault="001C77D8" w:rsidP="0051765A">
      <w:pPr>
        <w:widowControl w:val="0"/>
        <w:autoSpaceDE w:val="0"/>
        <w:autoSpaceDN w:val="0"/>
        <w:adjustRightInd w:val="0"/>
        <w:spacing w:before="0" w:after="0"/>
        <w:ind w:right="-20"/>
        <w:rPr>
          <w:rFonts w:cs="Arial"/>
          <w:sz w:val="28"/>
          <w:szCs w:val="28"/>
          <w:lang w:val="en-CA" w:eastAsia="en-CA"/>
        </w:rPr>
      </w:pPr>
      <w:r w:rsidRPr="008D65C3">
        <w:rPr>
          <w:rFonts w:cs="Arial"/>
          <w:sz w:val="28"/>
          <w:szCs w:val="28"/>
          <w:lang w:val="en-CA" w:eastAsia="en-CA"/>
        </w:rPr>
        <w:t>Toronto, Ontario, Canada</w:t>
      </w:r>
    </w:p>
    <w:p w14:paraId="61D702E2" w14:textId="77777777" w:rsidR="001C77D8" w:rsidRPr="008D65C3" w:rsidRDefault="001C77D8" w:rsidP="0051765A">
      <w:pPr>
        <w:widowControl w:val="0"/>
        <w:autoSpaceDE w:val="0"/>
        <w:autoSpaceDN w:val="0"/>
        <w:adjustRightInd w:val="0"/>
        <w:spacing w:before="0" w:after="0"/>
        <w:rPr>
          <w:rFonts w:cs="Arial"/>
          <w:lang w:val="en-CA" w:eastAsia="en-CA"/>
        </w:rPr>
      </w:pPr>
    </w:p>
    <w:p w14:paraId="10967D42" w14:textId="77777777" w:rsidR="0051765A" w:rsidRPr="008D65C3" w:rsidRDefault="0051765A" w:rsidP="0051765A">
      <w:pPr>
        <w:widowControl w:val="0"/>
        <w:autoSpaceDE w:val="0"/>
        <w:autoSpaceDN w:val="0"/>
        <w:adjustRightInd w:val="0"/>
        <w:spacing w:before="0" w:after="0"/>
        <w:rPr>
          <w:rFonts w:cs="Arial"/>
          <w:lang w:val="en-CA" w:eastAsia="en-CA"/>
        </w:rPr>
      </w:pPr>
    </w:p>
    <w:p w14:paraId="386423DB" w14:textId="77777777" w:rsidR="00335FCA" w:rsidRPr="008D65C3" w:rsidRDefault="00335FCA">
      <w:pPr>
        <w:spacing w:before="0" w:after="0"/>
        <w:rPr>
          <w:rFonts w:cs="Arial"/>
          <w:lang w:val="pt-BR" w:eastAsia="en-CA"/>
        </w:rPr>
      </w:pPr>
      <w:r w:rsidRPr="008D65C3">
        <w:rPr>
          <w:rFonts w:cs="Arial"/>
          <w:lang w:val="pt-BR" w:eastAsia="en-CA"/>
        </w:rPr>
        <w:br w:type="page"/>
      </w:r>
    </w:p>
    <w:p w14:paraId="785008B1" w14:textId="2B640D6F" w:rsidR="002A0F41" w:rsidRPr="008D65C3" w:rsidRDefault="002A0F41" w:rsidP="0088490F">
      <w:pPr>
        <w:pStyle w:val="Subtitle"/>
        <w:jc w:val="left"/>
        <w:rPr>
          <w:b/>
          <w:sz w:val="32"/>
          <w:szCs w:val="32"/>
          <w:lang w:val="pt-BR" w:eastAsia="en-CA"/>
        </w:rPr>
      </w:pPr>
      <w:bookmarkStart w:id="4" w:name="_Toc41905636"/>
      <w:r w:rsidRPr="008D65C3">
        <w:rPr>
          <w:b/>
          <w:sz w:val="32"/>
          <w:szCs w:val="32"/>
          <w:lang w:val="pt-BR" w:eastAsia="en-CA"/>
        </w:rPr>
        <w:lastRenderedPageBreak/>
        <w:t>PREFACE</w:t>
      </w:r>
      <w:bookmarkEnd w:id="4"/>
    </w:p>
    <w:p w14:paraId="59C80BEC" w14:textId="343D9A92" w:rsidR="00ED1745" w:rsidRPr="002A75F2" w:rsidRDefault="00ED1745" w:rsidP="00BD03AF">
      <w:pPr>
        <w:ind w:right="102"/>
        <w:rPr>
          <w:rFonts w:cs="Arial"/>
        </w:rPr>
      </w:pPr>
      <w:r w:rsidRPr="002A75F2">
        <w:rPr>
          <w:rFonts w:cs="Arial"/>
        </w:rPr>
        <w:t xml:space="preserve">Property owners who wish to convert </w:t>
      </w:r>
      <w:r w:rsidR="00360917" w:rsidRPr="002A75F2">
        <w:rPr>
          <w:rFonts w:cs="Arial"/>
        </w:rPr>
        <w:t>b</w:t>
      </w:r>
      <w:r w:rsidRPr="002A75F2">
        <w:rPr>
          <w:rFonts w:cs="Arial"/>
        </w:rPr>
        <w:t xml:space="preserve">rownfield properties (e.g. industrial or commercial properties) to more sensitive uses such as community </w:t>
      </w:r>
      <w:proofErr w:type="spellStart"/>
      <w:r w:rsidRPr="002A75F2">
        <w:rPr>
          <w:rFonts w:cs="Arial"/>
        </w:rPr>
        <w:t>centres</w:t>
      </w:r>
      <w:proofErr w:type="spellEnd"/>
      <w:r w:rsidRPr="002A75F2">
        <w:rPr>
          <w:rFonts w:cs="Arial"/>
        </w:rPr>
        <w:t xml:space="preserve">, schools, or housing, must </w:t>
      </w:r>
      <w:r w:rsidR="003C4809">
        <w:rPr>
          <w:rFonts w:cs="Arial"/>
        </w:rPr>
        <w:t xml:space="preserve">first have </w:t>
      </w:r>
      <w:r w:rsidRPr="002A75F2">
        <w:rPr>
          <w:rFonts w:cs="Arial"/>
        </w:rPr>
        <w:t xml:space="preserve">a </w:t>
      </w:r>
      <w:r w:rsidR="00B373D7" w:rsidRPr="002A75F2">
        <w:rPr>
          <w:rFonts w:cs="Arial"/>
        </w:rPr>
        <w:t>r</w:t>
      </w:r>
      <w:r w:rsidRPr="002A75F2">
        <w:rPr>
          <w:rFonts w:cs="Arial"/>
        </w:rPr>
        <w:t xml:space="preserve">ecord of </w:t>
      </w:r>
      <w:r w:rsidR="00B373D7" w:rsidRPr="002A75F2">
        <w:rPr>
          <w:rFonts w:cs="Arial"/>
        </w:rPr>
        <w:t>s</w:t>
      </w:r>
      <w:r w:rsidRPr="002A75F2">
        <w:rPr>
          <w:rFonts w:cs="Arial"/>
        </w:rPr>
        <w:t xml:space="preserve">ite </w:t>
      </w:r>
      <w:r w:rsidR="00B373D7" w:rsidRPr="002A75F2">
        <w:rPr>
          <w:rFonts w:cs="Arial"/>
        </w:rPr>
        <w:t>c</w:t>
      </w:r>
      <w:r w:rsidRPr="002A75F2">
        <w:rPr>
          <w:rFonts w:cs="Arial"/>
        </w:rPr>
        <w:t xml:space="preserve">ondition (RSC) </w:t>
      </w:r>
      <w:r w:rsidR="003C4809">
        <w:rPr>
          <w:rFonts w:cs="Arial"/>
        </w:rPr>
        <w:t xml:space="preserve">filed </w:t>
      </w:r>
      <w:r w:rsidRPr="002A75F2">
        <w:rPr>
          <w:rFonts w:cs="Arial"/>
        </w:rPr>
        <w:t>on the Ministry of Environment</w:t>
      </w:r>
      <w:r w:rsidR="00AC7B49" w:rsidRPr="002A75F2">
        <w:rPr>
          <w:rFonts w:cs="Arial"/>
        </w:rPr>
        <w:t>,</w:t>
      </w:r>
      <w:r w:rsidRPr="002A75F2">
        <w:rPr>
          <w:rFonts w:cs="Arial"/>
        </w:rPr>
        <w:t xml:space="preserve"> Conservation and Parks (</w:t>
      </w:r>
      <w:r w:rsidR="00E77C8B" w:rsidRPr="002A75F2">
        <w:rPr>
          <w:rFonts w:cs="Arial"/>
        </w:rPr>
        <w:t>the M</w:t>
      </w:r>
      <w:r w:rsidRPr="002A75F2">
        <w:rPr>
          <w:rFonts w:cs="Arial"/>
        </w:rPr>
        <w:t>inistry) Environmental Site Registry</w:t>
      </w:r>
      <w:r w:rsidR="003C4809">
        <w:rPr>
          <w:rFonts w:cs="Arial"/>
        </w:rPr>
        <w:t xml:space="preserve"> to ensure that the property meets certain requirements</w:t>
      </w:r>
      <w:r w:rsidRPr="002A75F2">
        <w:rPr>
          <w:rFonts w:cs="Arial"/>
        </w:rPr>
        <w:t xml:space="preserve">. An RSC documents the environmental state of the property, provides the owner with certain limited liability protections, and must be prepared </w:t>
      </w:r>
      <w:r w:rsidR="002221A6" w:rsidRPr="002A75F2">
        <w:rPr>
          <w:rFonts w:cs="Arial"/>
        </w:rPr>
        <w:t xml:space="preserve">in accordance with the </w:t>
      </w:r>
      <w:r w:rsidR="002221A6" w:rsidRPr="002A75F2">
        <w:rPr>
          <w:rFonts w:cs="Arial"/>
          <w:i/>
        </w:rPr>
        <w:t>Environmental Protection</w:t>
      </w:r>
      <w:r w:rsidR="002221A6" w:rsidRPr="002A75F2">
        <w:rPr>
          <w:rFonts w:cs="Arial"/>
        </w:rPr>
        <w:t xml:space="preserve"> </w:t>
      </w:r>
      <w:r w:rsidR="002221A6" w:rsidRPr="002A75F2">
        <w:rPr>
          <w:rFonts w:cs="Arial"/>
          <w:i/>
        </w:rPr>
        <w:t>Act</w:t>
      </w:r>
      <w:r w:rsidR="002221A6" w:rsidRPr="002A75F2">
        <w:rPr>
          <w:rFonts w:cs="Arial"/>
        </w:rPr>
        <w:t xml:space="preserve"> and Ontario</w:t>
      </w:r>
      <w:r w:rsidR="002221A6" w:rsidRPr="002A75F2">
        <w:rPr>
          <w:rFonts w:cs="Arial"/>
          <w:spacing w:val="-7"/>
        </w:rPr>
        <w:t xml:space="preserve"> </w:t>
      </w:r>
      <w:r w:rsidR="002221A6" w:rsidRPr="002A75F2">
        <w:rPr>
          <w:rFonts w:cs="Arial"/>
        </w:rPr>
        <w:t>Regulation</w:t>
      </w:r>
      <w:r w:rsidR="002221A6" w:rsidRPr="002A75F2">
        <w:rPr>
          <w:rFonts w:cs="Arial"/>
          <w:spacing w:val="-11"/>
        </w:rPr>
        <w:t xml:space="preserve"> </w:t>
      </w:r>
      <w:r w:rsidR="002221A6" w:rsidRPr="002A75F2">
        <w:rPr>
          <w:rFonts w:cs="Arial"/>
        </w:rPr>
        <w:t>153/04.</w:t>
      </w:r>
      <w:r w:rsidR="009405BB" w:rsidRPr="002A75F2">
        <w:rPr>
          <w:rFonts w:cs="Arial"/>
        </w:rPr>
        <w:t xml:space="preserve"> In cases where there is no change in </w:t>
      </w:r>
      <w:r w:rsidR="00345658" w:rsidRPr="002A75F2">
        <w:rPr>
          <w:rFonts w:cs="Arial"/>
        </w:rPr>
        <w:t xml:space="preserve">property </w:t>
      </w:r>
      <w:r w:rsidR="009405BB" w:rsidRPr="002A75F2">
        <w:rPr>
          <w:rFonts w:cs="Arial"/>
        </w:rPr>
        <w:t xml:space="preserve">use, or the change in </w:t>
      </w:r>
      <w:r w:rsidR="00345658" w:rsidRPr="002A75F2">
        <w:rPr>
          <w:rFonts w:cs="Arial"/>
        </w:rPr>
        <w:t xml:space="preserve">property </w:t>
      </w:r>
      <w:r w:rsidR="009405BB" w:rsidRPr="002A75F2">
        <w:rPr>
          <w:rFonts w:cs="Arial"/>
        </w:rPr>
        <w:t xml:space="preserve">use is not to a more sensitive use, note that the property owner still has the option of </w:t>
      </w:r>
      <w:r w:rsidR="00345658" w:rsidRPr="002A75F2">
        <w:rPr>
          <w:rFonts w:cs="Arial"/>
        </w:rPr>
        <w:t xml:space="preserve">submitting </w:t>
      </w:r>
      <w:r w:rsidR="009405BB" w:rsidRPr="002A75F2">
        <w:rPr>
          <w:rFonts w:cs="Arial"/>
        </w:rPr>
        <w:t>an RSC</w:t>
      </w:r>
      <w:r w:rsidR="00345658" w:rsidRPr="002A75F2">
        <w:rPr>
          <w:rFonts w:cs="Arial"/>
        </w:rPr>
        <w:t xml:space="preserve"> for filing</w:t>
      </w:r>
      <w:r w:rsidR="009405BB" w:rsidRPr="002A75F2">
        <w:rPr>
          <w:rFonts w:cs="Arial"/>
        </w:rPr>
        <w:t>, even though this may not be required</w:t>
      </w:r>
      <w:r w:rsidR="00816B24" w:rsidRPr="002A75F2">
        <w:rPr>
          <w:rFonts w:cs="Arial"/>
        </w:rPr>
        <w:t xml:space="preserve"> under the </w:t>
      </w:r>
      <w:r w:rsidR="00816B24" w:rsidRPr="002A75F2">
        <w:rPr>
          <w:rFonts w:cs="Arial"/>
          <w:i/>
        </w:rPr>
        <w:t>Environmental Protection Act</w:t>
      </w:r>
      <w:r w:rsidR="009405BB" w:rsidRPr="002A75F2">
        <w:rPr>
          <w:rFonts w:cs="Arial"/>
        </w:rPr>
        <w:t>.</w:t>
      </w:r>
    </w:p>
    <w:p w14:paraId="0B6FE3FE" w14:textId="56639B30" w:rsidR="00ED1745" w:rsidRPr="002A75F2" w:rsidRDefault="00ED1745" w:rsidP="00BD03AF">
      <w:pPr>
        <w:ind w:right="102"/>
        <w:rPr>
          <w:rFonts w:cs="Arial"/>
        </w:rPr>
      </w:pPr>
      <w:r w:rsidRPr="002A75F2">
        <w:rPr>
          <w:rFonts w:cs="Arial"/>
        </w:rPr>
        <w:t xml:space="preserve">To support </w:t>
      </w:r>
      <w:r w:rsidR="00360917" w:rsidRPr="002A75F2">
        <w:rPr>
          <w:rFonts w:cs="Arial"/>
        </w:rPr>
        <w:t>b</w:t>
      </w:r>
      <w:r w:rsidRPr="002A75F2">
        <w:rPr>
          <w:rFonts w:cs="Arial"/>
        </w:rPr>
        <w:t xml:space="preserve">rownfield redevelopment, the </w:t>
      </w:r>
      <w:r w:rsidR="00E77C8B" w:rsidRPr="002A75F2">
        <w:rPr>
          <w:rFonts w:cs="Arial"/>
        </w:rPr>
        <w:t>M</w:t>
      </w:r>
      <w:r w:rsidRPr="002A75F2">
        <w:rPr>
          <w:rFonts w:cs="Arial"/>
        </w:rPr>
        <w:t xml:space="preserve">inistry has developed generic site condition standards for soil, groundwater, and sediment for use under </w:t>
      </w:r>
      <w:r w:rsidR="002221A6" w:rsidRPr="002A75F2">
        <w:rPr>
          <w:rFonts w:cs="Arial"/>
        </w:rPr>
        <w:t>Ontario Regulation 153/04</w:t>
      </w:r>
      <w:r w:rsidRPr="002A75F2">
        <w:rPr>
          <w:rFonts w:cs="Arial"/>
        </w:rPr>
        <w:t xml:space="preserve">. These generic site condition standards provide protection against the potential for adverse effects to human health, ecological health, and the natural environment at typical </w:t>
      </w:r>
      <w:r w:rsidR="009F59A9" w:rsidRPr="002A75F2">
        <w:rPr>
          <w:rFonts w:cs="Arial"/>
        </w:rPr>
        <w:t>b</w:t>
      </w:r>
      <w:r w:rsidRPr="002A75F2">
        <w:rPr>
          <w:rFonts w:cs="Arial"/>
        </w:rPr>
        <w:t>rownfield sites and are provided in a series of Tables included in the Ministry document entitled “Soil, Ground Water and Sediment Standards for Use under Part XV.1 of the Environmental Protection Act”, dated April 15, 2011.</w:t>
      </w:r>
      <w:r w:rsidR="00A35D1F" w:rsidRPr="002A75F2">
        <w:rPr>
          <w:rFonts w:cs="Arial"/>
        </w:rPr>
        <w:t xml:space="preserve"> </w:t>
      </w:r>
      <w:r w:rsidRPr="002A75F2">
        <w:rPr>
          <w:rFonts w:cs="Arial"/>
        </w:rPr>
        <w:t xml:space="preserve">They provide applicable site condition standards for a given property based on a series of factors, including the intended property use, soil texture, groundwater use (potable or non-potable), and several other soil and/or property characteristics. In general, these standards are developed using a risk-based approach, but background soil concentrations and analytical detection limits were also considered in developing these generic site condition standards. Details on how these standards were developed, including a more detailed description of environmental fate and transport modelling, human and ecological receptors, and specific exposure scenarios, </w:t>
      </w:r>
      <w:r w:rsidR="00E77C8B" w:rsidRPr="002A75F2">
        <w:rPr>
          <w:rFonts w:cs="Arial"/>
        </w:rPr>
        <w:t>are</w:t>
      </w:r>
      <w:r w:rsidRPr="002A75F2">
        <w:rPr>
          <w:rFonts w:cs="Arial"/>
        </w:rPr>
        <w:t xml:space="preserve"> documented in the Ministry’s “Rationale for the Development of Soil and Ground Water Standards for Use at Contaminated Sites in Ontario”, dated April 15, 2011. </w:t>
      </w:r>
    </w:p>
    <w:p w14:paraId="7B2FE490" w14:textId="6CB3B253" w:rsidR="00ED1745" w:rsidRPr="002A75F2" w:rsidRDefault="00A35D1F" w:rsidP="00BD03AF">
      <w:pPr>
        <w:ind w:right="102"/>
        <w:rPr>
          <w:rFonts w:cs="Arial"/>
        </w:rPr>
      </w:pPr>
      <w:r w:rsidRPr="002A75F2">
        <w:rPr>
          <w:rFonts w:cs="Arial"/>
        </w:rPr>
        <w:t xml:space="preserve">When submitting an RSC for </w:t>
      </w:r>
      <w:r w:rsidR="00AC7B49" w:rsidRPr="002A75F2">
        <w:rPr>
          <w:rFonts w:cs="Arial"/>
        </w:rPr>
        <w:t>filing</w:t>
      </w:r>
      <w:r w:rsidR="00ED1745" w:rsidRPr="002A75F2">
        <w:rPr>
          <w:rFonts w:cs="Arial"/>
        </w:rPr>
        <w:t xml:space="preserve">, </w:t>
      </w:r>
      <w:r w:rsidRPr="002A75F2">
        <w:rPr>
          <w:rFonts w:cs="Arial"/>
        </w:rPr>
        <w:t xml:space="preserve">the </w:t>
      </w:r>
      <w:r w:rsidR="00ED1745" w:rsidRPr="002A75F2">
        <w:rPr>
          <w:rFonts w:cs="Arial"/>
        </w:rPr>
        <w:t xml:space="preserve">proponent must show that their site will be able to meet the applicable generic site condition standards, or propose property-specific standards developed through a risk assessment. The risk assessment must be accepted by </w:t>
      </w:r>
      <w:r w:rsidR="00E77C8B" w:rsidRPr="002A75F2">
        <w:rPr>
          <w:rFonts w:cs="Arial"/>
        </w:rPr>
        <w:t>the Ministry</w:t>
      </w:r>
      <w:r w:rsidR="00ED1745" w:rsidRPr="002A75F2">
        <w:rPr>
          <w:rFonts w:cs="Arial"/>
        </w:rPr>
        <w:t xml:space="preserve"> before these property specific standards can be used to support </w:t>
      </w:r>
      <w:r w:rsidR="003B0449" w:rsidRPr="002A75F2">
        <w:rPr>
          <w:rFonts w:cs="Arial"/>
        </w:rPr>
        <w:t xml:space="preserve">submission of an </w:t>
      </w:r>
      <w:r w:rsidR="00ED1745" w:rsidRPr="002A75F2">
        <w:rPr>
          <w:rFonts w:cs="Arial"/>
        </w:rPr>
        <w:t>RSC</w:t>
      </w:r>
      <w:r w:rsidR="003B0449" w:rsidRPr="002A75F2">
        <w:rPr>
          <w:rFonts w:cs="Arial"/>
        </w:rPr>
        <w:t xml:space="preserve"> for filing</w:t>
      </w:r>
      <w:r w:rsidR="00ED1745" w:rsidRPr="002A75F2">
        <w:rPr>
          <w:rFonts w:cs="Arial"/>
        </w:rPr>
        <w:t>.</w:t>
      </w:r>
      <w:r w:rsidRPr="002A75F2">
        <w:rPr>
          <w:rFonts w:cs="Arial"/>
        </w:rPr>
        <w:t xml:space="preserve"> </w:t>
      </w:r>
      <w:r w:rsidR="00ED1745" w:rsidRPr="002A75F2">
        <w:rPr>
          <w:rFonts w:cs="Arial"/>
        </w:rPr>
        <w:t>In some cases, the proponent may choose to remediate the site to meet either the generic site condition standards or the property specific standards (developed as part of a risk assessment) and/or employ risk management measures to manage unacceptable risks.</w:t>
      </w:r>
    </w:p>
    <w:p w14:paraId="44FBAB4A" w14:textId="44CD1ACE" w:rsidR="00734DDC" w:rsidRPr="002A75F2" w:rsidRDefault="002A0F41" w:rsidP="00BD03AF">
      <w:pPr>
        <w:ind w:right="102"/>
        <w:rPr>
          <w:rFonts w:cs="Arial"/>
        </w:rPr>
      </w:pPr>
      <w:r w:rsidRPr="002A75F2">
        <w:rPr>
          <w:rFonts w:cs="Arial"/>
        </w:rPr>
        <w:t>Th</w:t>
      </w:r>
      <w:r w:rsidR="00ED1745" w:rsidRPr="002A75F2">
        <w:rPr>
          <w:rFonts w:cs="Arial"/>
        </w:rPr>
        <w:t xml:space="preserve">is document, the </w:t>
      </w:r>
      <w:r w:rsidRPr="002A75F2">
        <w:rPr>
          <w:rFonts w:cs="Arial"/>
        </w:rPr>
        <w:t xml:space="preserve">Procedures for the Use of Risk Assessment under Part XV.1 of the </w:t>
      </w:r>
      <w:r w:rsidRPr="002A75F2">
        <w:rPr>
          <w:rFonts w:cs="Arial"/>
          <w:i/>
        </w:rPr>
        <w:t>Environmental Protection Act</w:t>
      </w:r>
      <w:r w:rsidRPr="002A75F2">
        <w:rPr>
          <w:rFonts w:cs="Arial"/>
        </w:rPr>
        <w:t xml:space="preserve"> </w:t>
      </w:r>
      <w:r w:rsidR="00ED1745" w:rsidRPr="002A75F2">
        <w:rPr>
          <w:rFonts w:cs="Arial"/>
        </w:rPr>
        <w:t xml:space="preserve">(Procedures </w:t>
      </w:r>
      <w:r w:rsidR="00F0344F" w:rsidRPr="002A75F2">
        <w:rPr>
          <w:rFonts w:cs="Arial"/>
        </w:rPr>
        <w:t>d</w:t>
      </w:r>
      <w:r w:rsidR="00ED1745" w:rsidRPr="002A75F2">
        <w:rPr>
          <w:rFonts w:cs="Arial"/>
        </w:rPr>
        <w:t xml:space="preserve">ocument) </w:t>
      </w:r>
      <w:r w:rsidR="00902FFB" w:rsidRPr="002A75F2">
        <w:rPr>
          <w:rFonts w:cs="Arial"/>
        </w:rPr>
        <w:t xml:space="preserve">describes the legislative and regulatory requirements </w:t>
      </w:r>
      <w:r w:rsidR="003F53F4" w:rsidRPr="002A75F2">
        <w:rPr>
          <w:rFonts w:cs="Arial"/>
        </w:rPr>
        <w:t xml:space="preserve">for </w:t>
      </w:r>
      <w:r w:rsidR="00902FFB" w:rsidRPr="002A75F2">
        <w:rPr>
          <w:rFonts w:cs="Arial"/>
        </w:rPr>
        <w:t xml:space="preserve">conducting and submitting risk assessment reports under </w:t>
      </w:r>
      <w:r w:rsidR="00E34F81" w:rsidRPr="002A75F2">
        <w:rPr>
          <w:rFonts w:cs="Arial"/>
        </w:rPr>
        <w:t xml:space="preserve">the </w:t>
      </w:r>
      <w:r w:rsidR="00E34F81" w:rsidRPr="002A75F2">
        <w:rPr>
          <w:rFonts w:cs="Arial"/>
          <w:i/>
        </w:rPr>
        <w:t>Environmental Protection</w:t>
      </w:r>
      <w:r w:rsidR="00E34F81" w:rsidRPr="002A75F2">
        <w:rPr>
          <w:rFonts w:cs="Arial"/>
        </w:rPr>
        <w:t xml:space="preserve"> </w:t>
      </w:r>
      <w:r w:rsidR="00E34F81" w:rsidRPr="002A75F2">
        <w:rPr>
          <w:rFonts w:cs="Arial"/>
          <w:i/>
        </w:rPr>
        <w:t>Act</w:t>
      </w:r>
      <w:r w:rsidR="00E34F81" w:rsidRPr="002A75F2">
        <w:rPr>
          <w:rFonts w:cs="Arial"/>
        </w:rPr>
        <w:t xml:space="preserve"> and </w:t>
      </w:r>
      <w:bookmarkStart w:id="5" w:name="_Hlk41048815"/>
      <w:r w:rsidR="00902FFB" w:rsidRPr="002A75F2">
        <w:rPr>
          <w:rFonts w:cs="Arial"/>
        </w:rPr>
        <w:t>Ontario</w:t>
      </w:r>
      <w:r w:rsidR="00902FFB" w:rsidRPr="002A75F2">
        <w:rPr>
          <w:rFonts w:cs="Arial"/>
          <w:spacing w:val="-7"/>
        </w:rPr>
        <w:t xml:space="preserve"> </w:t>
      </w:r>
      <w:r w:rsidR="00902FFB" w:rsidRPr="002A75F2">
        <w:rPr>
          <w:rFonts w:cs="Arial"/>
        </w:rPr>
        <w:t>Regulation</w:t>
      </w:r>
      <w:r w:rsidR="00902FFB" w:rsidRPr="002A75F2">
        <w:rPr>
          <w:rFonts w:cs="Arial"/>
          <w:spacing w:val="-11"/>
        </w:rPr>
        <w:t xml:space="preserve"> </w:t>
      </w:r>
      <w:r w:rsidR="00902FFB" w:rsidRPr="002A75F2">
        <w:rPr>
          <w:rFonts w:cs="Arial"/>
        </w:rPr>
        <w:t>153/04</w:t>
      </w:r>
      <w:bookmarkEnd w:id="5"/>
      <w:r w:rsidR="00902FFB" w:rsidRPr="002A75F2">
        <w:rPr>
          <w:rFonts w:cs="Arial"/>
        </w:rPr>
        <w:t>.</w:t>
      </w:r>
      <w:r w:rsidR="00F866DD" w:rsidRPr="002A75F2">
        <w:rPr>
          <w:rFonts w:cs="Arial"/>
        </w:rPr>
        <w:t xml:space="preserve"> </w:t>
      </w:r>
      <w:r w:rsidR="00902FFB" w:rsidRPr="002A75F2">
        <w:rPr>
          <w:rFonts w:cs="Arial"/>
        </w:rPr>
        <w:t xml:space="preserve">This Procedures </w:t>
      </w:r>
      <w:r w:rsidR="00F0344F" w:rsidRPr="002A75F2">
        <w:rPr>
          <w:rFonts w:cs="Arial"/>
        </w:rPr>
        <w:t>d</w:t>
      </w:r>
      <w:r w:rsidR="00902FFB" w:rsidRPr="002A75F2">
        <w:rPr>
          <w:rFonts w:cs="Arial"/>
        </w:rPr>
        <w:t xml:space="preserve">ocument also contains plain language guidance </w:t>
      </w:r>
      <w:r w:rsidR="00E11B47" w:rsidRPr="002A75F2">
        <w:rPr>
          <w:rFonts w:cs="Arial"/>
        </w:rPr>
        <w:t xml:space="preserve">for risk assessment </w:t>
      </w:r>
      <w:r w:rsidR="00EA04AC" w:rsidRPr="002A75F2">
        <w:rPr>
          <w:rFonts w:cs="Arial"/>
        </w:rPr>
        <w:t>practitioners</w:t>
      </w:r>
      <w:r w:rsidR="00E11B47" w:rsidRPr="002A75F2">
        <w:rPr>
          <w:rFonts w:cs="Arial"/>
        </w:rPr>
        <w:t xml:space="preserve"> (</w:t>
      </w:r>
      <w:r w:rsidR="00E11B47" w:rsidRPr="002A75F2">
        <w:rPr>
          <w:rFonts w:cs="Arial"/>
          <w:spacing w:val="-7"/>
        </w:rPr>
        <w:t xml:space="preserve">e.g. </w:t>
      </w:r>
      <w:r w:rsidR="00E11B47" w:rsidRPr="002A75F2">
        <w:rPr>
          <w:rFonts w:cs="Arial"/>
        </w:rPr>
        <w:t>consultants</w:t>
      </w:r>
      <w:r w:rsidR="00E11B47" w:rsidRPr="002A75F2">
        <w:rPr>
          <w:rFonts w:cs="Arial"/>
          <w:spacing w:val="-11"/>
        </w:rPr>
        <w:t xml:space="preserve">, </w:t>
      </w:r>
      <w:r w:rsidR="00415099" w:rsidRPr="002A75F2">
        <w:rPr>
          <w:rFonts w:cs="Arial"/>
        </w:rPr>
        <w:lastRenderedPageBreak/>
        <w:t>qualified persons</w:t>
      </w:r>
      <w:r w:rsidR="00E11B47" w:rsidRPr="002A75F2">
        <w:rPr>
          <w:rFonts w:cs="Arial"/>
        </w:rPr>
        <w:t xml:space="preserve">) </w:t>
      </w:r>
      <w:r w:rsidR="00902FFB" w:rsidRPr="002A75F2">
        <w:rPr>
          <w:rFonts w:cs="Arial"/>
        </w:rPr>
        <w:t xml:space="preserve">on how to conduct risk assessment work and </w:t>
      </w:r>
      <w:r w:rsidR="007A1CF1" w:rsidRPr="002A75F2">
        <w:rPr>
          <w:rFonts w:cs="Arial"/>
        </w:rPr>
        <w:t xml:space="preserve">prepare </w:t>
      </w:r>
      <w:r w:rsidR="00902FFB" w:rsidRPr="002A75F2">
        <w:rPr>
          <w:rFonts w:cs="Arial"/>
        </w:rPr>
        <w:t xml:space="preserve">risk assessment reports. </w:t>
      </w:r>
    </w:p>
    <w:p w14:paraId="05E7096F" w14:textId="77777777" w:rsidR="00E77C8B" w:rsidRPr="002A75F2" w:rsidRDefault="00E77C8B" w:rsidP="00BD03AF">
      <w:pPr>
        <w:ind w:right="102"/>
        <w:rPr>
          <w:rFonts w:cs="Arial"/>
        </w:rPr>
      </w:pPr>
    </w:p>
    <w:p w14:paraId="37C7BB50" w14:textId="0B8A2608" w:rsidR="00A77E48" w:rsidRPr="002A75F2" w:rsidRDefault="002A0F41" w:rsidP="00BD03AF">
      <w:pPr>
        <w:ind w:right="102"/>
        <w:rPr>
          <w:rFonts w:cs="Arial"/>
          <w:w w:val="109"/>
        </w:rPr>
      </w:pPr>
      <w:r w:rsidRPr="002A75F2">
        <w:rPr>
          <w:rFonts w:cs="Arial"/>
        </w:rPr>
        <w:t>It</w:t>
      </w:r>
      <w:r w:rsidRPr="002A75F2">
        <w:rPr>
          <w:rFonts w:cs="Arial"/>
          <w:spacing w:val="26"/>
        </w:rPr>
        <w:t xml:space="preserve"> </w:t>
      </w:r>
      <w:r w:rsidRPr="002A75F2">
        <w:rPr>
          <w:rFonts w:cs="Arial"/>
        </w:rPr>
        <w:t>should</w:t>
      </w:r>
      <w:r w:rsidRPr="002A75F2">
        <w:rPr>
          <w:rFonts w:cs="Arial"/>
          <w:spacing w:val="38"/>
        </w:rPr>
        <w:t xml:space="preserve"> </w:t>
      </w:r>
      <w:r w:rsidRPr="002A75F2">
        <w:rPr>
          <w:rFonts w:cs="Arial"/>
        </w:rPr>
        <w:t>be</w:t>
      </w:r>
      <w:r w:rsidRPr="002A75F2">
        <w:rPr>
          <w:rFonts w:cs="Arial"/>
          <w:spacing w:val="11"/>
        </w:rPr>
        <w:t xml:space="preserve"> </w:t>
      </w:r>
      <w:r w:rsidRPr="002A75F2">
        <w:rPr>
          <w:rFonts w:cs="Arial"/>
        </w:rPr>
        <w:t>noted</w:t>
      </w:r>
      <w:r w:rsidRPr="002A75F2">
        <w:rPr>
          <w:rFonts w:cs="Arial"/>
          <w:spacing w:val="37"/>
        </w:rPr>
        <w:t xml:space="preserve"> </w:t>
      </w:r>
      <w:r w:rsidRPr="002A75F2">
        <w:rPr>
          <w:rFonts w:cs="Arial"/>
        </w:rPr>
        <w:t>that</w:t>
      </w:r>
      <w:r w:rsidRPr="002A75F2">
        <w:rPr>
          <w:rFonts w:cs="Arial"/>
          <w:spacing w:val="50"/>
        </w:rPr>
        <w:t xml:space="preserve"> </w:t>
      </w:r>
      <w:r w:rsidRPr="002A75F2">
        <w:rPr>
          <w:rFonts w:cs="Arial"/>
        </w:rPr>
        <w:t>the</w:t>
      </w:r>
      <w:r w:rsidRPr="002A75F2">
        <w:rPr>
          <w:rFonts w:cs="Arial"/>
          <w:spacing w:val="26"/>
        </w:rPr>
        <w:t xml:space="preserve"> </w:t>
      </w:r>
      <w:r w:rsidRPr="002A75F2">
        <w:rPr>
          <w:rFonts w:cs="Arial"/>
          <w:w w:val="107"/>
        </w:rPr>
        <w:t>description</w:t>
      </w:r>
      <w:r w:rsidRPr="002A75F2">
        <w:rPr>
          <w:rFonts w:cs="Arial"/>
          <w:spacing w:val="-4"/>
          <w:w w:val="107"/>
        </w:rPr>
        <w:t xml:space="preserve"> </w:t>
      </w:r>
      <w:r w:rsidRPr="002A75F2">
        <w:rPr>
          <w:rFonts w:cs="Arial"/>
        </w:rPr>
        <w:t>of</w:t>
      </w:r>
      <w:r w:rsidRPr="002A75F2">
        <w:rPr>
          <w:rFonts w:cs="Arial"/>
          <w:spacing w:val="2"/>
        </w:rPr>
        <w:t xml:space="preserve"> </w:t>
      </w:r>
      <w:r w:rsidRPr="002A75F2">
        <w:rPr>
          <w:rFonts w:cs="Arial"/>
        </w:rPr>
        <w:t>the</w:t>
      </w:r>
      <w:r w:rsidRPr="002A75F2">
        <w:rPr>
          <w:rFonts w:cs="Arial"/>
          <w:spacing w:val="26"/>
        </w:rPr>
        <w:t xml:space="preserve"> </w:t>
      </w:r>
      <w:r w:rsidRPr="002A75F2">
        <w:rPr>
          <w:rFonts w:cs="Arial"/>
        </w:rPr>
        <w:t>legislative</w:t>
      </w:r>
      <w:r w:rsidRPr="002A75F2">
        <w:rPr>
          <w:rFonts w:cs="Arial"/>
          <w:spacing w:val="20"/>
        </w:rPr>
        <w:t xml:space="preserve"> </w:t>
      </w:r>
      <w:r w:rsidRPr="002A75F2">
        <w:rPr>
          <w:rFonts w:cs="Arial"/>
        </w:rPr>
        <w:t>a</w:t>
      </w:r>
      <w:r w:rsidRPr="002A75F2">
        <w:rPr>
          <w:rFonts w:cs="Arial"/>
          <w:spacing w:val="-2"/>
        </w:rPr>
        <w:t>n</w:t>
      </w:r>
      <w:r w:rsidRPr="002A75F2">
        <w:rPr>
          <w:rFonts w:cs="Arial"/>
        </w:rPr>
        <w:t>d</w:t>
      </w:r>
      <w:r w:rsidRPr="002A75F2">
        <w:rPr>
          <w:rFonts w:cs="Arial"/>
          <w:spacing w:val="38"/>
        </w:rPr>
        <w:t xml:space="preserve"> </w:t>
      </w:r>
      <w:r w:rsidRPr="002A75F2">
        <w:rPr>
          <w:rFonts w:cs="Arial"/>
          <w:w w:val="109"/>
        </w:rPr>
        <w:t>regulatory</w:t>
      </w:r>
      <w:r w:rsidRPr="002A75F2">
        <w:rPr>
          <w:rFonts w:cs="Arial"/>
          <w:spacing w:val="-5"/>
          <w:w w:val="109"/>
        </w:rPr>
        <w:t xml:space="preserve"> </w:t>
      </w:r>
      <w:r w:rsidRPr="002A75F2">
        <w:rPr>
          <w:rFonts w:cs="Arial"/>
          <w:w w:val="109"/>
        </w:rPr>
        <w:t xml:space="preserve">requirements </w:t>
      </w:r>
      <w:r w:rsidRPr="002A75F2">
        <w:rPr>
          <w:rFonts w:cs="Arial"/>
        </w:rPr>
        <w:t>given</w:t>
      </w:r>
      <w:r w:rsidRPr="002A75F2">
        <w:rPr>
          <w:rFonts w:cs="Arial"/>
          <w:spacing w:val="11"/>
        </w:rPr>
        <w:t xml:space="preserve"> </w:t>
      </w:r>
      <w:r w:rsidRPr="002A75F2">
        <w:rPr>
          <w:rFonts w:cs="Arial"/>
        </w:rPr>
        <w:t>in</w:t>
      </w:r>
      <w:r w:rsidRPr="002A75F2">
        <w:rPr>
          <w:rFonts w:cs="Arial"/>
          <w:spacing w:val="13"/>
        </w:rPr>
        <w:t xml:space="preserve"> </w:t>
      </w:r>
      <w:r w:rsidRPr="002A75F2">
        <w:rPr>
          <w:rFonts w:cs="Arial"/>
        </w:rPr>
        <w:t>this</w:t>
      </w:r>
      <w:r w:rsidRPr="002A75F2">
        <w:rPr>
          <w:rFonts w:cs="Arial"/>
          <w:spacing w:val="24"/>
        </w:rPr>
        <w:t xml:space="preserve"> </w:t>
      </w:r>
      <w:r w:rsidR="00902FFB" w:rsidRPr="002A75F2">
        <w:rPr>
          <w:rFonts w:cs="Arial"/>
        </w:rPr>
        <w:t xml:space="preserve">Procedures </w:t>
      </w:r>
      <w:r w:rsidR="00F0344F" w:rsidRPr="002A75F2">
        <w:rPr>
          <w:rFonts w:cs="Arial"/>
        </w:rPr>
        <w:t>d</w:t>
      </w:r>
      <w:r w:rsidR="00902FFB" w:rsidRPr="002A75F2">
        <w:rPr>
          <w:rFonts w:cs="Arial"/>
        </w:rPr>
        <w:t>ocument</w:t>
      </w:r>
      <w:r w:rsidRPr="002A75F2">
        <w:rPr>
          <w:rFonts w:cs="Arial"/>
          <w:spacing w:val="35"/>
        </w:rPr>
        <w:t xml:space="preserve"> </w:t>
      </w:r>
      <w:r w:rsidRPr="002A75F2">
        <w:rPr>
          <w:rFonts w:cs="Arial"/>
        </w:rPr>
        <w:t>is</w:t>
      </w:r>
      <w:r w:rsidRPr="002A75F2">
        <w:rPr>
          <w:rFonts w:cs="Arial"/>
          <w:spacing w:val="-2"/>
        </w:rPr>
        <w:t xml:space="preserve"> </w:t>
      </w:r>
      <w:r w:rsidRPr="002A75F2">
        <w:rPr>
          <w:rFonts w:cs="Arial"/>
        </w:rPr>
        <w:t>for</w:t>
      </w:r>
      <w:r w:rsidRPr="002A75F2">
        <w:rPr>
          <w:rFonts w:cs="Arial"/>
          <w:spacing w:val="25"/>
        </w:rPr>
        <w:t xml:space="preserve"> </w:t>
      </w:r>
      <w:r w:rsidRPr="002A75F2">
        <w:rPr>
          <w:rFonts w:cs="Arial"/>
        </w:rPr>
        <w:t>convenience</w:t>
      </w:r>
      <w:r w:rsidRPr="002A75F2">
        <w:rPr>
          <w:rFonts w:cs="Arial"/>
          <w:spacing w:val="36"/>
        </w:rPr>
        <w:t xml:space="preserve"> </w:t>
      </w:r>
      <w:r w:rsidRPr="002A75F2">
        <w:rPr>
          <w:rFonts w:cs="Arial"/>
        </w:rPr>
        <w:t>only. A copy</w:t>
      </w:r>
      <w:r w:rsidRPr="002A75F2">
        <w:rPr>
          <w:rFonts w:cs="Arial"/>
          <w:spacing w:val="9"/>
        </w:rPr>
        <w:t xml:space="preserve"> </w:t>
      </w:r>
      <w:r w:rsidRPr="002A75F2">
        <w:rPr>
          <w:rFonts w:cs="Arial"/>
        </w:rPr>
        <w:t>of the</w:t>
      </w:r>
      <w:r w:rsidRPr="002A75F2">
        <w:rPr>
          <w:rFonts w:cs="Arial"/>
          <w:spacing w:val="26"/>
        </w:rPr>
        <w:t xml:space="preserve"> </w:t>
      </w:r>
      <w:r w:rsidRPr="002A75F2">
        <w:rPr>
          <w:rFonts w:cs="Arial"/>
        </w:rPr>
        <w:t>relevant legislation</w:t>
      </w:r>
      <w:r w:rsidRPr="002A75F2">
        <w:rPr>
          <w:rFonts w:cs="Arial"/>
          <w:spacing w:val="30"/>
        </w:rPr>
        <w:t xml:space="preserve"> </w:t>
      </w:r>
      <w:r w:rsidRPr="002A75F2">
        <w:rPr>
          <w:rFonts w:cs="Arial"/>
          <w:w w:val="111"/>
        </w:rPr>
        <w:t xml:space="preserve">and </w:t>
      </w:r>
      <w:r w:rsidRPr="002A75F2">
        <w:rPr>
          <w:rFonts w:cs="Arial"/>
          <w:w w:val="107"/>
        </w:rPr>
        <w:t>regulations</w:t>
      </w:r>
      <w:r w:rsidRPr="002A75F2">
        <w:rPr>
          <w:rFonts w:cs="Arial"/>
          <w:spacing w:val="-4"/>
          <w:w w:val="107"/>
        </w:rPr>
        <w:t xml:space="preserve"> </w:t>
      </w:r>
      <w:r w:rsidRPr="002A75F2">
        <w:rPr>
          <w:rFonts w:cs="Arial"/>
        </w:rPr>
        <w:t>should</w:t>
      </w:r>
      <w:r w:rsidRPr="002A75F2">
        <w:rPr>
          <w:rFonts w:cs="Arial"/>
          <w:spacing w:val="38"/>
        </w:rPr>
        <w:t xml:space="preserve"> </w:t>
      </w:r>
      <w:r w:rsidRPr="002A75F2">
        <w:rPr>
          <w:rFonts w:cs="Arial"/>
        </w:rPr>
        <w:t>be</w:t>
      </w:r>
      <w:r w:rsidRPr="002A75F2">
        <w:rPr>
          <w:rFonts w:cs="Arial"/>
          <w:spacing w:val="11"/>
        </w:rPr>
        <w:t xml:space="preserve"> </w:t>
      </w:r>
      <w:r w:rsidRPr="002A75F2">
        <w:rPr>
          <w:rFonts w:cs="Arial"/>
        </w:rPr>
        <w:t>obtained</w:t>
      </w:r>
      <w:r w:rsidRPr="002A75F2">
        <w:rPr>
          <w:rFonts w:cs="Arial"/>
          <w:spacing w:val="6"/>
        </w:rPr>
        <w:t xml:space="preserve"> </w:t>
      </w:r>
      <w:r w:rsidR="00A77E48" w:rsidRPr="002A75F2">
        <w:rPr>
          <w:rFonts w:cs="Arial"/>
          <w:spacing w:val="6"/>
        </w:rPr>
        <w:t xml:space="preserve">and reviewed </w:t>
      </w:r>
      <w:r w:rsidRPr="002A75F2">
        <w:rPr>
          <w:rFonts w:cs="Arial"/>
        </w:rPr>
        <w:t>to</w:t>
      </w:r>
      <w:r w:rsidRPr="002A75F2">
        <w:rPr>
          <w:rFonts w:cs="Arial"/>
          <w:spacing w:val="13"/>
        </w:rPr>
        <w:t xml:space="preserve"> </w:t>
      </w:r>
      <w:r w:rsidRPr="002A75F2">
        <w:rPr>
          <w:rFonts w:cs="Arial"/>
          <w:spacing w:val="-2"/>
          <w:w w:val="108"/>
        </w:rPr>
        <w:t>d</w:t>
      </w:r>
      <w:r w:rsidRPr="002A75F2">
        <w:rPr>
          <w:rFonts w:cs="Arial"/>
          <w:w w:val="108"/>
        </w:rPr>
        <w:t>etermine</w:t>
      </w:r>
      <w:r w:rsidRPr="002A75F2">
        <w:rPr>
          <w:rFonts w:cs="Arial"/>
          <w:spacing w:val="-3"/>
          <w:w w:val="108"/>
        </w:rPr>
        <w:t xml:space="preserve"> </w:t>
      </w:r>
      <w:r w:rsidRPr="002A75F2">
        <w:rPr>
          <w:rFonts w:cs="Arial"/>
        </w:rPr>
        <w:t>t</w:t>
      </w:r>
      <w:r w:rsidRPr="002A75F2">
        <w:rPr>
          <w:rFonts w:cs="Arial"/>
          <w:spacing w:val="-2"/>
        </w:rPr>
        <w:t>h</w:t>
      </w:r>
      <w:r w:rsidRPr="002A75F2">
        <w:rPr>
          <w:rFonts w:cs="Arial"/>
        </w:rPr>
        <w:t>e</w:t>
      </w:r>
      <w:r w:rsidRPr="002A75F2">
        <w:rPr>
          <w:rFonts w:cs="Arial"/>
          <w:spacing w:val="25"/>
        </w:rPr>
        <w:t xml:space="preserve"> </w:t>
      </w:r>
      <w:r w:rsidRPr="002A75F2">
        <w:rPr>
          <w:rFonts w:cs="Arial"/>
        </w:rPr>
        <w:t>exact</w:t>
      </w:r>
      <w:r w:rsidRPr="002A75F2">
        <w:rPr>
          <w:rFonts w:cs="Arial"/>
          <w:spacing w:val="25"/>
        </w:rPr>
        <w:t xml:space="preserve"> </w:t>
      </w:r>
      <w:r w:rsidRPr="002A75F2">
        <w:rPr>
          <w:rFonts w:cs="Arial"/>
          <w:w w:val="109"/>
        </w:rPr>
        <w:t>requirements</w:t>
      </w:r>
      <w:r w:rsidR="00A77E48" w:rsidRPr="002A75F2">
        <w:rPr>
          <w:rFonts w:cs="Arial"/>
          <w:w w:val="109"/>
        </w:rPr>
        <w:t xml:space="preserve">, </w:t>
      </w:r>
      <w:r w:rsidR="0098251A" w:rsidRPr="002A75F2">
        <w:rPr>
          <w:rFonts w:cs="Arial"/>
          <w:w w:val="109"/>
        </w:rPr>
        <w:t xml:space="preserve">refer to Ontario’s </w:t>
      </w:r>
      <w:hyperlink r:id="rId11" w:history="1">
        <w:r w:rsidR="0098251A" w:rsidRPr="002A75F2">
          <w:rPr>
            <w:rStyle w:val="Hyperlink"/>
            <w:rFonts w:cs="Arial"/>
            <w:w w:val="109"/>
          </w:rPr>
          <w:t>e-Laws website</w:t>
        </w:r>
      </w:hyperlink>
      <w:r w:rsidR="00133FF5" w:rsidRPr="002A75F2">
        <w:rPr>
          <w:rFonts w:cs="Arial"/>
          <w:w w:val="109"/>
        </w:rPr>
        <w:t xml:space="preserve"> (URL:</w:t>
      </w:r>
      <w:r w:rsidR="006A302A" w:rsidRPr="002A75F2">
        <w:rPr>
          <w:rFonts w:cs="Arial"/>
          <w:w w:val="109"/>
        </w:rPr>
        <w:t xml:space="preserve"> https://www.ontario.ca/laws)</w:t>
      </w:r>
      <w:r w:rsidR="003B1669" w:rsidRPr="002A75F2">
        <w:rPr>
          <w:rFonts w:cs="Arial"/>
          <w:w w:val="109"/>
        </w:rPr>
        <w:t>.</w:t>
      </w:r>
    </w:p>
    <w:p w14:paraId="6824E8BC" w14:textId="77777777" w:rsidR="002A0F41" w:rsidRPr="008D65C3" w:rsidRDefault="002A0F41" w:rsidP="00BD03AF">
      <w:pPr>
        <w:ind w:right="102"/>
        <w:rPr>
          <w:rFonts w:cs="Arial"/>
        </w:rPr>
      </w:pPr>
      <w:r w:rsidRPr="002A75F2">
        <w:rPr>
          <w:rFonts w:cs="Arial"/>
          <w:position w:val="-1"/>
        </w:rPr>
        <w:t>This</w:t>
      </w:r>
      <w:r w:rsidRPr="002A75F2">
        <w:rPr>
          <w:rFonts w:cs="Arial"/>
          <w:spacing w:val="-4"/>
          <w:position w:val="-1"/>
        </w:rPr>
        <w:t xml:space="preserve"> </w:t>
      </w:r>
      <w:r w:rsidR="00902FFB" w:rsidRPr="002A75F2">
        <w:rPr>
          <w:rFonts w:cs="Arial"/>
          <w:position w:val="-1"/>
        </w:rPr>
        <w:t xml:space="preserve">Procedures </w:t>
      </w:r>
      <w:r w:rsidR="00F0344F" w:rsidRPr="002A75F2">
        <w:rPr>
          <w:rFonts w:cs="Arial"/>
          <w:position w:val="-1"/>
        </w:rPr>
        <w:t>d</w:t>
      </w:r>
      <w:r w:rsidR="00902FFB" w:rsidRPr="002A75F2">
        <w:rPr>
          <w:rFonts w:cs="Arial"/>
          <w:position w:val="-1"/>
        </w:rPr>
        <w:t xml:space="preserve">ocument </w:t>
      </w:r>
      <w:r w:rsidRPr="002A75F2">
        <w:rPr>
          <w:rFonts w:cs="Arial"/>
          <w:spacing w:val="-2"/>
          <w:position w:val="-1"/>
        </w:rPr>
        <w:t>m</w:t>
      </w:r>
      <w:r w:rsidRPr="002A75F2">
        <w:rPr>
          <w:rFonts w:cs="Arial"/>
          <w:position w:val="-1"/>
        </w:rPr>
        <w:t>ay</w:t>
      </w:r>
      <w:r w:rsidRPr="002A75F2">
        <w:rPr>
          <w:rFonts w:cs="Arial"/>
          <w:spacing w:val="-3"/>
          <w:position w:val="-1"/>
        </w:rPr>
        <w:t xml:space="preserve"> </w:t>
      </w:r>
      <w:r w:rsidRPr="002A75F2">
        <w:rPr>
          <w:rFonts w:cs="Arial"/>
          <w:position w:val="-1"/>
        </w:rPr>
        <w:t>be</w:t>
      </w:r>
      <w:r w:rsidRPr="002A75F2">
        <w:rPr>
          <w:rFonts w:cs="Arial"/>
          <w:spacing w:val="-2"/>
          <w:position w:val="-1"/>
        </w:rPr>
        <w:t xml:space="preserve"> </w:t>
      </w:r>
      <w:r w:rsidR="00A77E48" w:rsidRPr="002A75F2">
        <w:rPr>
          <w:rFonts w:cs="Arial"/>
          <w:spacing w:val="2"/>
          <w:position w:val="-1"/>
        </w:rPr>
        <w:t>updated</w:t>
      </w:r>
      <w:r w:rsidRPr="002A75F2">
        <w:rPr>
          <w:rFonts w:cs="Arial"/>
          <w:spacing w:val="-9"/>
          <w:position w:val="-1"/>
        </w:rPr>
        <w:t xml:space="preserve"> </w:t>
      </w:r>
      <w:r w:rsidRPr="002A75F2">
        <w:rPr>
          <w:rFonts w:cs="Arial"/>
          <w:position w:val="-1"/>
        </w:rPr>
        <w:t>from</w:t>
      </w:r>
      <w:r w:rsidRPr="002A75F2">
        <w:rPr>
          <w:rFonts w:cs="Arial"/>
          <w:spacing w:val="-7"/>
          <w:position w:val="-1"/>
        </w:rPr>
        <w:t xml:space="preserve"> </w:t>
      </w:r>
      <w:r w:rsidRPr="002A75F2">
        <w:rPr>
          <w:rFonts w:cs="Arial"/>
          <w:position w:val="-1"/>
        </w:rPr>
        <w:t>ti</w:t>
      </w:r>
      <w:r w:rsidRPr="002A75F2">
        <w:rPr>
          <w:rFonts w:cs="Arial"/>
          <w:spacing w:val="-2"/>
          <w:position w:val="-1"/>
        </w:rPr>
        <w:t>m</w:t>
      </w:r>
      <w:r w:rsidRPr="002A75F2">
        <w:rPr>
          <w:rFonts w:cs="Arial"/>
          <w:position w:val="-1"/>
        </w:rPr>
        <w:t>e</w:t>
      </w:r>
      <w:r w:rsidRPr="002A75F2">
        <w:rPr>
          <w:rFonts w:cs="Arial"/>
          <w:spacing w:val="-4"/>
          <w:position w:val="-1"/>
        </w:rPr>
        <w:t xml:space="preserve"> </w:t>
      </w:r>
      <w:r w:rsidRPr="002A75F2">
        <w:rPr>
          <w:rFonts w:cs="Arial"/>
          <w:position w:val="-1"/>
        </w:rPr>
        <w:t>to</w:t>
      </w:r>
      <w:r w:rsidRPr="002A75F2">
        <w:rPr>
          <w:rFonts w:cs="Arial"/>
          <w:spacing w:val="-2"/>
          <w:position w:val="-1"/>
        </w:rPr>
        <w:t xml:space="preserve"> </w:t>
      </w:r>
      <w:r w:rsidRPr="002A75F2">
        <w:rPr>
          <w:rFonts w:cs="Arial"/>
          <w:position w:val="-1"/>
        </w:rPr>
        <w:t>t</w:t>
      </w:r>
      <w:r w:rsidRPr="002A75F2">
        <w:rPr>
          <w:rFonts w:cs="Arial"/>
          <w:spacing w:val="2"/>
          <w:position w:val="-1"/>
        </w:rPr>
        <w:t>i</w:t>
      </w:r>
      <w:r w:rsidRPr="002A75F2">
        <w:rPr>
          <w:rFonts w:cs="Arial"/>
          <w:spacing w:val="-2"/>
          <w:position w:val="-1"/>
        </w:rPr>
        <w:t>m</w:t>
      </w:r>
      <w:r w:rsidRPr="002A75F2">
        <w:rPr>
          <w:rFonts w:cs="Arial"/>
          <w:position w:val="-1"/>
        </w:rPr>
        <w:t>e.</w:t>
      </w:r>
    </w:p>
    <w:p w14:paraId="6B016B21" w14:textId="77777777" w:rsidR="001C77D8" w:rsidRPr="008D65C3" w:rsidRDefault="001C77D8" w:rsidP="0051765A">
      <w:pPr>
        <w:widowControl w:val="0"/>
        <w:autoSpaceDE w:val="0"/>
        <w:autoSpaceDN w:val="0"/>
        <w:adjustRightInd w:val="0"/>
        <w:spacing w:before="0" w:after="0"/>
        <w:ind w:right="-20"/>
        <w:rPr>
          <w:rFonts w:cs="Arial"/>
          <w:lang w:val="pt-BR" w:eastAsia="en-CA"/>
        </w:rPr>
      </w:pPr>
    </w:p>
    <w:p w14:paraId="3077D457" w14:textId="145DE64F" w:rsidR="00263B3E" w:rsidRPr="008C377A" w:rsidRDefault="0051765A" w:rsidP="002E7F31">
      <w:pPr>
        <w:pStyle w:val="TOC1"/>
        <w:jc w:val="center"/>
        <w:rPr>
          <w:sz w:val="28"/>
          <w:szCs w:val="28"/>
        </w:rPr>
      </w:pPr>
      <w:r w:rsidRPr="008D65C3">
        <w:rPr>
          <w:sz w:val="28"/>
          <w:szCs w:val="28"/>
        </w:rPr>
        <w:br w:type="page"/>
      </w:r>
      <w:r w:rsidR="00263B3E" w:rsidRPr="008C377A">
        <w:rPr>
          <w:sz w:val="28"/>
          <w:szCs w:val="28"/>
        </w:rPr>
        <w:lastRenderedPageBreak/>
        <w:t>Table of Contents</w:t>
      </w:r>
    </w:p>
    <w:p w14:paraId="0019D11F" w14:textId="77777777" w:rsidR="00263B3E" w:rsidRPr="008C377A" w:rsidRDefault="00263B3E" w:rsidP="00B34DE4">
      <w:pPr>
        <w:rPr>
          <w:rFonts w:cs="Arial"/>
        </w:rPr>
      </w:pPr>
    </w:p>
    <w:p w14:paraId="657B5B75" w14:textId="65D91FF9" w:rsidR="003A7891" w:rsidRDefault="00C23E3A">
      <w:pPr>
        <w:pStyle w:val="TOC2"/>
        <w:rPr>
          <w:rFonts w:asciiTheme="minorHAnsi" w:eastAsiaTheme="minorEastAsia" w:hAnsiTheme="minorHAnsi" w:cstheme="minorBidi"/>
          <w:color w:val="auto"/>
          <w:spacing w:val="0"/>
          <w:sz w:val="22"/>
          <w:szCs w:val="22"/>
        </w:rPr>
      </w:pPr>
      <w:r w:rsidRPr="008C377A">
        <w:rPr>
          <w:rFonts w:cs="Arial"/>
          <w:sz w:val="28"/>
          <w:szCs w:val="28"/>
        </w:rPr>
        <w:fldChar w:fldCharType="begin"/>
      </w:r>
      <w:r w:rsidRPr="008C377A">
        <w:rPr>
          <w:rFonts w:cs="Arial"/>
          <w:sz w:val="28"/>
          <w:szCs w:val="28"/>
        </w:rPr>
        <w:instrText xml:space="preserve"> TOC \o "1-3" \h \z \u </w:instrText>
      </w:r>
      <w:r w:rsidRPr="008C377A">
        <w:rPr>
          <w:rFonts w:cs="Arial"/>
          <w:sz w:val="28"/>
          <w:szCs w:val="28"/>
        </w:rPr>
        <w:fldChar w:fldCharType="separate"/>
      </w:r>
      <w:hyperlink w:anchor="_Toc41905636" w:history="1">
        <w:r w:rsidR="003A7891" w:rsidRPr="00E171BF">
          <w:rPr>
            <w:rStyle w:val="Hyperlink"/>
            <w:b/>
            <w:lang w:val="pt-BR" w:eastAsia="en-CA"/>
          </w:rPr>
          <w:t>PREFACE</w:t>
        </w:r>
        <w:r w:rsidR="003A7891">
          <w:rPr>
            <w:webHidden/>
          </w:rPr>
          <w:tab/>
        </w:r>
        <w:r w:rsidR="003A7891">
          <w:rPr>
            <w:webHidden/>
          </w:rPr>
          <w:fldChar w:fldCharType="begin"/>
        </w:r>
        <w:r w:rsidR="003A7891">
          <w:rPr>
            <w:webHidden/>
          </w:rPr>
          <w:instrText xml:space="preserve"> PAGEREF _Toc41905636 \h </w:instrText>
        </w:r>
        <w:r w:rsidR="003A7891">
          <w:rPr>
            <w:webHidden/>
          </w:rPr>
        </w:r>
        <w:r w:rsidR="003A7891">
          <w:rPr>
            <w:webHidden/>
          </w:rPr>
          <w:fldChar w:fldCharType="separate"/>
        </w:r>
        <w:r w:rsidR="003A7891">
          <w:rPr>
            <w:webHidden/>
          </w:rPr>
          <w:t>ii</w:t>
        </w:r>
        <w:r w:rsidR="003A7891">
          <w:rPr>
            <w:webHidden/>
          </w:rPr>
          <w:fldChar w:fldCharType="end"/>
        </w:r>
      </w:hyperlink>
    </w:p>
    <w:p w14:paraId="487083B3" w14:textId="1FE223DC" w:rsidR="003A7891" w:rsidRDefault="003C4809">
      <w:pPr>
        <w:pStyle w:val="TOC2"/>
        <w:rPr>
          <w:rFonts w:asciiTheme="minorHAnsi" w:eastAsiaTheme="minorEastAsia" w:hAnsiTheme="minorHAnsi" w:cstheme="minorBidi"/>
          <w:color w:val="auto"/>
          <w:spacing w:val="0"/>
          <w:sz w:val="22"/>
          <w:szCs w:val="22"/>
        </w:rPr>
      </w:pPr>
      <w:hyperlink w:anchor="_Toc41905637" w:history="1">
        <w:r w:rsidR="003A7891" w:rsidRPr="00E171BF">
          <w:rPr>
            <w:rStyle w:val="Hyperlink"/>
            <w:b/>
          </w:rPr>
          <w:t>List of Commonly Used Terms and Abbreviations</w:t>
        </w:r>
        <w:r w:rsidR="003A7891">
          <w:rPr>
            <w:webHidden/>
          </w:rPr>
          <w:tab/>
        </w:r>
        <w:r w:rsidR="003A7891">
          <w:rPr>
            <w:webHidden/>
          </w:rPr>
          <w:fldChar w:fldCharType="begin"/>
        </w:r>
        <w:r w:rsidR="003A7891">
          <w:rPr>
            <w:webHidden/>
          </w:rPr>
          <w:instrText xml:space="preserve"> PAGEREF _Toc41905637 \h </w:instrText>
        </w:r>
        <w:r w:rsidR="003A7891">
          <w:rPr>
            <w:webHidden/>
          </w:rPr>
        </w:r>
        <w:r w:rsidR="003A7891">
          <w:rPr>
            <w:webHidden/>
          </w:rPr>
          <w:fldChar w:fldCharType="separate"/>
        </w:r>
        <w:r w:rsidR="003A7891">
          <w:rPr>
            <w:webHidden/>
          </w:rPr>
          <w:t>viii</w:t>
        </w:r>
        <w:r w:rsidR="003A7891">
          <w:rPr>
            <w:webHidden/>
          </w:rPr>
          <w:fldChar w:fldCharType="end"/>
        </w:r>
      </w:hyperlink>
    </w:p>
    <w:p w14:paraId="1F794EF5" w14:textId="7CEAD718" w:rsidR="003A7891" w:rsidRDefault="003C4809">
      <w:pPr>
        <w:pStyle w:val="TOC1"/>
        <w:rPr>
          <w:rFonts w:asciiTheme="minorHAnsi" w:eastAsiaTheme="minorEastAsia" w:hAnsiTheme="minorHAnsi" w:cstheme="minorBidi"/>
          <w:b w:val="0"/>
          <w:color w:val="auto"/>
          <w:spacing w:val="0"/>
          <w:sz w:val="22"/>
          <w:szCs w:val="22"/>
        </w:rPr>
      </w:pPr>
      <w:hyperlink w:anchor="_Toc41905638" w:history="1">
        <w:r w:rsidR="003A7891" w:rsidRPr="00E171BF">
          <w:rPr>
            <w:rStyle w:val="Hyperlink"/>
          </w:rPr>
          <w:t>Section 1.</w:t>
        </w:r>
        <w:r w:rsidR="003A7891">
          <w:rPr>
            <w:rFonts w:asciiTheme="minorHAnsi" w:eastAsiaTheme="minorEastAsia" w:hAnsiTheme="minorHAnsi" w:cstheme="minorBidi"/>
            <w:b w:val="0"/>
            <w:color w:val="auto"/>
            <w:spacing w:val="0"/>
            <w:sz w:val="22"/>
            <w:szCs w:val="22"/>
          </w:rPr>
          <w:tab/>
        </w:r>
        <w:r w:rsidR="003A7891" w:rsidRPr="00E171BF">
          <w:rPr>
            <w:rStyle w:val="Hyperlink"/>
          </w:rPr>
          <w:t>Initiating the Risk Assessment</w:t>
        </w:r>
        <w:r w:rsidR="003A7891">
          <w:rPr>
            <w:webHidden/>
          </w:rPr>
          <w:tab/>
        </w:r>
        <w:r w:rsidR="003A7891">
          <w:rPr>
            <w:webHidden/>
          </w:rPr>
          <w:fldChar w:fldCharType="begin"/>
        </w:r>
        <w:r w:rsidR="003A7891">
          <w:rPr>
            <w:webHidden/>
          </w:rPr>
          <w:instrText xml:space="preserve"> PAGEREF _Toc41905638 \h </w:instrText>
        </w:r>
        <w:r w:rsidR="003A7891">
          <w:rPr>
            <w:webHidden/>
          </w:rPr>
        </w:r>
        <w:r w:rsidR="003A7891">
          <w:rPr>
            <w:webHidden/>
          </w:rPr>
          <w:fldChar w:fldCharType="separate"/>
        </w:r>
        <w:r w:rsidR="003A7891">
          <w:rPr>
            <w:webHidden/>
          </w:rPr>
          <w:t>1</w:t>
        </w:r>
        <w:r w:rsidR="003A7891">
          <w:rPr>
            <w:webHidden/>
          </w:rPr>
          <w:fldChar w:fldCharType="end"/>
        </w:r>
      </w:hyperlink>
    </w:p>
    <w:p w14:paraId="0BD6DA2F" w14:textId="39AA181C" w:rsidR="003A7891" w:rsidRDefault="003C4809">
      <w:pPr>
        <w:pStyle w:val="TOC2"/>
        <w:rPr>
          <w:rFonts w:asciiTheme="minorHAnsi" w:eastAsiaTheme="minorEastAsia" w:hAnsiTheme="minorHAnsi" w:cstheme="minorBidi"/>
          <w:color w:val="auto"/>
          <w:spacing w:val="0"/>
          <w:sz w:val="22"/>
          <w:szCs w:val="22"/>
        </w:rPr>
      </w:pPr>
      <w:hyperlink w:anchor="_Toc41905639" w:history="1">
        <w:r w:rsidR="003A7891" w:rsidRPr="00E171BF">
          <w:rPr>
            <w:rStyle w:val="Hyperlink"/>
            <w:rFonts w:cs="Arial"/>
          </w:rPr>
          <w:t>1.1.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Introduction</w:t>
        </w:r>
        <w:r w:rsidR="003A7891">
          <w:rPr>
            <w:webHidden/>
          </w:rPr>
          <w:tab/>
        </w:r>
        <w:r w:rsidR="003A7891">
          <w:rPr>
            <w:webHidden/>
          </w:rPr>
          <w:fldChar w:fldCharType="begin"/>
        </w:r>
        <w:r w:rsidR="003A7891">
          <w:rPr>
            <w:webHidden/>
          </w:rPr>
          <w:instrText xml:space="preserve"> PAGEREF _Toc41905639 \h </w:instrText>
        </w:r>
        <w:r w:rsidR="003A7891">
          <w:rPr>
            <w:webHidden/>
          </w:rPr>
        </w:r>
        <w:r w:rsidR="003A7891">
          <w:rPr>
            <w:webHidden/>
          </w:rPr>
          <w:fldChar w:fldCharType="separate"/>
        </w:r>
        <w:r w:rsidR="003A7891">
          <w:rPr>
            <w:webHidden/>
          </w:rPr>
          <w:t>1</w:t>
        </w:r>
        <w:r w:rsidR="003A7891">
          <w:rPr>
            <w:webHidden/>
          </w:rPr>
          <w:fldChar w:fldCharType="end"/>
        </w:r>
      </w:hyperlink>
    </w:p>
    <w:p w14:paraId="4C7CF3FF" w14:textId="1A20BB01" w:rsidR="003A7891" w:rsidRDefault="003C4809">
      <w:pPr>
        <w:pStyle w:val="TOC2"/>
        <w:rPr>
          <w:rFonts w:asciiTheme="minorHAnsi" w:eastAsiaTheme="minorEastAsia" w:hAnsiTheme="minorHAnsi" w:cstheme="minorBidi"/>
          <w:color w:val="auto"/>
          <w:spacing w:val="0"/>
          <w:sz w:val="22"/>
          <w:szCs w:val="22"/>
        </w:rPr>
      </w:pPr>
      <w:hyperlink w:anchor="_Toc41905640" w:history="1">
        <w:r w:rsidR="003A7891" w:rsidRPr="00E171BF">
          <w:rPr>
            <w:rStyle w:val="Hyperlink"/>
            <w:rFonts w:cs="Arial"/>
          </w:rPr>
          <w:t>1.2.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Background to Risk Assessment</w:t>
        </w:r>
        <w:r w:rsidR="003A7891">
          <w:rPr>
            <w:webHidden/>
          </w:rPr>
          <w:tab/>
        </w:r>
        <w:r w:rsidR="003A7891">
          <w:rPr>
            <w:webHidden/>
          </w:rPr>
          <w:fldChar w:fldCharType="begin"/>
        </w:r>
        <w:r w:rsidR="003A7891">
          <w:rPr>
            <w:webHidden/>
          </w:rPr>
          <w:instrText xml:space="preserve"> PAGEREF _Toc41905640 \h </w:instrText>
        </w:r>
        <w:r w:rsidR="003A7891">
          <w:rPr>
            <w:webHidden/>
          </w:rPr>
        </w:r>
        <w:r w:rsidR="003A7891">
          <w:rPr>
            <w:webHidden/>
          </w:rPr>
          <w:fldChar w:fldCharType="separate"/>
        </w:r>
        <w:r w:rsidR="003A7891">
          <w:rPr>
            <w:webHidden/>
          </w:rPr>
          <w:t>2</w:t>
        </w:r>
        <w:r w:rsidR="003A7891">
          <w:rPr>
            <w:webHidden/>
          </w:rPr>
          <w:fldChar w:fldCharType="end"/>
        </w:r>
      </w:hyperlink>
    </w:p>
    <w:p w14:paraId="70A95CF1" w14:textId="5C616771" w:rsidR="003A7891" w:rsidRDefault="003C4809">
      <w:pPr>
        <w:pStyle w:val="TOC2"/>
        <w:rPr>
          <w:rFonts w:asciiTheme="minorHAnsi" w:eastAsiaTheme="minorEastAsia" w:hAnsiTheme="minorHAnsi" w:cstheme="minorBidi"/>
          <w:color w:val="auto"/>
          <w:spacing w:val="0"/>
          <w:sz w:val="22"/>
          <w:szCs w:val="22"/>
        </w:rPr>
      </w:pPr>
      <w:hyperlink w:anchor="_Toc41905641" w:history="1">
        <w:r w:rsidR="003A7891" w:rsidRPr="00E171BF">
          <w:rPr>
            <w:rStyle w:val="Hyperlink"/>
            <w:rFonts w:cs="Arial"/>
          </w:rPr>
          <w:t>1.3.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Purpose of Risk Assessment Under the Regulation</w:t>
        </w:r>
        <w:r w:rsidR="003A7891">
          <w:rPr>
            <w:webHidden/>
          </w:rPr>
          <w:tab/>
        </w:r>
        <w:r w:rsidR="003A7891">
          <w:rPr>
            <w:webHidden/>
          </w:rPr>
          <w:fldChar w:fldCharType="begin"/>
        </w:r>
        <w:r w:rsidR="003A7891">
          <w:rPr>
            <w:webHidden/>
          </w:rPr>
          <w:instrText xml:space="preserve"> PAGEREF _Toc41905641 \h </w:instrText>
        </w:r>
        <w:r w:rsidR="003A7891">
          <w:rPr>
            <w:webHidden/>
          </w:rPr>
        </w:r>
        <w:r w:rsidR="003A7891">
          <w:rPr>
            <w:webHidden/>
          </w:rPr>
          <w:fldChar w:fldCharType="separate"/>
        </w:r>
        <w:r w:rsidR="003A7891">
          <w:rPr>
            <w:webHidden/>
          </w:rPr>
          <w:t>3</w:t>
        </w:r>
        <w:r w:rsidR="003A7891">
          <w:rPr>
            <w:webHidden/>
          </w:rPr>
          <w:fldChar w:fldCharType="end"/>
        </w:r>
      </w:hyperlink>
    </w:p>
    <w:p w14:paraId="2C5F8B8E" w14:textId="630DA4A9" w:rsidR="003A7891" w:rsidRDefault="003C4809">
      <w:pPr>
        <w:pStyle w:val="TOC2"/>
        <w:rPr>
          <w:rFonts w:asciiTheme="minorHAnsi" w:eastAsiaTheme="minorEastAsia" w:hAnsiTheme="minorHAnsi" w:cstheme="minorBidi"/>
          <w:color w:val="auto"/>
          <w:spacing w:val="0"/>
          <w:sz w:val="22"/>
          <w:szCs w:val="22"/>
        </w:rPr>
      </w:pPr>
      <w:hyperlink w:anchor="_Toc41905642" w:history="1">
        <w:r w:rsidR="003A7891" w:rsidRPr="00E171BF">
          <w:rPr>
            <w:rStyle w:val="Hyperlink"/>
            <w:rFonts w:cs="Arial"/>
          </w:rPr>
          <w:t>1.4.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Role and Responsibilities of the Risk Assessment Qualified Person</w:t>
        </w:r>
        <w:r w:rsidR="003A7891">
          <w:rPr>
            <w:webHidden/>
          </w:rPr>
          <w:tab/>
        </w:r>
        <w:r w:rsidR="003A7891">
          <w:rPr>
            <w:webHidden/>
          </w:rPr>
          <w:fldChar w:fldCharType="begin"/>
        </w:r>
        <w:r w:rsidR="003A7891">
          <w:rPr>
            <w:webHidden/>
          </w:rPr>
          <w:instrText xml:space="preserve"> PAGEREF _Toc41905642 \h </w:instrText>
        </w:r>
        <w:r w:rsidR="003A7891">
          <w:rPr>
            <w:webHidden/>
          </w:rPr>
        </w:r>
        <w:r w:rsidR="003A7891">
          <w:rPr>
            <w:webHidden/>
          </w:rPr>
          <w:fldChar w:fldCharType="separate"/>
        </w:r>
        <w:r w:rsidR="003A7891">
          <w:rPr>
            <w:webHidden/>
          </w:rPr>
          <w:t>4</w:t>
        </w:r>
        <w:r w:rsidR="003A7891">
          <w:rPr>
            <w:webHidden/>
          </w:rPr>
          <w:fldChar w:fldCharType="end"/>
        </w:r>
      </w:hyperlink>
    </w:p>
    <w:p w14:paraId="68797FC1" w14:textId="1A615E0F" w:rsidR="003A7891" w:rsidRDefault="003C4809">
      <w:pPr>
        <w:pStyle w:val="TOC3"/>
        <w:rPr>
          <w:rFonts w:asciiTheme="minorHAnsi" w:eastAsiaTheme="minorEastAsia" w:hAnsiTheme="minorHAnsi" w:cstheme="minorBidi"/>
          <w:bCs w:val="0"/>
          <w:noProof/>
          <w:color w:val="auto"/>
          <w:spacing w:val="0"/>
          <w:sz w:val="22"/>
          <w:szCs w:val="22"/>
        </w:rPr>
      </w:pPr>
      <w:hyperlink w:anchor="_Toc41905643" w:history="1">
        <w:r w:rsidR="003A7891" w:rsidRPr="00E171BF">
          <w:rPr>
            <w:rStyle w:val="Hyperlink"/>
            <w:rFonts w:cs="Arial"/>
            <w:noProof/>
            <w14:scene3d>
              <w14:camera w14:prst="orthographicFront"/>
              <w14:lightRig w14:rig="threePt" w14:dir="t">
                <w14:rot w14:lat="0" w14:lon="0" w14:rev="0"/>
              </w14:lightRig>
            </w14:scene3d>
          </w:rPr>
          <w:t>1.4.1.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Insurance and Conflict of Interest</w:t>
        </w:r>
        <w:r w:rsidR="003A7891">
          <w:rPr>
            <w:noProof/>
            <w:webHidden/>
          </w:rPr>
          <w:tab/>
        </w:r>
        <w:r w:rsidR="003A7891">
          <w:rPr>
            <w:noProof/>
            <w:webHidden/>
          </w:rPr>
          <w:fldChar w:fldCharType="begin"/>
        </w:r>
        <w:r w:rsidR="003A7891">
          <w:rPr>
            <w:noProof/>
            <w:webHidden/>
          </w:rPr>
          <w:instrText xml:space="preserve"> PAGEREF _Toc41905643 \h </w:instrText>
        </w:r>
        <w:r w:rsidR="003A7891">
          <w:rPr>
            <w:noProof/>
            <w:webHidden/>
          </w:rPr>
        </w:r>
        <w:r w:rsidR="003A7891">
          <w:rPr>
            <w:noProof/>
            <w:webHidden/>
          </w:rPr>
          <w:fldChar w:fldCharType="separate"/>
        </w:r>
        <w:r w:rsidR="003A7891">
          <w:rPr>
            <w:noProof/>
            <w:webHidden/>
          </w:rPr>
          <w:t>4</w:t>
        </w:r>
        <w:r w:rsidR="003A7891">
          <w:rPr>
            <w:noProof/>
            <w:webHidden/>
          </w:rPr>
          <w:fldChar w:fldCharType="end"/>
        </w:r>
      </w:hyperlink>
    </w:p>
    <w:p w14:paraId="1826FFA9" w14:textId="17502B8F" w:rsidR="003A7891" w:rsidRDefault="003C4809">
      <w:pPr>
        <w:pStyle w:val="TOC3"/>
        <w:rPr>
          <w:rFonts w:asciiTheme="minorHAnsi" w:eastAsiaTheme="minorEastAsia" w:hAnsiTheme="minorHAnsi" w:cstheme="minorBidi"/>
          <w:bCs w:val="0"/>
          <w:noProof/>
          <w:color w:val="auto"/>
          <w:spacing w:val="0"/>
          <w:sz w:val="22"/>
          <w:szCs w:val="22"/>
        </w:rPr>
      </w:pPr>
      <w:hyperlink w:anchor="_Toc41905644" w:history="1">
        <w:r w:rsidR="003A7891" w:rsidRPr="00E171BF">
          <w:rPr>
            <w:rStyle w:val="Hyperlink"/>
            <w:rFonts w:cs="Arial"/>
            <w:noProof/>
            <w14:scene3d>
              <w14:camera w14:prst="orthographicFront"/>
              <w14:lightRig w14:rig="threePt" w14:dir="t">
                <w14:rot w14:lat="0" w14:lon="0" w14:rev="0"/>
              </w14:lightRig>
            </w14:scene3d>
          </w:rPr>
          <w:t>1.4.2.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Mandatory Certifications</w:t>
        </w:r>
        <w:r w:rsidR="003A7891">
          <w:rPr>
            <w:noProof/>
            <w:webHidden/>
          </w:rPr>
          <w:tab/>
        </w:r>
        <w:r w:rsidR="003A7891">
          <w:rPr>
            <w:noProof/>
            <w:webHidden/>
          </w:rPr>
          <w:fldChar w:fldCharType="begin"/>
        </w:r>
        <w:r w:rsidR="003A7891">
          <w:rPr>
            <w:noProof/>
            <w:webHidden/>
          </w:rPr>
          <w:instrText xml:space="preserve"> PAGEREF _Toc41905644 \h </w:instrText>
        </w:r>
        <w:r w:rsidR="003A7891">
          <w:rPr>
            <w:noProof/>
            <w:webHidden/>
          </w:rPr>
        </w:r>
        <w:r w:rsidR="003A7891">
          <w:rPr>
            <w:noProof/>
            <w:webHidden/>
          </w:rPr>
          <w:fldChar w:fldCharType="separate"/>
        </w:r>
        <w:r w:rsidR="003A7891">
          <w:rPr>
            <w:noProof/>
            <w:webHidden/>
          </w:rPr>
          <w:t>4</w:t>
        </w:r>
        <w:r w:rsidR="003A7891">
          <w:rPr>
            <w:noProof/>
            <w:webHidden/>
          </w:rPr>
          <w:fldChar w:fldCharType="end"/>
        </w:r>
      </w:hyperlink>
    </w:p>
    <w:p w14:paraId="2B2AA321" w14:textId="6F3E2EF0" w:rsidR="003A7891" w:rsidRDefault="003C4809">
      <w:pPr>
        <w:pStyle w:val="TOC3"/>
        <w:rPr>
          <w:rFonts w:asciiTheme="minorHAnsi" w:eastAsiaTheme="minorEastAsia" w:hAnsiTheme="minorHAnsi" w:cstheme="minorBidi"/>
          <w:bCs w:val="0"/>
          <w:noProof/>
          <w:color w:val="auto"/>
          <w:spacing w:val="0"/>
          <w:sz w:val="22"/>
          <w:szCs w:val="22"/>
        </w:rPr>
      </w:pPr>
      <w:hyperlink w:anchor="_Toc41905645" w:history="1">
        <w:r w:rsidR="003A7891" w:rsidRPr="00E171BF">
          <w:rPr>
            <w:rStyle w:val="Hyperlink"/>
            <w:rFonts w:cs="Arial"/>
            <w:noProof/>
            <w14:scene3d>
              <w14:camera w14:prst="orthographicFront"/>
              <w14:lightRig w14:rig="threePt" w14:dir="t">
                <w14:rot w14:lat="0" w14:lon="0" w14:rev="0"/>
              </w14:lightRig>
            </w14:scene3d>
          </w:rPr>
          <w:t>1.4.3.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Formation of Risk Assessment Team</w:t>
        </w:r>
        <w:r w:rsidR="003A7891">
          <w:rPr>
            <w:noProof/>
            <w:webHidden/>
          </w:rPr>
          <w:tab/>
        </w:r>
        <w:r w:rsidR="003A7891">
          <w:rPr>
            <w:noProof/>
            <w:webHidden/>
          </w:rPr>
          <w:fldChar w:fldCharType="begin"/>
        </w:r>
        <w:r w:rsidR="003A7891">
          <w:rPr>
            <w:noProof/>
            <w:webHidden/>
          </w:rPr>
          <w:instrText xml:space="preserve"> PAGEREF _Toc41905645 \h </w:instrText>
        </w:r>
        <w:r w:rsidR="003A7891">
          <w:rPr>
            <w:noProof/>
            <w:webHidden/>
          </w:rPr>
        </w:r>
        <w:r w:rsidR="003A7891">
          <w:rPr>
            <w:noProof/>
            <w:webHidden/>
          </w:rPr>
          <w:fldChar w:fldCharType="separate"/>
        </w:r>
        <w:r w:rsidR="003A7891">
          <w:rPr>
            <w:noProof/>
            <w:webHidden/>
          </w:rPr>
          <w:t>5</w:t>
        </w:r>
        <w:r w:rsidR="003A7891">
          <w:rPr>
            <w:noProof/>
            <w:webHidden/>
          </w:rPr>
          <w:fldChar w:fldCharType="end"/>
        </w:r>
      </w:hyperlink>
    </w:p>
    <w:p w14:paraId="1DC0ED53" w14:textId="65BABACD" w:rsidR="003A7891" w:rsidRDefault="003C4809">
      <w:pPr>
        <w:pStyle w:val="TOC2"/>
        <w:rPr>
          <w:rFonts w:asciiTheme="minorHAnsi" w:eastAsiaTheme="minorEastAsia" w:hAnsiTheme="minorHAnsi" w:cstheme="minorBidi"/>
          <w:color w:val="auto"/>
          <w:spacing w:val="0"/>
          <w:sz w:val="22"/>
          <w:szCs w:val="22"/>
        </w:rPr>
      </w:pPr>
      <w:hyperlink w:anchor="_Toc41905646" w:history="1">
        <w:r w:rsidR="003A7891" w:rsidRPr="00E171BF">
          <w:rPr>
            <w:rStyle w:val="Hyperlink"/>
            <w:rFonts w:cs="Arial"/>
          </w:rPr>
          <w:t>1.5.</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Preparation for Conducting a Risk Assessment</w:t>
        </w:r>
        <w:r w:rsidR="003A7891">
          <w:rPr>
            <w:webHidden/>
          </w:rPr>
          <w:tab/>
        </w:r>
        <w:r w:rsidR="003A7891">
          <w:rPr>
            <w:webHidden/>
          </w:rPr>
          <w:fldChar w:fldCharType="begin"/>
        </w:r>
        <w:r w:rsidR="003A7891">
          <w:rPr>
            <w:webHidden/>
          </w:rPr>
          <w:instrText xml:space="preserve"> PAGEREF _Toc41905646 \h </w:instrText>
        </w:r>
        <w:r w:rsidR="003A7891">
          <w:rPr>
            <w:webHidden/>
          </w:rPr>
        </w:r>
        <w:r w:rsidR="003A7891">
          <w:rPr>
            <w:webHidden/>
          </w:rPr>
          <w:fldChar w:fldCharType="separate"/>
        </w:r>
        <w:r w:rsidR="003A7891">
          <w:rPr>
            <w:webHidden/>
          </w:rPr>
          <w:t>6</w:t>
        </w:r>
        <w:r w:rsidR="003A7891">
          <w:rPr>
            <w:webHidden/>
          </w:rPr>
          <w:fldChar w:fldCharType="end"/>
        </w:r>
      </w:hyperlink>
    </w:p>
    <w:p w14:paraId="0D5D55CF" w14:textId="3F098B39" w:rsidR="003A7891" w:rsidRDefault="003C4809">
      <w:pPr>
        <w:pStyle w:val="TOC2"/>
        <w:rPr>
          <w:rFonts w:asciiTheme="minorHAnsi" w:eastAsiaTheme="minorEastAsia" w:hAnsiTheme="minorHAnsi" w:cstheme="minorBidi"/>
          <w:color w:val="auto"/>
          <w:spacing w:val="0"/>
          <w:sz w:val="22"/>
          <w:szCs w:val="22"/>
        </w:rPr>
      </w:pPr>
      <w:hyperlink w:anchor="_Toc41905647" w:history="1">
        <w:r w:rsidR="003A7891" w:rsidRPr="00E171BF">
          <w:rPr>
            <w:rStyle w:val="Hyperlink"/>
            <w:rFonts w:cs="Arial"/>
          </w:rPr>
          <w:t>1.6.</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Development of Standards: A Tiered Approach</w:t>
        </w:r>
        <w:r w:rsidR="003A7891">
          <w:rPr>
            <w:webHidden/>
          </w:rPr>
          <w:tab/>
        </w:r>
        <w:r w:rsidR="003A7891">
          <w:rPr>
            <w:webHidden/>
          </w:rPr>
          <w:fldChar w:fldCharType="begin"/>
        </w:r>
        <w:r w:rsidR="003A7891">
          <w:rPr>
            <w:webHidden/>
          </w:rPr>
          <w:instrText xml:space="preserve"> PAGEREF _Toc41905647 \h </w:instrText>
        </w:r>
        <w:r w:rsidR="003A7891">
          <w:rPr>
            <w:webHidden/>
          </w:rPr>
        </w:r>
        <w:r w:rsidR="003A7891">
          <w:rPr>
            <w:webHidden/>
          </w:rPr>
          <w:fldChar w:fldCharType="separate"/>
        </w:r>
        <w:r w:rsidR="003A7891">
          <w:rPr>
            <w:webHidden/>
          </w:rPr>
          <w:t>7</w:t>
        </w:r>
        <w:r w:rsidR="003A7891">
          <w:rPr>
            <w:webHidden/>
          </w:rPr>
          <w:fldChar w:fldCharType="end"/>
        </w:r>
      </w:hyperlink>
    </w:p>
    <w:p w14:paraId="50B192B5" w14:textId="14F54F3A" w:rsidR="003A7891" w:rsidRDefault="003C4809">
      <w:pPr>
        <w:pStyle w:val="TOC1"/>
        <w:rPr>
          <w:rFonts w:asciiTheme="minorHAnsi" w:eastAsiaTheme="minorEastAsia" w:hAnsiTheme="minorHAnsi" w:cstheme="minorBidi"/>
          <w:b w:val="0"/>
          <w:color w:val="auto"/>
          <w:spacing w:val="0"/>
          <w:sz w:val="22"/>
          <w:szCs w:val="22"/>
        </w:rPr>
      </w:pPr>
      <w:hyperlink w:anchor="_Toc41905648" w:history="1">
        <w:r w:rsidR="003A7891" w:rsidRPr="00E171BF">
          <w:rPr>
            <w:rStyle w:val="Hyperlink"/>
          </w:rPr>
          <w:t>Section 2.</w:t>
        </w:r>
        <w:r w:rsidR="003A7891">
          <w:rPr>
            <w:rFonts w:asciiTheme="minorHAnsi" w:eastAsiaTheme="minorEastAsia" w:hAnsiTheme="minorHAnsi" w:cstheme="minorBidi"/>
            <w:b w:val="0"/>
            <w:color w:val="auto"/>
            <w:spacing w:val="0"/>
            <w:sz w:val="22"/>
            <w:szCs w:val="22"/>
          </w:rPr>
          <w:tab/>
        </w:r>
        <w:r w:rsidR="003A7891" w:rsidRPr="00E171BF">
          <w:rPr>
            <w:rStyle w:val="Hyperlink"/>
          </w:rPr>
          <w:t>Pre-Submission Form and Public Communication</w:t>
        </w:r>
        <w:r w:rsidR="003A7891">
          <w:rPr>
            <w:webHidden/>
          </w:rPr>
          <w:tab/>
        </w:r>
        <w:r w:rsidR="003A7891">
          <w:rPr>
            <w:webHidden/>
          </w:rPr>
          <w:fldChar w:fldCharType="begin"/>
        </w:r>
        <w:r w:rsidR="003A7891">
          <w:rPr>
            <w:webHidden/>
          </w:rPr>
          <w:instrText xml:space="preserve"> PAGEREF _Toc41905648 \h </w:instrText>
        </w:r>
        <w:r w:rsidR="003A7891">
          <w:rPr>
            <w:webHidden/>
          </w:rPr>
        </w:r>
        <w:r w:rsidR="003A7891">
          <w:rPr>
            <w:webHidden/>
          </w:rPr>
          <w:fldChar w:fldCharType="separate"/>
        </w:r>
        <w:r w:rsidR="003A7891">
          <w:rPr>
            <w:webHidden/>
          </w:rPr>
          <w:t>9</w:t>
        </w:r>
        <w:r w:rsidR="003A7891">
          <w:rPr>
            <w:webHidden/>
          </w:rPr>
          <w:fldChar w:fldCharType="end"/>
        </w:r>
      </w:hyperlink>
    </w:p>
    <w:p w14:paraId="4755FF8C" w14:textId="3072DC51" w:rsidR="003A7891" w:rsidRDefault="003C4809">
      <w:pPr>
        <w:pStyle w:val="TOC2"/>
        <w:rPr>
          <w:rFonts w:asciiTheme="minorHAnsi" w:eastAsiaTheme="minorEastAsia" w:hAnsiTheme="minorHAnsi" w:cstheme="minorBidi"/>
          <w:color w:val="auto"/>
          <w:spacing w:val="0"/>
          <w:sz w:val="22"/>
          <w:szCs w:val="22"/>
        </w:rPr>
      </w:pPr>
      <w:hyperlink w:anchor="_Toc41905649" w:history="1">
        <w:r w:rsidR="003A7891" w:rsidRPr="00E171BF">
          <w:rPr>
            <w:rStyle w:val="Hyperlink"/>
            <w:rFonts w:cs="Arial"/>
          </w:rPr>
          <w:t>2.1.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PSF Overview</w:t>
        </w:r>
        <w:r w:rsidR="003A7891">
          <w:rPr>
            <w:webHidden/>
          </w:rPr>
          <w:tab/>
        </w:r>
        <w:r w:rsidR="003A7891">
          <w:rPr>
            <w:webHidden/>
          </w:rPr>
          <w:fldChar w:fldCharType="begin"/>
        </w:r>
        <w:r w:rsidR="003A7891">
          <w:rPr>
            <w:webHidden/>
          </w:rPr>
          <w:instrText xml:space="preserve"> PAGEREF _Toc41905649 \h </w:instrText>
        </w:r>
        <w:r w:rsidR="003A7891">
          <w:rPr>
            <w:webHidden/>
          </w:rPr>
        </w:r>
        <w:r w:rsidR="003A7891">
          <w:rPr>
            <w:webHidden/>
          </w:rPr>
          <w:fldChar w:fldCharType="separate"/>
        </w:r>
        <w:r w:rsidR="003A7891">
          <w:rPr>
            <w:webHidden/>
          </w:rPr>
          <w:t>9</w:t>
        </w:r>
        <w:r w:rsidR="003A7891">
          <w:rPr>
            <w:webHidden/>
          </w:rPr>
          <w:fldChar w:fldCharType="end"/>
        </w:r>
      </w:hyperlink>
    </w:p>
    <w:p w14:paraId="493976E0" w14:textId="6CE3B74A" w:rsidR="003A7891" w:rsidRDefault="003C4809">
      <w:pPr>
        <w:pStyle w:val="TOC2"/>
        <w:rPr>
          <w:rFonts w:asciiTheme="minorHAnsi" w:eastAsiaTheme="minorEastAsia" w:hAnsiTheme="minorHAnsi" w:cstheme="minorBidi"/>
          <w:color w:val="auto"/>
          <w:spacing w:val="0"/>
          <w:sz w:val="22"/>
          <w:szCs w:val="22"/>
        </w:rPr>
      </w:pPr>
      <w:hyperlink w:anchor="_Toc41905650" w:history="1">
        <w:r w:rsidR="003A7891" w:rsidRPr="00E171BF">
          <w:rPr>
            <w:rStyle w:val="Hyperlink"/>
            <w:rFonts w:cs="Arial"/>
          </w:rPr>
          <w:t>2.2.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PSF Requirements</w:t>
        </w:r>
        <w:r w:rsidR="003A7891">
          <w:rPr>
            <w:webHidden/>
          </w:rPr>
          <w:tab/>
        </w:r>
        <w:r w:rsidR="003A7891">
          <w:rPr>
            <w:webHidden/>
          </w:rPr>
          <w:fldChar w:fldCharType="begin"/>
        </w:r>
        <w:r w:rsidR="003A7891">
          <w:rPr>
            <w:webHidden/>
          </w:rPr>
          <w:instrText xml:space="preserve"> PAGEREF _Toc41905650 \h </w:instrText>
        </w:r>
        <w:r w:rsidR="003A7891">
          <w:rPr>
            <w:webHidden/>
          </w:rPr>
        </w:r>
        <w:r w:rsidR="003A7891">
          <w:rPr>
            <w:webHidden/>
          </w:rPr>
          <w:fldChar w:fldCharType="separate"/>
        </w:r>
        <w:r w:rsidR="003A7891">
          <w:rPr>
            <w:webHidden/>
          </w:rPr>
          <w:t>10</w:t>
        </w:r>
        <w:r w:rsidR="003A7891">
          <w:rPr>
            <w:webHidden/>
          </w:rPr>
          <w:fldChar w:fldCharType="end"/>
        </w:r>
      </w:hyperlink>
    </w:p>
    <w:p w14:paraId="3C92411F" w14:textId="38E78EA5" w:rsidR="003A7891" w:rsidRDefault="003C4809">
      <w:pPr>
        <w:pStyle w:val="TOC3"/>
        <w:rPr>
          <w:rFonts w:asciiTheme="minorHAnsi" w:eastAsiaTheme="minorEastAsia" w:hAnsiTheme="minorHAnsi" w:cstheme="minorBidi"/>
          <w:bCs w:val="0"/>
          <w:noProof/>
          <w:color w:val="auto"/>
          <w:spacing w:val="0"/>
          <w:sz w:val="22"/>
          <w:szCs w:val="22"/>
        </w:rPr>
      </w:pPr>
      <w:hyperlink w:anchor="_Toc41905651" w:history="1">
        <w:r w:rsidR="003A7891" w:rsidRPr="00E171BF">
          <w:rPr>
            <w:rStyle w:val="Hyperlink"/>
            <w:rFonts w:cs="Arial"/>
            <w:noProof/>
            <w14:scene3d>
              <w14:camera w14:prst="orthographicFront"/>
              <w14:lightRig w14:rig="threePt" w14:dir="t">
                <w14:rot w14:lat="0" w14:lon="0" w14:rev="0"/>
              </w14:lightRig>
            </w14:scene3d>
          </w:rPr>
          <w:t>2.2.1.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Property Ownership and Location</w:t>
        </w:r>
        <w:r w:rsidR="003A7891">
          <w:rPr>
            <w:noProof/>
            <w:webHidden/>
          </w:rPr>
          <w:tab/>
        </w:r>
        <w:r w:rsidR="003A7891">
          <w:rPr>
            <w:noProof/>
            <w:webHidden/>
          </w:rPr>
          <w:fldChar w:fldCharType="begin"/>
        </w:r>
        <w:r w:rsidR="003A7891">
          <w:rPr>
            <w:noProof/>
            <w:webHidden/>
          </w:rPr>
          <w:instrText xml:space="preserve"> PAGEREF _Toc41905651 \h </w:instrText>
        </w:r>
        <w:r w:rsidR="003A7891">
          <w:rPr>
            <w:noProof/>
            <w:webHidden/>
          </w:rPr>
        </w:r>
        <w:r w:rsidR="003A7891">
          <w:rPr>
            <w:noProof/>
            <w:webHidden/>
          </w:rPr>
          <w:fldChar w:fldCharType="separate"/>
        </w:r>
        <w:r w:rsidR="003A7891">
          <w:rPr>
            <w:noProof/>
            <w:webHidden/>
          </w:rPr>
          <w:t>10</w:t>
        </w:r>
        <w:r w:rsidR="003A7891">
          <w:rPr>
            <w:noProof/>
            <w:webHidden/>
          </w:rPr>
          <w:fldChar w:fldCharType="end"/>
        </w:r>
      </w:hyperlink>
    </w:p>
    <w:p w14:paraId="51D9229E" w14:textId="13F4D1CB" w:rsidR="003A7891" w:rsidRDefault="003C4809">
      <w:pPr>
        <w:pStyle w:val="TOC3"/>
        <w:rPr>
          <w:rFonts w:asciiTheme="minorHAnsi" w:eastAsiaTheme="minorEastAsia" w:hAnsiTheme="minorHAnsi" w:cstheme="minorBidi"/>
          <w:bCs w:val="0"/>
          <w:noProof/>
          <w:color w:val="auto"/>
          <w:spacing w:val="0"/>
          <w:sz w:val="22"/>
          <w:szCs w:val="22"/>
        </w:rPr>
      </w:pPr>
      <w:hyperlink w:anchor="_Toc41905652" w:history="1">
        <w:r w:rsidR="003A7891" w:rsidRPr="00E171BF">
          <w:rPr>
            <w:rStyle w:val="Hyperlink"/>
            <w:rFonts w:cs="Arial"/>
            <w:noProof/>
            <w14:scene3d>
              <w14:camera w14:prst="orthographicFront"/>
              <w14:lightRig w14:rig="threePt" w14:dir="t">
                <w14:rot w14:lat="0" w14:lon="0" w14:rev="0"/>
              </w14:lightRig>
            </w14:scene3d>
          </w:rPr>
          <w:t>2.2.2.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Risk Assessment Approach</w:t>
        </w:r>
        <w:r w:rsidR="003A7891">
          <w:rPr>
            <w:noProof/>
            <w:webHidden/>
          </w:rPr>
          <w:tab/>
        </w:r>
        <w:r w:rsidR="003A7891">
          <w:rPr>
            <w:noProof/>
            <w:webHidden/>
          </w:rPr>
          <w:fldChar w:fldCharType="begin"/>
        </w:r>
        <w:r w:rsidR="003A7891">
          <w:rPr>
            <w:noProof/>
            <w:webHidden/>
          </w:rPr>
          <w:instrText xml:space="preserve"> PAGEREF _Toc41905652 \h </w:instrText>
        </w:r>
        <w:r w:rsidR="003A7891">
          <w:rPr>
            <w:noProof/>
            <w:webHidden/>
          </w:rPr>
        </w:r>
        <w:r w:rsidR="003A7891">
          <w:rPr>
            <w:noProof/>
            <w:webHidden/>
          </w:rPr>
          <w:fldChar w:fldCharType="separate"/>
        </w:r>
        <w:r w:rsidR="003A7891">
          <w:rPr>
            <w:noProof/>
            <w:webHidden/>
          </w:rPr>
          <w:t>11</w:t>
        </w:r>
        <w:r w:rsidR="003A7891">
          <w:rPr>
            <w:noProof/>
            <w:webHidden/>
          </w:rPr>
          <w:fldChar w:fldCharType="end"/>
        </w:r>
      </w:hyperlink>
    </w:p>
    <w:p w14:paraId="1211F7DE" w14:textId="6F5D95B5" w:rsidR="003A7891" w:rsidRDefault="003C4809">
      <w:pPr>
        <w:pStyle w:val="TOC3"/>
        <w:rPr>
          <w:rFonts w:asciiTheme="minorHAnsi" w:eastAsiaTheme="minorEastAsia" w:hAnsiTheme="minorHAnsi" w:cstheme="minorBidi"/>
          <w:bCs w:val="0"/>
          <w:noProof/>
          <w:color w:val="auto"/>
          <w:spacing w:val="0"/>
          <w:sz w:val="22"/>
          <w:szCs w:val="22"/>
        </w:rPr>
      </w:pPr>
      <w:hyperlink w:anchor="_Toc41905653" w:history="1">
        <w:r w:rsidR="003A7891" w:rsidRPr="00E171BF">
          <w:rPr>
            <w:rStyle w:val="Hyperlink"/>
            <w:rFonts w:cs="Arial"/>
            <w:noProof/>
            <w14:scene3d>
              <w14:camera w14:prst="orthographicFront"/>
              <w14:lightRig w14:rig="threePt" w14:dir="t">
                <w14:rot w14:lat="0" w14:lon="0" w14:rev="0"/>
              </w14:lightRig>
            </w14:scene3d>
          </w:rPr>
          <w:t>2.2.3.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Conceptual Site Model</w:t>
        </w:r>
        <w:r w:rsidR="003A7891">
          <w:rPr>
            <w:noProof/>
            <w:webHidden/>
          </w:rPr>
          <w:tab/>
        </w:r>
        <w:r w:rsidR="003A7891">
          <w:rPr>
            <w:noProof/>
            <w:webHidden/>
          </w:rPr>
          <w:fldChar w:fldCharType="begin"/>
        </w:r>
        <w:r w:rsidR="003A7891">
          <w:rPr>
            <w:noProof/>
            <w:webHidden/>
          </w:rPr>
          <w:instrText xml:space="preserve"> PAGEREF _Toc41905653 \h </w:instrText>
        </w:r>
        <w:r w:rsidR="003A7891">
          <w:rPr>
            <w:noProof/>
            <w:webHidden/>
          </w:rPr>
        </w:r>
        <w:r w:rsidR="003A7891">
          <w:rPr>
            <w:noProof/>
            <w:webHidden/>
          </w:rPr>
          <w:fldChar w:fldCharType="separate"/>
        </w:r>
        <w:r w:rsidR="003A7891">
          <w:rPr>
            <w:noProof/>
            <w:webHidden/>
          </w:rPr>
          <w:t>11</w:t>
        </w:r>
        <w:r w:rsidR="003A7891">
          <w:rPr>
            <w:noProof/>
            <w:webHidden/>
          </w:rPr>
          <w:fldChar w:fldCharType="end"/>
        </w:r>
      </w:hyperlink>
    </w:p>
    <w:p w14:paraId="565ECBC6" w14:textId="3158E7E0" w:rsidR="003A7891" w:rsidRDefault="003C4809">
      <w:pPr>
        <w:pStyle w:val="TOC3"/>
        <w:rPr>
          <w:rFonts w:asciiTheme="minorHAnsi" w:eastAsiaTheme="minorEastAsia" w:hAnsiTheme="minorHAnsi" w:cstheme="minorBidi"/>
          <w:bCs w:val="0"/>
          <w:noProof/>
          <w:color w:val="auto"/>
          <w:spacing w:val="0"/>
          <w:sz w:val="22"/>
          <w:szCs w:val="22"/>
        </w:rPr>
      </w:pPr>
      <w:hyperlink w:anchor="_Toc41905654" w:history="1">
        <w:r w:rsidR="003A7891" w:rsidRPr="00E171BF">
          <w:rPr>
            <w:rStyle w:val="Hyperlink"/>
            <w:rFonts w:cs="Arial"/>
            <w:noProof/>
            <w14:scene3d>
              <w14:camera w14:prst="orthographicFront"/>
              <w14:lightRig w14:rig="threePt" w14:dir="t">
                <w14:rot w14:lat="0" w14:lon="0" w14:rev="0"/>
              </w14:lightRig>
            </w14:scene3d>
          </w:rPr>
          <w:t>2.2.4.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Phase Two Conceptual Site Model</w:t>
        </w:r>
        <w:r w:rsidR="003A7891">
          <w:rPr>
            <w:noProof/>
            <w:webHidden/>
          </w:rPr>
          <w:tab/>
        </w:r>
        <w:r w:rsidR="003A7891">
          <w:rPr>
            <w:noProof/>
            <w:webHidden/>
          </w:rPr>
          <w:fldChar w:fldCharType="begin"/>
        </w:r>
        <w:r w:rsidR="003A7891">
          <w:rPr>
            <w:noProof/>
            <w:webHidden/>
          </w:rPr>
          <w:instrText xml:space="preserve"> PAGEREF _Toc41905654 \h </w:instrText>
        </w:r>
        <w:r w:rsidR="003A7891">
          <w:rPr>
            <w:noProof/>
            <w:webHidden/>
          </w:rPr>
        </w:r>
        <w:r w:rsidR="003A7891">
          <w:rPr>
            <w:noProof/>
            <w:webHidden/>
          </w:rPr>
          <w:fldChar w:fldCharType="separate"/>
        </w:r>
        <w:r w:rsidR="003A7891">
          <w:rPr>
            <w:noProof/>
            <w:webHidden/>
          </w:rPr>
          <w:t>11</w:t>
        </w:r>
        <w:r w:rsidR="003A7891">
          <w:rPr>
            <w:noProof/>
            <w:webHidden/>
          </w:rPr>
          <w:fldChar w:fldCharType="end"/>
        </w:r>
      </w:hyperlink>
    </w:p>
    <w:p w14:paraId="0DBC59C1" w14:textId="101922E1" w:rsidR="003A7891" w:rsidRDefault="003C4809">
      <w:pPr>
        <w:pStyle w:val="TOC3"/>
        <w:rPr>
          <w:rFonts w:asciiTheme="minorHAnsi" w:eastAsiaTheme="minorEastAsia" w:hAnsiTheme="minorHAnsi" w:cstheme="minorBidi"/>
          <w:bCs w:val="0"/>
          <w:noProof/>
          <w:color w:val="auto"/>
          <w:spacing w:val="0"/>
          <w:sz w:val="22"/>
          <w:szCs w:val="22"/>
        </w:rPr>
      </w:pPr>
      <w:hyperlink w:anchor="_Toc41905655" w:history="1">
        <w:r w:rsidR="003A7891" w:rsidRPr="00E171BF">
          <w:rPr>
            <w:rStyle w:val="Hyperlink"/>
            <w:rFonts w:cs="Arial"/>
            <w:noProof/>
            <w14:scene3d>
              <w14:camera w14:prst="orthographicFront"/>
              <w14:lightRig w14:rig="threePt" w14:dir="t">
                <w14:rot w14:lat="0" w14:lon="0" w14:rev="0"/>
              </w14:lightRig>
            </w14:scene3d>
          </w:rPr>
          <w:t>2.2.5.</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Human Health and Ecological Conceptual Site Models</w:t>
        </w:r>
        <w:r w:rsidR="003A7891">
          <w:rPr>
            <w:noProof/>
            <w:webHidden/>
          </w:rPr>
          <w:tab/>
        </w:r>
        <w:r w:rsidR="003A7891">
          <w:rPr>
            <w:noProof/>
            <w:webHidden/>
          </w:rPr>
          <w:fldChar w:fldCharType="begin"/>
        </w:r>
        <w:r w:rsidR="003A7891">
          <w:rPr>
            <w:noProof/>
            <w:webHidden/>
          </w:rPr>
          <w:instrText xml:space="preserve"> PAGEREF _Toc41905655 \h </w:instrText>
        </w:r>
        <w:r w:rsidR="003A7891">
          <w:rPr>
            <w:noProof/>
            <w:webHidden/>
          </w:rPr>
        </w:r>
        <w:r w:rsidR="003A7891">
          <w:rPr>
            <w:noProof/>
            <w:webHidden/>
          </w:rPr>
          <w:fldChar w:fldCharType="separate"/>
        </w:r>
        <w:r w:rsidR="003A7891">
          <w:rPr>
            <w:noProof/>
            <w:webHidden/>
          </w:rPr>
          <w:t>13</w:t>
        </w:r>
        <w:r w:rsidR="003A7891">
          <w:rPr>
            <w:noProof/>
            <w:webHidden/>
          </w:rPr>
          <w:fldChar w:fldCharType="end"/>
        </w:r>
      </w:hyperlink>
    </w:p>
    <w:p w14:paraId="0DCBE708" w14:textId="7BBAF484" w:rsidR="003A7891" w:rsidRDefault="003C4809">
      <w:pPr>
        <w:pStyle w:val="TOC3"/>
        <w:rPr>
          <w:rFonts w:asciiTheme="minorHAnsi" w:eastAsiaTheme="minorEastAsia" w:hAnsiTheme="minorHAnsi" w:cstheme="minorBidi"/>
          <w:bCs w:val="0"/>
          <w:noProof/>
          <w:color w:val="auto"/>
          <w:spacing w:val="0"/>
          <w:sz w:val="22"/>
          <w:szCs w:val="22"/>
        </w:rPr>
      </w:pPr>
      <w:hyperlink w:anchor="_Toc41905656" w:history="1">
        <w:r w:rsidR="003A7891" w:rsidRPr="00E171BF">
          <w:rPr>
            <w:rStyle w:val="Hyperlink"/>
            <w:rFonts w:cs="Arial"/>
            <w:noProof/>
            <w14:scene3d>
              <w14:camera w14:prst="orthographicFront"/>
              <w14:lightRig w14:rig="threePt" w14:dir="t">
                <w14:rot w14:lat="0" w14:lon="0" w14:rev="0"/>
              </w14:lightRig>
            </w14:scene3d>
          </w:rPr>
          <w:t>2.2.6.</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Drawings and Figures – Additional Guidance</w:t>
        </w:r>
        <w:r w:rsidR="003A7891">
          <w:rPr>
            <w:noProof/>
            <w:webHidden/>
          </w:rPr>
          <w:tab/>
        </w:r>
        <w:r w:rsidR="003A7891">
          <w:rPr>
            <w:noProof/>
            <w:webHidden/>
          </w:rPr>
          <w:fldChar w:fldCharType="begin"/>
        </w:r>
        <w:r w:rsidR="003A7891">
          <w:rPr>
            <w:noProof/>
            <w:webHidden/>
          </w:rPr>
          <w:instrText xml:space="preserve"> PAGEREF _Toc41905656 \h </w:instrText>
        </w:r>
        <w:r w:rsidR="003A7891">
          <w:rPr>
            <w:noProof/>
            <w:webHidden/>
          </w:rPr>
        </w:r>
        <w:r w:rsidR="003A7891">
          <w:rPr>
            <w:noProof/>
            <w:webHidden/>
          </w:rPr>
          <w:fldChar w:fldCharType="separate"/>
        </w:r>
        <w:r w:rsidR="003A7891">
          <w:rPr>
            <w:noProof/>
            <w:webHidden/>
          </w:rPr>
          <w:t>14</w:t>
        </w:r>
        <w:r w:rsidR="003A7891">
          <w:rPr>
            <w:noProof/>
            <w:webHidden/>
          </w:rPr>
          <w:fldChar w:fldCharType="end"/>
        </w:r>
      </w:hyperlink>
    </w:p>
    <w:p w14:paraId="626ACDEF" w14:textId="76A652C6" w:rsidR="003A7891" w:rsidRDefault="003C4809">
      <w:pPr>
        <w:pStyle w:val="TOC3"/>
        <w:rPr>
          <w:rFonts w:asciiTheme="minorHAnsi" w:eastAsiaTheme="minorEastAsia" w:hAnsiTheme="minorHAnsi" w:cstheme="minorBidi"/>
          <w:bCs w:val="0"/>
          <w:noProof/>
          <w:color w:val="auto"/>
          <w:spacing w:val="0"/>
          <w:sz w:val="22"/>
          <w:szCs w:val="22"/>
        </w:rPr>
      </w:pPr>
      <w:hyperlink w:anchor="_Toc41905657" w:history="1">
        <w:r w:rsidR="003A7891" w:rsidRPr="00E171BF">
          <w:rPr>
            <w:rStyle w:val="Hyperlink"/>
            <w:rFonts w:cs="Arial"/>
            <w:noProof/>
            <w14:scene3d>
              <w14:camera w14:prst="orthographicFront"/>
              <w14:lightRig w14:rig="threePt" w14:dir="t">
                <w14:rot w14:lat="0" w14:lon="0" w14:rev="0"/>
              </w14:lightRig>
            </w14:scene3d>
          </w:rPr>
          <w:t>2.2.7.</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Other Attached Documents – Additional Guidance</w:t>
        </w:r>
        <w:r w:rsidR="003A7891">
          <w:rPr>
            <w:noProof/>
            <w:webHidden/>
          </w:rPr>
          <w:tab/>
        </w:r>
        <w:r w:rsidR="003A7891">
          <w:rPr>
            <w:noProof/>
            <w:webHidden/>
          </w:rPr>
          <w:fldChar w:fldCharType="begin"/>
        </w:r>
        <w:r w:rsidR="003A7891">
          <w:rPr>
            <w:noProof/>
            <w:webHidden/>
          </w:rPr>
          <w:instrText xml:space="preserve"> PAGEREF _Toc41905657 \h </w:instrText>
        </w:r>
        <w:r w:rsidR="003A7891">
          <w:rPr>
            <w:noProof/>
            <w:webHidden/>
          </w:rPr>
        </w:r>
        <w:r w:rsidR="003A7891">
          <w:rPr>
            <w:noProof/>
            <w:webHidden/>
          </w:rPr>
          <w:fldChar w:fldCharType="separate"/>
        </w:r>
        <w:r w:rsidR="003A7891">
          <w:rPr>
            <w:noProof/>
            <w:webHidden/>
          </w:rPr>
          <w:t>14</w:t>
        </w:r>
        <w:r w:rsidR="003A7891">
          <w:rPr>
            <w:noProof/>
            <w:webHidden/>
          </w:rPr>
          <w:fldChar w:fldCharType="end"/>
        </w:r>
      </w:hyperlink>
    </w:p>
    <w:p w14:paraId="366B3439" w14:textId="417A86E0" w:rsidR="003A7891" w:rsidRDefault="003C4809">
      <w:pPr>
        <w:pStyle w:val="TOC2"/>
        <w:rPr>
          <w:rFonts w:asciiTheme="minorHAnsi" w:eastAsiaTheme="minorEastAsia" w:hAnsiTheme="minorHAnsi" w:cstheme="minorBidi"/>
          <w:color w:val="auto"/>
          <w:spacing w:val="0"/>
          <w:sz w:val="22"/>
          <w:szCs w:val="22"/>
        </w:rPr>
      </w:pPr>
      <w:hyperlink w:anchor="_Toc41905658" w:history="1">
        <w:r w:rsidR="003A7891" w:rsidRPr="00E171BF">
          <w:rPr>
            <w:rStyle w:val="Hyperlink"/>
            <w:rFonts w:cs="Arial"/>
          </w:rPr>
          <w:t>2.3.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Self-Declaring Qualifications in PSF</w:t>
        </w:r>
        <w:r w:rsidR="003A7891">
          <w:rPr>
            <w:webHidden/>
          </w:rPr>
          <w:tab/>
        </w:r>
        <w:r w:rsidR="003A7891">
          <w:rPr>
            <w:webHidden/>
          </w:rPr>
          <w:fldChar w:fldCharType="begin"/>
        </w:r>
        <w:r w:rsidR="003A7891">
          <w:rPr>
            <w:webHidden/>
          </w:rPr>
          <w:instrText xml:space="preserve"> PAGEREF _Toc41905658 \h </w:instrText>
        </w:r>
        <w:r w:rsidR="003A7891">
          <w:rPr>
            <w:webHidden/>
          </w:rPr>
        </w:r>
        <w:r w:rsidR="003A7891">
          <w:rPr>
            <w:webHidden/>
          </w:rPr>
          <w:fldChar w:fldCharType="separate"/>
        </w:r>
        <w:r w:rsidR="003A7891">
          <w:rPr>
            <w:webHidden/>
          </w:rPr>
          <w:t>15</w:t>
        </w:r>
        <w:r w:rsidR="003A7891">
          <w:rPr>
            <w:webHidden/>
          </w:rPr>
          <w:fldChar w:fldCharType="end"/>
        </w:r>
      </w:hyperlink>
    </w:p>
    <w:p w14:paraId="49BF45D9" w14:textId="68232980" w:rsidR="003A7891" w:rsidRDefault="003C4809">
      <w:pPr>
        <w:pStyle w:val="TOC2"/>
        <w:rPr>
          <w:rFonts w:asciiTheme="minorHAnsi" w:eastAsiaTheme="minorEastAsia" w:hAnsiTheme="minorHAnsi" w:cstheme="minorBidi"/>
          <w:color w:val="auto"/>
          <w:spacing w:val="0"/>
          <w:sz w:val="22"/>
          <w:szCs w:val="22"/>
        </w:rPr>
      </w:pPr>
      <w:hyperlink w:anchor="_Toc41905659" w:history="1">
        <w:r w:rsidR="003A7891" w:rsidRPr="00E171BF">
          <w:rPr>
            <w:rStyle w:val="Hyperlink"/>
            <w:rFonts w:cs="Arial"/>
          </w:rPr>
          <w:t>2.4.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Change in Circumstance</w:t>
        </w:r>
        <w:r w:rsidR="003A7891">
          <w:rPr>
            <w:webHidden/>
          </w:rPr>
          <w:tab/>
        </w:r>
        <w:r w:rsidR="003A7891">
          <w:rPr>
            <w:webHidden/>
          </w:rPr>
          <w:fldChar w:fldCharType="begin"/>
        </w:r>
        <w:r w:rsidR="003A7891">
          <w:rPr>
            <w:webHidden/>
          </w:rPr>
          <w:instrText xml:space="preserve"> PAGEREF _Toc41905659 \h </w:instrText>
        </w:r>
        <w:r w:rsidR="003A7891">
          <w:rPr>
            <w:webHidden/>
          </w:rPr>
        </w:r>
        <w:r w:rsidR="003A7891">
          <w:rPr>
            <w:webHidden/>
          </w:rPr>
          <w:fldChar w:fldCharType="separate"/>
        </w:r>
        <w:r w:rsidR="003A7891">
          <w:rPr>
            <w:webHidden/>
          </w:rPr>
          <w:t>15</w:t>
        </w:r>
        <w:r w:rsidR="003A7891">
          <w:rPr>
            <w:webHidden/>
          </w:rPr>
          <w:fldChar w:fldCharType="end"/>
        </w:r>
      </w:hyperlink>
    </w:p>
    <w:p w14:paraId="49E77930" w14:textId="0BAFB73D" w:rsidR="003A7891" w:rsidRDefault="003C4809">
      <w:pPr>
        <w:pStyle w:val="TOC2"/>
        <w:rPr>
          <w:rFonts w:asciiTheme="minorHAnsi" w:eastAsiaTheme="minorEastAsia" w:hAnsiTheme="minorHAnsi" w:cstheme="minorBidi"/>
          <w:color w:val="auto"/>
          <w:spacing w:val="0"/>
          <w:sz w:val="22"/>
          <w:szCs w:val="22"/>
        </w:rPr>
      </w:pPr>
      <w:hyperlink w:anchor="_Toc41905660" w:history="1">
        <w:r w:rsidR="003A7891" w:rsidRPr="00E171BF">
          <w:rPr>
            <w:rStyle w:val="Hyperlink"/>
            <w:rFonts w:cs="Arial"/>
          </w:rPr>
          <w:t>2.5.</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Public Communication</w:t>
        </w:r>
        <w:r w:rsidR="003A7891">
          <w:rPr>
            <w:webHidden/>
          </w:rPr>
          <w:tab/>
        </w:r>
        <w:r w:rsidR="003A7891">
          <w:rPr>
            <w:webHidden/>
          </w:rPr>
          <w:fldChar w:fldCharType="begin"/>
        </w:r>
        <w:r w:rsidR="003A7891">
          <w:rPr>
            <w:webHidden/>
          </w:rPr>
          <w:instrText xml:space="preserve"> PAGEREF _Toc41905660 \h </w:instrText>
        </w:r>
        <w:r w:rsidR="003A7891">
          <w:rPr>
            <w:webHidden/>
          </w:rPr>
        </w:r>
        <w:r w:rsidR="003A7891">
          <w:rPr>
            <w:webHidden/>
          </w:rPr>
          <w:fldChar w:fldCharType="separate"/>
        </w:r>
        <w:r w:rsidR="003A7891">
          <w:rPr>
            <w:webHidden/>
          </w:rPr>
          <w:t>16</w:t>
        </w:r>
        <w:r w:rsidR="003A7891">
          <w:rPr>
            <w:webHidden/>
          </w:rPr>
          <w:fldChar w:fldCharType="end"/>
        </w:r>
      </w:hyperlink>
    </w:p>
    <w:p w14:paraId="5020FABB" w14:textId="073E5FF4" w:rsidR="003A7891" w:rsidRDefault="003C4809">
      <w:pPr>
        <w:pStyle w:val="TOC1"/>
        <w:rPr>
          <w:rFonts w:asciiTheme="minorHAnsi" w:eastAsiaTheme="minorEastAsia" w:hAnsiTheme="minorHAnsi" w:cstheme="minorBidi"/>
          <w:b w:val="0"/>
          <w:color w:val="auto"/>
          <w:spacing w:val="0"/>
          <w:sz w:val="22"/>
          <w:szCs w:val="22"/>
        </w:rPr>
      </w:pPr>
      <w:hyperlink w:anchor="_Toc41905661" w:history="1">
        <w:r w:rsidR="003A7891" w:rsidRPr="00E171BF">
          <w:rPr>
            <w:rStyle w:val="Hyperlink"/>
          </w:rPr>
          <w:t>Section 3.</w:t>
        </w:r>
        <w:r w:rsidR="003A7891">
          <w:rPr>
            <w:rFonts w:asciiTheme="minorHAnsi" w:eastAsiaTheme="minorEastAsia" w:hAnsiTheme="minorHAnsi" w:cstheme="minorBidi"/>
            <w:b w:val="0"/>
            <w:color w:val="auto"/>
            <w:spacing w:val="0"/>
            <w:sz w:val="22"/>
            <w:szCs w:val="22"/>
          </w:rPr>
          <w:tab/>
        </w:r>
        <w:r w:rsidR="003A7891" w:rsidRPr="00E171BF">
          <w:rPr>
            <w:rStyle w:val="Hyperlink"/>
          </w:rPr>
          <w:t>Preparation Of An RA Report</w:t>
        </w:r>
        <w:r w:rsidR="003A7891">
          <w:rPr>
            <w:webHidden/>
          </w:rPr>
          <w:tab/>
        </w:r>
        <w:r w:rsidR="003A7891">
          <w:rPr>
            <w:webHidden/>
          </w:rPr>
          <w:fldChar w:fldCharType="begin"/>
        </w:r>
        <w:r w:rsidR="003A7891">
          <w:rPr>
            <w:webHidden/>
          </w:rPr>
          <w:instrText xml:space="preserve"> PAGEREF _Toc41905661 \h </w:instrText>
        </w:r>
        <w:r w:rsidR="003A7891">
          <w:rPr>
            <w:webHidden/>
          </w:rPr>
        </w:r>
        <w:r w:rsidR="003A7891">
          <w:rPr>
            <w:webHidden/>
          </w:rPr>
          <w:fldChar w:fldCharType="separate"/>
        </w:r>
        <w:r w:rsidR="003A7891">
          <w:rPr>
            <w:webHidden/>
          </w:rPr>
          <w:t>19</w:t>
        </w:r>
        <w:r w:rsidR="003A7891">
          <w:rPr>
            <w:webHidden/>
          </w:rPr>
          <w:fldChar w:fldCharType="end"/>
        </w:r>
      </w:hyperlink>
    </w:p>
    <w:p w14:paraId="1C3FBF0A" w14:textId="5CA6AB18" w:rsidR="003A7891" w:rsidRDefault="003C4809">
      <w:pPr>
        <w:pStyle w:val="TOC2"/>
        <w:rPr>
          <w:rFonts w:asciiTheme="minorHAnsi" w:eastAsiaTheme="minorEastAsia" w:hAnsiTheme="minorHAnsi" w:cstheme="minorBidi"/>
          <w:color w:val="auto"/>
          <w:spacing w:val="0"/>
          <w:sz w:val="22"/>
          <w:szCs w:val="22"/>
        </w:rPr>
      </w:pPr>
      <w:hyperlink w:anchor="_Toc41905662" w:history="1">
        <w:r w:rsidR="003A7891" w:rsidRPr="00E171BF">
          <w:rPr>
            <w:rStyle w:val="Hyperlink"/>
            <w:rFonts w:cs="Arial"/>
          </w:rPr>
          <w:t>3.1.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General RA Report Requirements</w:t>
        </w:r>
        <w:r w:rsidR="003A7891">
          <w:rPr>
            <w:webHidden/>
          </w:rPr>
          <w:tab/>
        </w:r>
        <w:r w:rsidR="003A7891">
          <w:rPr>
            <w:webHidden/>
          </w:rPr>
          <w:fldChar w:fldCharType="begin"/>
        </w:r>
        <w:r w:rsidR="003A7891">
          <w:rPr>
            <w:webHidden/>
          </w:rPr>
          <w:instrText xml:space="preserve"> PAGEREF _Toc41905662 \h </w:instrText>
        </w:r>
        <w:r w:rsidR="003A7891">
          <w:rPr>
            <w:webHidden/>
          </w:rPr>
        </w:r>
        <w:r w:rsidR="003A7891">
          <w:rPr>
            <w:webHidden/>
          </w:rPr>
          <w:fldChar w:fldCharType="separate"/>
        </w:r>
        <w:r w:rsidR="003A7891">
          <w:rPr>
            <w:webHidden/>
          </w:rPr>
          <w:t>19</w:t>
        </w:r>
        <w:r w:rsidR="003A7891">
          <w:rPr>
            <w:webHidden/>
          </w:rPr>
          <w:fldChar w:fldCharType="end"/>
        </w:r>
      </w:hyperlink>
    </w:p>
    <w:p w14:paraId="549093B6" w14:textId="34C3C3EE" w:rsidR="003A7891" w:rsidRDefault="003C4809">
      <w:pPr>
        <w:pStyle w:val="TOC2"/>
        <w:rPr>
          <w:rFonts w:asciiTheme="minorHAnsi" w:eastAsiaTheme="minorEastAsia" w:hAnsiTheme="minorHAnsi" w:cstheme="minorBidi"/>
          <w:color w:val="auto"/>
          <w:spacing w:val="0"/>
          <w:sz w:val="22"/>
          <w:szCs w:val="22"/>
        </w:rPr>
      </w:pPr>
      <w:hyperlink w:anchor="_Toc41905663" w:history="1">
        <w:r w:rsidR="003A7891" w:rsidRPr="00E171BF">
          <w:rPr>
            <w:rStyle w:val="Hyperlink"/>
            <w:rFonts w:cs="Arial"/>
          </w:rPr>
          <w:t>3.2.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Summary of Recommendations and Findings</w:t>
        </w:r>
        <w:r w:rsidR="003A7891">
          <w:rPr>
            <w:webHidden/>
          </w:rPr>
          <w:tab/>
        </w:r>
        <w:r w:rsidR="003A7891">
          <w:rPr>
            <w:webHidden/>
          </w:rPr>
          <w:fldChar w:fldCharType="begin"/>
        </w:r>
        <w:r w:rsidR="003A7891">
          <w:rPr>
            <w:webHidden/>
          </w:rPr>
          <w:instrText xml:space="preserve"> PAGEREF _Toc41905663 \h </w:instrText>
        </w:r>
        <w:r w:rsidR="003A7891">
          <w:rPr>
            <w:webHidden/>
          </w:rPr>
        </w:r>
        <w:r w:rsidR="003A7891">
          <w:rPr>
            <w:webHidden/>
          </w:rPr>
          <w:fldChar w:fldCharType="separate"/>
        </w:r>
        <w:r w:rsidR="003A7891">
          <w:rPr>
            <w:webHidden/>
          </w:rPr>
          <w:t>20</w:t>
        </w:r>
        <w:r w:rsidR="003A7891">
          <w:rPr>
            <w:webHidden/>
          </w:rPr>
          <w:fldChar w:fldCharType="end"/>
        </w:r>
      </w:hyperlink>
    </w:p>
    <w:p w14:paraId="497F85FB" w14:textId="6DCC7654" w:rsidR="003A7891" w:rsidRDefault="003C4809">
      <w:pPr>
        <w:pStyle w:val="TOC2"/>
        <w:rPr>
          <w:rFonts w:asciiTheme="minorHAnsi" w:eastAsiaTheme="minorEastAsia" w:hAnsiTheme="minorHAnsi" w:cstheme="minorBidi"/>
          <w:color w:val="auto"/>
          <w:spacing w:val="0"/>
          <w:sz w:val="22"/>
          <w:szCs w:val="22"/>
        </w:rPr>
      </w:pPr>
      <w:hyperlink w:anchor="_Toc41905664" w:history="1">
        <w:r w:rsidR="003A7891" w:rsidRPr="00E171BF">
          <w:rPr>
            <w:rStyle w:val="Hyperlink"/>
            <w:rFonts w:cs="Arial"/>
          </w:rPr>
          <w:t>3.3.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Conclusions and Recommendations</w:t>
        </w:r>
        <w:r w:rsidR="003A7891">
          <w:rPr>
            <w:webHidden/>
          </w:rPr>
          <w:tab/>
        </w:r>
        <w:r w:rsidR="003A7891">
          <w:rPr>
            <w:webHidden/>
          </w:rPr>
          <w:fldChar w:fldCharType="begin"/>
        </w:r>
        <w:r w:rsidR="003A7891">
          <w:rPr>
            <w:webHidden/>
          </w:rPr>
          <w:instrText xml:space="preserve"> PAGEREF _Toc41905664 \h </w:instrText>
        </w:r>
        <w:r w:rsidR="003A7891">
          <w:rPr>
            <w:webHidden/>
          </w:rPr>
        </w:r>
        <w:r w:rsidR="003A7891">
          <w:rPr>
            <w:webHidden/>
          </w:rPr>
          <w:fldChar w:fldCharType="separate"/>
        </w:r>
        <w:r w:rsidR="003A7891">
          <w:rPr>
            <w:webHidden/>
          </w:rPr>
          <w:t>21</w:t>
        </w:r>
        <w:r w:rsidR="003A7891">
          <w:rPr>
            <w:webHidden/>
          </w:rPr>
          <w:fldChar w:fldCharType="end"/>
        </w:r>
      </w:hyperlink>
    </w:p>
    <w:p w14:paraId="3C43D85C" w14:textId="56C41199" w:rsidR="003A7891" w:rsidRDefault="003C4809">
      <w:pPr>
        <w:pStyle w:val="TOC3"/>
        <w:rPr>
          <w:rFonts w:asciiTheme="minorHAnsi" w:eastAsiaTheme="minorEastAsia" w:hAnsiTheme="minorHAnsi" w:cstheme="minorBidi"/>
          <w:bCs w:val="0"/>
          <w:noProof/>
          <w:color w:val="auto"/>
          <w:spacing w:val="0"/>
          <w:sz w:val="22"/>
          <w:szCs w:val="22"/>
        </w:rPr>
      </w:pPr>
      <w:hyperlink w:anchor="_Toc41905665" w:history="1">
        <w:r w:rsidR="003A7891" w:rsidRPr="00E171BF">
          <w:rPr>
            <w:rStyle w:val="Hyperlink"/>
            <w:rFonts w:cs="Arial"/>
            <w:noProof/>
            <w14:scene3d>
              <w14:camera w14:prst="orthographicFront"/>
              <w14:lightRig w14:rig="threePt" w14:dir="t">
                <w14:rot w14:lat="0" w14:lon="0" w14:rev="0"/>
              </w14:lightRig>
            </w14:scene3d>
          </w:rPr>
          <w:t>3.3.1.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Recommending Property Specific Standards</w:t>
        </w:r>
        <w:r w:rsidR="003A7891">
          <w:rPr>
            <w:noProof/>
            <w:webHidden/>
          </w:rPr>
          <w:tab/>
        </w:r>
        <w:r w:rsidR="003A7891">
          <w:rPr>
            <w:noProof/>
            <w:webHidden/>
          </w:rPr>
          <w:fldChar w:fldCharType="begin"/>
        </w:r>
        <w:r w:rsidR="003A7891">
          <w:rPr>
            <w:noProof/>
            <w:webHidden/>
          </w:rPr>
          <w:instrText xml:space="preserve"> PAGEREF _Toc41905665 \h </w:instrText>
        </w:r>
        <w:r w:rsidR="003A7891">
          <w:rPr>
            <w:noProof/>
            <w:webHidden/>
          </w:rPr>
        </w:r>
        <w:r w:rsidR="003A7891">
          <w:rPr>
            <w:noProof/>
            <w:webHidden/>
          </w:rPr>
          <w:fldChar w:fldCharType="separate"/>
        </w:r>
        <w:r w:rsidR="003A7891">
          <w:rPr>
            <w:noProof/>
            <w:webHidden/>
          </w:rPr>
          <w:t>23</w:t>
        </w:r>
        <w:r w:rsidR="003A7891">
          <w:rPr>
            <w:noProof/>
            <w:webHidden/>
          </w:rPr>
          <w:fldChar w:fldCharType="end"/>
        </w:r>
      </w:hyperlink>
    </w:p>
    <w:p w14:paraId="11D003A9" w14:textId="06F1CE3C" w:rsidR="003A7891" w:rsidRDefault="003C4809">
      <w:pPr>
        <w:pStyle w:val="TOC3"/>
        <w:rPr>
          <w:rFonts w:asciiTheme="minorHAnsi" w:eastAsiaTheme="minorEastAsia" w:hAnsiTheme="minorHAnsi" w:cstheme="minorBidi"/>
          <w:bCs w:val="0"/>
          <w:noProof/>
          <w:color w:val="auto"/>
          <w:spacing w:val="0"/>
          <w:sz w:val="22"/>
          <w:szCs w:val="22"/>
        </w:rPr>
      </w:pPr>
      <w:hyperlink w:anchor="_Toc41905666" w:history="1">
        <w:r w:rsidR="003A7891" w:rsidRPr="00E171BF">
          <w:rPr>
            <w:rStyle w:val="Hyperlink"/>
            <w:rFonts w:cs="Arial"/>
            <w:noProof/>
            <w14:scene3d>
              <w14:camera w14:prst="orthographicFront"/>
              <w14:lightRig w14:rig="threePt" w14:dir="t">
                <w14:rot w14:lat="0" w14:lon="0" w14:rev="0"/>
              </w14:lightRig>
            </w14:scene3d>
          </w:rPr>
          <w:t>3.3.2.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Proposing Excessively High Property Specific Standards</w:t>
        </w:r>
        <w:r w:rsidR="003A7891">
          <w:rPr>
            <w:noProof/>
            <w:webHidden/>
          </w:rPr>
          <w:tab/>
        </w:r>
        <w:r w:rsidR="003A7891">
          <w:rPr>
            <w:noProof/>
            <w:webHidden/>
          </w:rPr>
          <w:fldChar w:fldCharType="begin"/>
        </w:r>
        <w:r w:rsidR="003A7891">
          <w:rPr>
            <w:noProof/>
            <w:webHidden/>
          </w:rPr>
          <w:instrText xml:space="preserve"> PAGEREF _Toc41905666 \h </w:instrText>
        </w:r>
        <w:r w:rsidR="003A7891">
          <w:rPr>
            <w:noProof/>
            <w:webHidden/>
          </w:rPr>
        </w:r>
        <w:r w:rsidR="003A7891">
          <w:rPr>
            <w:noProof/>
            <w:webHidden/>
          </w:rPr>
          <w:fldChar w:fldCharType="separate"/>
        </w:r>
        <w:r w:rsidR="003A7891">
          <w:rPr>
            <w:noProof/>
            <w:webHidden/>
          </w:rPr>
          <w:t>24</w:t>
        </w:r>
        <w:r w:rsidR="003A7891">
          <w:rPr>
            <w:noProof/>
            <w:webHidden/>
          </w:rPr>
          <w:fldChar w:fldCharType="end"/>
        </w:r>
      </w:hyperlink>
    </w:p>
    <w:p w14:paraId="742933BF" w14:textId="03D926BC" w:rsidR="003A7891" w:rsidRDefault="003C4809">
      <w:pPr>
        <w:pStyle w:val="TOC3"/>
        <w:rPr>
          <w:rFonts w:asciiTheme="minorHAnsi" w:eastAsiaTheme="minorEastAsia" w:hAnsiTheme="minorHAnsi" w:cstheme="minorBidi"/>
          <w:bCs w:val="0"/>
          <w:noProof/>
          <w:color w:val="auto"/>
          <w:spacing w:val="0"/>
          <w:sz w:val="22"/>
          <w:szCs w:val="22"/>
        </w:rPr>
      </w:pPr>
      <w:hyperlink w:anchor="_Toc41905667" w:history="1">
        <w:r w:rsidR="003A7891" w:rsidRPr="00E171BF">
          <w:rPr>
            <w:rStyle w:val="Hyperlink"/>
            <w:rFonts w:cs="Arial"/>
            <w:noProof/>
            <w14:scene3d>
              <w14:camera w14:prst="orthographicFront"/>
              <w14:lightRig w14:rig="threePt" w14:dir="t">
                <w14:rot w14:lat="0" w14:lon="0" w14:rev="0"/>
              </w14:lightRig>
            </w14:scene3d>
          </w:rPr>
          <w:t>3.3.3.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Proposing Multiple Sets of Property Specific Standards</w:t>
        </w:r>
        <w:r w:rsidR="003A7891">
          <w:rPr>
            <w:noProof/>
            <w:webHidden/>
          </w:rPr>
          <w:tab/>
        </w:r>
        <w:r w:rsidR="003A7891">
          <w:rPr>
            <w:noProof/>
            <w:webHidden/>
          </w:rPr>
          <w:fldChar w:fldCharType="begin"/>
        </w:r>
        <w:r w:rsidR="003A7891">
          <w:rPr>
            <w:noProof/>
            <w:webHidden/>
          </w:rPr>
          <w:instrText xml:space="preserve"> PAGEREF _Toc41905667 \h </w:instrText>
        </w:r>
        <w:r w:rsidR="003A7891">
          <w:rPr>
            <w:noProof/>
            <w:webHidden/>
          </w:rPr>
        </w:r>
        <w:r w:rsidR="003A7891">
          <w:rPr>
            <w:noProof/>
            <w:webHidden/>
          </w:rPr>
          <w:fldChar w:fldCharType="separate"/>
        </w:r>
        <w:r w:rsidR="003A7891">
          <w:rPr>
            <w:noProof/>
            <w:webHidden/>
          </w:rPr>
          <w:t>25</w:t>
        </w:r>
        <w:r w:rsidR="003A7891">
          <w:rPr>
            <w:noProof/>
            <w:webHidden/>
          </w:rPr>
          <w:fldChar w:fldCharType="end"/>
        </w:r>
      </w:hyperlink>
    </w:p>
    <w:p w14:paraId="6BB31FEB" w14:textId="169F20E1" w:rsidR="003A7891" w:rsidRDefault="003C4809">
      <w:pPr>
        <w:pStyle w:val="TOC3"/>
        <w:rPr>
          <w:rFonts w:asciiTheme="minorHAnsi" w:eastAsiaTheme="minorEastAsia" w:hAnsiTheme="minorHAnsi" w:cstheme="minorBidi"/>
          <w:bCs w:val="0"/>
          <w:noProof/>
          <w:color w:val="auto"/>
          <w:spacing w:val="0"/>
          <w:sz w:val="22"/>
          <w:szCs w:val="22"/>
        </w:rPr>
      </w:pPr>
      <w:hyperlink w:anchor="_Toc41905668" w:history="1">
        <w:r w:rsidR="003A7891" w:rsidRPr="00E171BF">
          <w:rPr>
            <w:rStyle w:val="Hyperlink"/>
            <w:rFonts w:cs="Arial"/>
            <w:noProof/>
            <w14:scene3d>
              <w14:camera w14:prst="orthographicFront"/>
              <w14:lightRig w14:rig="threePt" w14:dir="t">
                <w14:rot w14:lat="0" w14:lon="0" w14:rev="0"/>
              </w14:lightRig>
            </w14:scene3d>
          </w:rPr>
          <w:t>3.3.4.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Non-Standard Delineation</w:t>
        </w:r>
        <w:r w:rsidR="003A7891">
          <w:rPr>
            <w:noProof/>
            <w:webHidden/>
          </w:rPr>
          <w:tab/>
        </w:r>
        <w:r w:rsidR="003A7891">
          <w:rPr>
            <w:noProof/>
            <w:webHidden/>
          </w:rPr>
          <w:fldChar w:fldCharType="begin"/>
        </w:r>
        <w:r w:rsidR="003A7891">
          <w:rPr>
            <w:noProof/>
            <w:webHidden/>
          </w:rPr>
          <w:instrText xml:space="preserve"> PAGEREF _Toc41905668 \h </w:instrText>
        </w:r>
        <w:r w:rsidR="003A7891">
          <w:rPr>
            <w:noProof/>
            <w:webHidden/>
          </w:rPr>
        </w:r>
        <w:r w:rsidR="003A7891">
          <w:rPr>
            <w:noProof/>
            <w:webHidden/>
          </w:rPr>
          <w:fldChar w:fldCharType="separate"/>
        </w:r>
        <w:r w:rsidR="003A7891">
          <w:rPr>
            <w:noProof/>
            <w:webHidden/>
          </w:rPr>
          <w:t>25</w:t>
        </w:r>
        <w:r w:rsidR="003A7891">
          <w:rPr>
            <w:noProof/>
            <w:webHidden/>
          </w:rPr>
          <w:fldChar w:fldCharType="end"/>
        </w:r>
      </w:hyperlink>
    </w:p>
    <w:p w14:paraId="51DC6C30" w14:textId="5F18B14A" w:rsidR="003A7891" w:rsidRDefault="003C4809">
      <w:pPr>
        <w:pStyle w:val="TOC3"/>
        <w:rPr>
          <w:rFonts w:asciiTheme="minorHAnsi" w:eastAsiaTheme="minorEastAsia" w:hAnsiTheme="minorHAnsi" w:cstheme="minorBidi"/>
          <w:bCs w:val="0"/>
          <w:noProof/>
          <w:color w:val="auto"/>
          <w:spacing w:val="0"/>
          <w:sz w:val="22"/>
          <w:szCs w:val="22"/>
        </w:rPr>
      </w:pPr>
      <w:hyperlink w:anchor="_Toc41905669" w:history="1">
        <w:r w:rsidR="003A7891" w:rsidRPr="00E171BF">
          <w:rPr>
            <w:rStyle w:val="Hyperlink"/>
            <w:rFonts w:cs="Arial"/>
            <w:noProof/>
            <w14:scene3d>
              <w14:camera w14:prst="orthographicFront"/>
              <w14:lightRig w14:rig="threePt" w14:dir="t">
                <w14:rot w14:lat="0" w14:lon="0" w14:rev="0"/>
              </w14:lightRig>
            </w14:scene3d>
          </w:rPr>
          <w:t>3.3.5.</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Assessment of Off-Site Risk</w:t>
        </w:r>
        <w:r w:rsidR="003A7891">
          <w:rPr>
            <w:noProof/>
            <w:webHidden/>
          </w:rPr>
          <w:tab/>
        </w:r>
        <w:r w:rsidR="003A7891">
          <w:rPr>
            <w:noProof/>
            <w:webHidden/>
          </w:rPr>
          <w:fldChar w:fldCharType="begin"/>
        </w:r>
        <w:r w:rsidR="003A7891">
          <w:rPr>
            <w:noProof/>
            <w:webHidden/>
          </w:rPr>
          <w:instrText xml:space="preserve"> PAGEREF _Toc41905669 \h </w:instrText>
        </w:r>
        <w:r w:rsidR="003A7891">
          <w:rPr>
            <w:noProof/>
            <w:webHidden/>
          </w:rPr>
        </w:r>
        <w:r w:rsidR="003A7891">
          <w:rPr>
            <w:noProof/>
            <w:webHidden/>
          </w:rPr>
          <w:fldChar w:fldCharType="separate"/>
        </w:r>
        <w:r w:rsidR="003A7891">
          <w:rPr>
            <w:noProof/>
            <w:webHidden/>
          </w:rPr>
          <w:t>25</w:t>
        </w:r>
        <w:r w:rsidR="003A7891">
          <w:rPr>
            <w:noProof/>
            <w:webHidden/>
          </w:rPr>
          <w:fldChar w:fldCharType="end"/>
        </w:r>
      </w:hyperlink>
    </w:p>
    <w:p w14:paraId="102F43FC" w14:textId="6B222FB4" w:rsidR="003A7891" w:rsidRDefault="003C4809">
      <w:pPr>
        <w:pStyle w:val="TOC3"/>
        <w:rPr>
          <w:rFonts w:asciiTheme="minorHAnsi" w:eastAsiaTheme="minorEastAsia" w:hAnsiTheme="minorHAnsi" w:cstheme="minorBidi"/>
          <w:bCs w:val="0"/>
          <w:noProof/>
          <w:color w:val="auto"/>
          <w:spacing w:val="0"/>
          <w:sz w:val="22"/>
          <w:szCs w:val="22"/>
        </w:rPr>
      </w:pPr>
      <w:hyperlink w:anchor="_Toc41905670" w:history="1">
        <w:r w:rsidR="003A7891" w:rsidRPr="00E171BF">
          <w:rPr>
            <w:rStyle w:val="Hyperlink"/>
            <w:rFonts w:cs="Arial"/>
            <w:noProof/>
            <w14:scene3d>
              <w14:camera w14:prst="orthographicFront"/>
              <w14:lightRig w14:rig="threePt" w14:dir="t">
                <w14:rot w14:lat="0" w14:lon="0" w14:rev="0"/>
              </w14:lightRig>
            </w14:scene3d>
          </w:rPr>
          <w:t>3.3.6.</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Special Considerations for Groundwater Standards</w:t>
        </w:r>
        <w:r w:rsidR="003A7891">
          <w:rPr>
            <w:noProof/>
            <w:webHidden/>
          </w:rPr>
          <w:tab/>
        </w:r>
        <w:r w:rsidR="003A7891">
          <w:rPr>
            <w:noProof/>
            <w:webHidden/>
          </w:rPr>
          <w:fldChar w:fldCharType="begin"/>
        </w:r>
        <w:r w:rsidR="003A7891">
          <w:rPr>
            <w:noProof/>
            <w:webHidden/>
          </w:rPr>
          <w:instrText xml:space="preserve"> PAGEREF _Toc41905670 \h </w:instrText>
        </w:r>
        <w:r w:rsidR="003A7891">
          <w:rPr>
            <w:noProof/>
            <w:webHidden/>
          </w:rPr>
        </w:r>
        <w:r w:rsidR="003A7891">
          <w:rPr>
            <w:noProof/>
            <w:webHidden/>
          </w:rPr>
          <w:fldChar w:fldCharType="separate"/>
        </w:r>
        <w:r w:rsidR="003A7891">
          <w:rPr>
            <w:noProof/>
            <w:webHidden/>
          </w:rPr>
          <w:t>26</w:t>
        </w:r>
        <w:r w:rsidR="003A7891">
          <w:rPr>
            <w:noProof/>
            <w:webHidden/>
          </w:rPr>
          <w:fldChar w:fldCharType="end"/>
        </w:r>
      </w:hyperlink>
    </w:p>
    <w:p w14:paraId="004FC629" w14:textId="6D96015F" w:rsidR="003A7891" w:rsidRDefault="003C4809">
      <w:pPr>
        <w:pStyle w:val="TOC2"/>
        <w:rPr>
          <w:rFonts w:asciiTheme="minorHAnsi" w:eastAsiaTheme="minorEastAsia" w:hAnsiTheme="minorHAnsi" w:cstheme="minorBidi"/>
          <w:color w:val="auto"/>
          <w:spacing w:val="0"/>
          <w:sz w:val="22"/>
          <w:szCs w:val="22"/>
        </w:rPr>
      </w:pPr>
      <w:hyperlink w:anchor="_Toc41905671" w:history="1">
        <w:r w:rsidR="003A7891" w:rsidRPr="00E171BF">
          <w:rPr>
            <w:rStyle w:val="Hyperlink"/>
            <w:rFonts w:cs="Arial"/>
          </w:rPr>
          <w:t>3.4.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Appendices to RA Report</w:t>
        </w:r>
        <w:r w:rsidR="003A7891">
          <w:rPr>
            <w:webHidden/>
          </w:rPr>
          <w:tab/>
        </w:r>
        <w:r w:rsidR="003A7891">
          <w:rPr>
            <w:webHidden/>
          </w:rPr>
          <w:fldChar w:fldCharType="begin"/>
        </w:r>
        <w:r w:rsidR="003A7891">
          <w:rPr>
            <w:webHidden/>
          </w:rPr>
          <w:instrText xml:space="preserve"> PAGEREF _Toc41905671 \h </w:instrText>
        </w:r>
        <w:r w:rsidR="003A7891">
          <w:rPr>
            <w:webHidden/>
          </w:rPr>
        </w:r>
        <w:r w:rsidR="003A7891">
          <w:rPr>
            <w:webHidden/>
          </w:rPr>
          <w:fldChar w:fldCharType="separate"/>
        </w:r>
        <w:r w:rsidR="003A7891">
          <w:rPr>
            <w:webHidden/>
          </w:rPr>
          <w:t>26</w:t>
        </w:r>
        <w:r w:rsidR="003A7891">
          <w:rPr>
            <w:webHidden/>
          </w:rPr>
          <w:fldChar w:fldCharType="end"/>
        </w:r>
      </w:hyperlink>
    </w:p>
    <w:p w14:paraId="0F71BB6F" w14:textId="53102D0A" w:rsidR="003A7891" w:rsidRDefault="003C4809">
      <w:pPr>
        <w:pStyle w:val="TOC1"/>
        <w:rPr>
          <w:rFonts w:asciiTheme="minorHAnsi" w:eastAsiaTheme="minorEastAsia" w:hAnsiTheme="minorHAnsi" w:cstheme="minorBidi"/>
          <w:b w:val="0"/>
          <w:color w:val="auto"/>
          <w:spacing w:val="0"/>
          <w:sz w:val="22"/>
          <w:szCs w:val="22"/>
        </w:rPr>
      </w:pPr>
      <w:hyperlink w:anchor="_Toc41905672" w:history="1">
        <w:r w:rsidR="003A7891" w:rsidRPr="00E171BF">
          <w:rPr>
            <w:rStyle w:val="Hyperlink"/>
          </w:rPr>
          <w:t>Section 4.</w:t>
        </w:r>
        <w:r w:rsidR="003A7891">
          <w:rPr>
            <w:rFonts w:asciiTheme="minorHAnsi" w:eastAsiaTheme="minorEastAsia" w:hAnsiTheme="minorHAnsi" w:cstheme="minorBidi"/>
            <w:b w:val="0"/>
            <w:color w:val="auto"/>
            <w:spacing w:val="0"/>
            <w:sz w:val="22"/>
            <w:szCs w:val="22"/>
          </w:rPr>
          <w:tab/>
        </w:r>
        <w:r w:rsidR="003A7891" w:rsidRPr="00E171BF">
          <w:rPr>
            <w:rStyle w:val="Hyperlink"/>
          </w:rPr>
          <w:t>Property Information, Site Plan and Geological Interpretation</w:t>
        </w:r>
        <w:r w:rsidR="003A7891">
          <w:rPr>
            <w:webHidden/>
          </w:rPr>
          <w:tab/>
        </w:r>
        <w:r w:rsidR="003A7891">
          <w:rPr>
            <w:webHidden/>
          </w:rPr>
          <w:fldChar w:fldCharType="begin"/>
        </w:r>
        <w:r w:rsidR="003A7891">
          <w:rPr>
            <w:webHidden/>
          </w:rPr>
          <w:instrText xml:space="preserve"> PAGEREF _Toc41905672 \h </w:instrText>
        </w:r>
        <w:r w:rsidR="003A7891">
          <w:rPr>
            <w:webHidden/>
          </w:rPr>
        </w:r>
        <w:r w:rsidR="003A7891">
          <w:rPr>
            <w:webHidden/>
          </w:rPr>
          <w:fldChar w:fldCharType="separate"/>
        </w:r>
        <w:r w:rsidR="003A7891">
          <w:rPr>
            <w:webHidden/>
          </w:rPr>
          <w:t>29</w:t>
        </w:r>
        <w:r w:rsidR="003A7891">
          <w:rPr>
            <w:webHidden/>
          </w:rPr>
          <w:fldChar w:fldCharType="end"/>
        </w:r>
      </w:hyperlink>
    </w:p>
    <w:p w14:paraId="19304F12" w14:textId="5D9C41CD" w:rsidR="003A7891" w:rsidRDefault="003C4809">
      <w:pPr>
        <w:pStyle w:val="TOC2"/>
        <w:rPr>
          <w:rFonts w:asciiTheme="minorHAnsi" w:eastAsiaTheme="minorEastAsia" w:hAnsiTheme="minorHAnsi" w:cstheme="minorBidi"/>
          <w:color w:val="auto"/>
          <w:spacing w:val="0"/>
          <w:sz w:val="22"/>
          <w:szCs w:val="22"/>
        </w:rPr>
      </w:pPr>
      <w:hyperlink w:anchor="_Toc41905673" w:history="1">
        <w:r w:rsidR="003A7891" w:rsidRPr="00E171BF">
          <w:rPr>
            <w:rStyle w:val="Hyperlink"/>
            <w:rFonts w:cs="Arial"/>
          </w:rPr>
          <w:t>4.1.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Property Information</w:t>
        </w:r>
        <w:r w:rsidR="003A7891">
          <w:rPr>
            <w:webHidden/>
          </w:rPr>
          <w:tab/>
        </w:r>
        <w:r w:rsidR="003A7891">
          <w:rPr>
            <w:webHidden/>
          </w:rPr>
          <w:fldChar w:fldCharType="begin"/>
        </w:r>
        <w:r w:rsidR="003A7891">
          <w:rPr>
            <w:webHidden/>
          </w:rPr>
          <w:instrText xml:space="preserve"> PAGEREF _Toc41905673 \h </w:instrText>
        </w:r>
        <w:r w:rsidR="003A7891">
          <w:rPr>
            <w:webHidden/>
          </w:rPr>
        </w:r>
        <w:r w:rsidR="003A7891">
          <w:rPr>
            <w:webHidden/>
          </w:rPr>
          <w:fldChar w:fldCharType="separate"/>
        </w:r>
        <w:r w:rsidR="003A7891">
          <w:rPr>
            <w:webHidden/>
          </w:rPr>
          <w:t>31</w:t>
        </w:r>
        <w:r w:rsidR="003A7891">
          <w:rPr>
            <w:webHidden/>
          </w:rPr>
          <w:fldChar w:fldCharType="end"/>
        </w:r>
      </w:hyperlink>
    </w:p>
    <w:p w14:paraId="6D561ACB" w14:textId="29F3F6E0" w:rsidR="003A7891" w:rsidRDefault="003C4809">
      <w:pPr>
        <w:pStyle w:val="TOC2"/>
        <w:rPr>
          <w:rFonts w:asciiTheme="minorHAnsi" w:eastAsiaTheme="minorEastAsia" w:hAnsiTheme="minorHAnsi" w:cstheme="minorBidi"/>
          <w:color w:val="auto"/>
          <w:spacing w:val="0"/>
          <w:sz w:val="22"/>
          <w:szCs w:val="22"/>
        </w:rPr>
      </w:pPr>
      <w:hyperlink w:anchor="_Toc41905674" w:history="1">
        <w:r w:rsidR="003A7891" w:rsidRPr="00E171BF">
          <w:rPr>
            <w:rStyle w:val="Hyperlink"/>
            <w:rFonts w:cs="Arial"/>
          </w:rPr>
          <w:t>4.2.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Site Plan and Hydrogeological Interpretation of RA Property</w:t>
        </w:r>
        <w:r w:rsidR="003A7891">
          <w:rPr>
            <w:webHidden/>
          </w:rPr>
          <w:tab/>
        </w:r>
        <w:r w:rsidR="003A7891">
          <w:rPr>
            <w:webHidden/>
          </w:rPr>
          <w:fldChar w:fldCharType="begin"/>
        </w:r>
        <w:r w:rsidR="003A7891">
          <w:rPr>
            <w:webHidden/>
          </w:rPr>
          <w:instrText xml:space="preserve"> PAGEREF _Toc41905674 \h </w:instrText>
        </w:r>
        <w:r w:rsidR="003A7891">
          <w:rPr>
            <w:webHidden/>
          </w:rPr>
        </w:r>
        <w:r w:rsidR="003A7891">
          <w:rPr>
            <w:webHidden/>
          </w:rPr>
          <w:fldChar w:fldCharType="separate"/>
        </w:r>
        <w:r w:rsidR="003A7891">
          <w:rPr>
            <w:webHidden/>
          </w:rPr>
          <w:t>31</w:t>
        </w:r>
        <w:r w:rsidR="003A7891">
          <w:rPr>
            <w:webHidden/>
          </w:rPr>
          <w:fldChar w:fldCharType="end"/>
        </w:r>
      </w:hyperlink>
    </w:p>
    <w:p w14:paraId="1B4EC50E" w14:textId="3F8B3EFD" w:rsidR="003A7891" w:rsidRDefault="003C4809">
      <w:pPr>
        <w:pStyle w:val="TOC3"/>
        <w:rPr>
          <w:rFonts w:asciiTheme="minorHAnsi" w:eastAsiaTheme="minorEastAsia" w:hAnsiTheme="minorHAnsi" w:cstheme="minorBidi"/>
          <w:bCs w:val="0"/>
          <w:noProof/>
          <w:color w:val="auto"/>
          <w:spacing w:val="0"/>
          <w:sz w:val="22"/>
          <w:szCs w:val="22"/>
        </w:rPr>
      </w:pPr>
      <w:hyperlink w:anchor="_Toc41905675" w:history="1">
        <w:r w:rsidR="003A7891" w:rsidRPr="00E171BF">
          <w:rPr>
            <w:rStyle w:val="Hyperlink"/>
            <w:rFonts w:cs="Arial"/>
            <w:noProof/>
            <w14:scene3d>
              <w14:camera w14:prst="orthographicFront"/>
              <w14:lightRig w14:rig="threePt" w14:dir="t">
                <w14:rot w14:lat="0" w14:lon="0" w14:rev="0"/>
              </w14:lightRig>
            </w14:scene3d>
          </w:rPr>
          <w:t>4.2.1.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Conceptual Site Model – Additional Guidance</w:t>
        </w:r>
        <w:r w:rsidR="003A7891">
          <w:rPr>
            <w:noProof/>
            <w:webHidden/>
          </w:rPr>
          <w:tab/>
        </w:r>
        <w:r w:rsidR="003A7891">
          <w:rPr>
            <w:noProof/>
            <w:webHidden/>
          </w:rPr>
          <w:fldChar w:fldCharType="begin"/>
        </w:r>
        <w:r w:rsidR="003A7891">
          <w:rPr>
            <w:noProof/>
            <w:webHidden/>
          </w:rPr>
          <w:instrText xml:space="preserve"> PAGEREF _Toc41905675 \h </w:instrText>
        </w:r>
        <w:r w:rsidR="003A7891">
          <w:rPr>
            <w:noProof/>
            <w:webHidden/>
          </w:rPr>
        </w:r>
        <w:r w:rsidR="003A7891">
          <w:rPr>
            <w:noProof/>
            <w:webHidden/>
          </w:rPr>
          <w:fldChar w:fldCharType="separate"/>
        </w:r>
        <w:r w:rsidR="003A7891">
          <w:rPr>
            <w:noProof/>
            <w:webHidden/>
          </w:rPr>
          <w:t>32</w:t>
        </w:r>
        <w:r w:rsidR="003A7891">
          <w:rPr>
            <w:noProof/>
            <w:webHidden/>
          </w:rPr>
          <w:fldChar w:fldCharType="end"/>
        </w:r>
      </w:hyperlink>
    </w:p>
    <w:p w14:paraId="37EA77F0" w14:textId="788CB785" w:rsidR="003A7891" w:rsidRDefault="003C4809">
      <w:pPr>
        <w:pStyle w:val="TOC2"/>
        <w:rPr>
          <w:rFonts w:asciiTheme="minorHAnsi" w:eastAsiaTheme="minorEastAsia" w:hAnsiTheme="minorHAnsi" w:cstheme="minorBidi"/>
          <w:color w:val="auto"/>
          <w:spacing w:val="0"/>
          <w:sz w:val="22"/>
          <w:szCs w:val="22"/>
        </w:rPr>
      </w:pPr>
      <w:hyperlink w:anchor="_Toc41905676" w:history="1">
        <w:r w:rsidR="003A7891" w:rsidRPr="00E171BF">
          <w:rPr>
            <w:rStyle w:val="Hyperlink"/>
            <w:rFonts w:cs="Arial"/>
          </w:rPr>
          <w:t>4.3.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Contaminants of Concern</w:t>
        </w:r>
        <w:r w:rsidR="003A7891">
          <w:rPr>
            <w:webHidden/>
          </w:rPr>
          <w:tab/>
        </w:r>
        <w:r w:rsidR="003A7891">
          <w:rPr>
            <w:webHidden/>
          </w:rPr>
          <w:fldChar w:fldCharType="begin"/>
        </w:r>
        <w:r w:rsidR="003A7891">
          <w:rPr>
            <w:webHidden/>
          </w:rPr>
          <w:instrText xml:space="preserve"> PAGEREF _Toc41905676 \h </w:instrText>
        </w:r>
        <w:r w:rsidR="003A7891">
          <w:rPr>
            <w:webHidden/>
          </w:rPr>
        </w:r>
        <w:r w:rsidR="003A7891">
          <w:rPr>
            <w:webHidden/>
          </w:rPr>
          <w:fldChar w:fldCharType="separate"/>
        </w:r>
        <w:r w:rsidR="003A7891">
          <w:rPr>
            <w:webHidden/>
          </w:rPr>
          <w:t>32</w:t>
        </w:r>
        <w:r w:rsidR="003A7891">
          <w:rPr>
            <w:webHidden/>
          </w:rPr>
          <w:fldChar w:fldCharType="end"/>
        </w:r>
      </w:hyperlink>
    </w:p>
    <w:p w14:paraId="39080176" w14:textId="55E85082" w:rsidR="003A7891" w:rsidRDefault="003C4809">
      <w:pPr>
        <w:pStyle w:val="TOC3"/>
        <w:rPr>
          <w:rFonts w:asciiTheme="minorHAnsi" w:eastAsiaTheme="minorEastAsia" w:hAnsiTheme="minorHAnsi" w:cstheme="minorBidi"/>
          <w:bCs w:val="0"/>
          <w:noProof/>
          <w:color w:val="auto"/>
          <w:spacing w:val="0"/>
          <w:sz w:val="22"/>
          <w:szCs w:val="22"/>
        </w:rPr>
      </w:pPr>
      <w:hyperlink w:anchor="_Toc41905677" w:history="1">
        <w:r w:rsidR="003A7891" w:rsidRPr="00E171BF">
          <w:rPr>
            <w:rStyle w:val="Hyperlink"/>
            <w:rFonts w:cs="Arial"/>
            <w:noProof/>
            <w14:scene3d>
              <w14:camera w14:prst="orthographicFront"/>
              <w14:lightRig w14:rig="threePt" w14:dir="t">
                <w14:rot w14:lat="0" w14:lon="0" w14:rev="0"/>
              </w14:lightRig>
            </w14:scene3d>
          </w:rPr>
          <w:t>4.3.1.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Screening for Contaminants of Concern – Additional Guidance</w:t>
        </w:r>
        <w:r w:rsidR="003A7891">
          <w:rPr>
            <w:noProof/>
            <w:webHidden/>
          </w:rPr>
          <w:tab/>
        </w:r>
        <w:r w:rsidR="003A7891">
          <w:rPr>
            <w:noProof/>
            <w:webHidden/>
          </w:rPr>
          <w:fldChar w:fldCharType="begin"/>
        </w:r>
        <w:r w:rsidR="003A7891">
          <w:rPr>
            <w:noProof/>
            <w:webHidden/>
          </w:rPr>
          <w:instrText xml:space="preserve"> PAGEREF _Toc41905677 \h </w:instrText>
        </w:r>
        <w:r w:rsidR="003A7891">
          <w:rPr>
            <w:noProof/>
            <w:webHidden/>
          </w:rPr>
        </w:r>
        <w:r w:rsidR="003A7891">
          <w:rPr>
            <w:noProof/>
            <w:webHidden/>
          </w:rPr>
          <w:fldChar w:fldCharType="separate"/>
        </w:r>
        <w:r w:rsidR="003A7891">
          <w:rPr>
            <w:noProof/>
            <w:webHidden/>
          </w:rPr>
          <w:t>34</w:t>
        </w:r>
        <w:r w:rsidR="003A7891">
          <w:rPr>
            <w:noProof/>
            <w:webHidden/>
          </w:rPr>
          <w:fldChar w:fldCharType="end"/>
        </w:r>
      </w:hyperlink>
    </w:p>
    <w:p w14:paraId="032CEC74" w14:textId="0023F9D8" w:rsidR="003A7891" w:rsidRDefault="003C4809">
      <w:pPr>
        <w:pStyle w:val="TOC3"/>
        <w:rPr>
          <w:rFonts w:asciiTheme="minorHAnsi" w:eastAsiaTheme="minorEastAsia" w:hAnsiTheme="minorHAnsi" w:cstheme="minorBidi"/>
          <w:bCs w:val="0"/>
          <w:noProof/>
          <w:color w:val="auto"/>
          <w:spacing w:val="0"/>
          <w:sz w:val="22"/>
          <w:szCs w:val="22"/>
        </w:rPr>
      </w:pPr>
      <w:hyperlink w:anchor="_Toc41905678" w:history="1">
        <w:r w:rsidR="003A7891" w:rsidRPr="00E171BF">
          <w:rPr>
            <w:rStyle w:val="Hyperlink"/>
            <w:rFonts w:cs="Arial"/>
            <w:noProof/>
            <w14:scene3d>
              <w14:camera w14:prst="orthographicFront"/>
              <w14:lightRig w14:rig="threePt" w14:dir="t">
                <w14:rot w14:lat="0" w14:lon="0" w14:rev="0"/>
              </w14:lightRig>
            </w14:scene3d>
          </w:rPr>
          <w:t>4.3.2.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Summary of Sampling Program</w:t>
        </w:r>
        <w:r w:rsidR="003A7891">
          <w:rPr>
            <w:noProof/>
            <w:webHidden/>
          </w:rPr>
          <w:tab/>
        </w:r>
        <w:r w:rsidR="003A7891">
          <w:rPr>
            <w:noProof/>
            <w:webHidden/>
          </w:rPr>
          <w:fldChar w:fldCharType="begin"/>
        </w:r>
        <w:r w:rsidR="003A7891">
          <w:rPr>
            <w:noProof/>
            <w:webHidden/>
          </w:rPr>
          <w:instrText xml:space="preserve"> PAGEREF _Toc41905678 \h </w:instrText>
        </w:r>
        <w:r w:rsidR="003A7891">
          <w:rPr>
            <w:noProof/>
            <w:webHidden/>
          </w:rPr>
        </w:r>
        <w:r w:rsidR="003A7891">
          <w:rPr>
            <w:noProof/>
            <w:webHidden/>
          </w:rPr>
          <w:fldChar w:fldCharType="separate"/>
        </w:r>
        <w:r w:rsidR="003A7891">
          <w:rPr>
            <w:noProof/>
            <w:webHidden/>
          </w:rPr>
          <w:t>36</w:t>
        </w:r>
        <w:r w:rsidR="003A7891">
          <w:rPr>
            <w:noProof/>
            <w:webHidden/>
          </w:rPr>
          <w:fldChar w:fldCharType="end"/>
        </w:r>
      </w:hyperlink>
    </w:p>
    <w:p w14:paraId="6D77D6C9" w14:textId="787C01EC" w:rsidR="003A7891" w:rsidRDefault="003C4809">
      <w:pPr>
        <w:pStyle w:val="TOC3"/>
        <w:rPr>
          <w:rFonts w:asciiTheme="minorHAnsi" w:eastAsiaTheme="minorEastAsia" w:hAnsiTheme="minorHAnsi" w:cstheme="minorBidi"/>
          <w:bCs w:val="0"/>
          <w:noProof/>
          <w:color w:val="auto"/>
          <w:spacing w:val="0"/>
          <w:sz w:val="22"/>
          <w:szCs w:val="22"/>
        </w:rPr>
      </w:pPr>
      <w:hyperlink w:anchor="_Toc41905679" w:history="1">
        <w:r w:rsidR="003A7891" w:rsidRPr="00E171BF">
          <w:rPr>
            <w:rStyle w:val="Hyperlink"/>
            <w:rFonts w:cs="Arial"/>
            <w:noProof/>
            <w14:scene3d>
              <w14:camera w14:prst="orthographicFront"/>
              <w14:lightRig w14:rig="threePt" w14:dir="t">
                <w14:rot w14:lat="0" w14:lon="0" w14:rev="0"/>
              </w14:lightRig>
            </w14:scene3d>
          </w:rPr>
          <w:t>4.3.3.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Data Quality Assessment</w:t>
        </w:r>
        <w:r w:rsidR="003A7891">
          <w:rPr>
            <w:noProof/>
            <w:webHidden/>
          </w:rPr>
          <w:tab/>
        </w:r>
        <w:r w:rsidR="003A7891">
          <w:rPr>
            <w:noProof/>
            <w:webHidden/>
          </w:rPr>
          <w:fldChar w:fldCharType="begin"/>
        </w:r>
        <w:r w:rsidR="003A7891">
          <w:rPr>
            <w:noProof/>
            <w:webHidden/>
          </w:rPr>
          <w:instrText xml:space="preserve"> PAGEREF _Toc41905679 \h </w:instrText>
        </w:r>
        <w:r w:rsidR="003A7891">
          <w:rPr>
            <w:noProof/>
            <w:webHidden/>
          </w:rPr>
        </w:r>
        <w:r w:rsidR="003A7891">
          <w:rPr>
            <w:noProof/>
            <w:webHidden/>
          </w:rPr>
          <w:fldChar w:fldCharType="separate"/>
        </w:r>
        <w:r w:rsidR="003A7891">
          <w:rPr>
            <w:noProof/>
            <w:webHidden/>
          </w:rPr>
          <w:t>36</w:t>
        </w:r>
        <w:r w:rsidR="003A7891">
          <w:rPr>
            <w:noProof/>
            <w:webHidden/>
          </w:rPr>
          <w:fldChar w:fldCharType="end"/>
        </w:r>
      </w:hyperlink>
    </w:p>
    <w:p w14:paraId="2977C327" w14:textId="5E64DD1D" w:rsidR="003A7891" w:rsidRDefault="003C4809">
      <w:pPr>
        <w:pStyle w:val="TOC3"/>
        <w:rPr>
          <w:rFonts w:asciiTheme="minorHAnsi" w:eastAsiaTheme="minorEastAsia" w:hAnsiTheme="minorHAnsi" w:cstheme="minorBidi"/>
          <w:bCs w:val="0"/>
          <w:noProof/>
          <w:color w:val="auto"/>
          <w:spacing w:val="0"/>
          <w:sz w:val="22"/>
          <w:szCs w:val="22"/>
        </w:rPr>
      </w:pPr>
      <w:hyperlink w:anchor="_Toc41905680" w:history="1">
        <w:r w:rsidR="003A7891" w:rsidRPr="00E171BF">
          <w:rPr>
            <w:rStyle w:val="Hyperlink"/>
            <w:rFonts w:cs="Arial"/>
            <w:noProof/>
            <w14:scene3d>
              <w14:camera w14:prst="orthographicFront"/>
              <w14:lightRig w14:rig="threePt" w14:dir="t">
                <w14:rot w14:lat="0" w14:lon="0" w14:rev="0"/>
              </w14:lightRig>
            </w14:scene3d>
          </w:rPr>
          <w:t>4.3.4.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Site Investigation and Currency of Property Data</w:t>
        </w:r>
        <w:r w:rsidR="003A7891">
          <w:rPr>
            <w:noProof/>
            <w:webHidden/>
          </w:rPr>
          <w:tab/>
        </w:r>
        <w:r w:rsidR="003A7891">
          <w:rPr>
            <w:noProof/>
            <w:webHidden/>
          </w:rPr>
          <w:fldChar w:fldCharType="begin"/>
        </w:r>
        <w:r w:rsidR="003A7891">
          <w:rPr>
            <w:noProof/>
            <w:webHidden/>
          </w:rPr>
          <w:instrText xml:space="preserve"> PAGEREF _Toc41905680 \h </w:instrText>
        </w:r>
        <w:r w:rsidR="003A7891">
          <w:rPr>
            <w:noProof/>
            <w:webHidden/>
          </w:rPr>
        </w:r>
        <w:r w:rsidR="003A7891">
          <w:rPr>
            <w:noProof/>
            <w:webHidden/>
          </w:rPr>
          <w:fldChar w:fldCharType="separate"/>
        </w:r>
        <w:r w:rsidR="003A7891">
          <w:rPr>
            <w:noProof/>
            <w:webHidden/>
          </w:rPr>
          <w:t>37</w:t>
        </w:r>
        <w:r w:rsidR="003A7891">
          <w:rPr>
            <w:noProof/>
            <w:webHidden/>
          </w:rPr>
          <w:fldChar w:fldCharType="end"/>
        </w:r>
      </w:hyperlink>
    </w:p>
    <w:p w14:paraId="72866962" w14:textId="6B66B8CC" w:rsidR="003A7891" w:rsidRDefault="003C4809">
      <w:pPr>
        <w:pStyle w:val="TOC1"/>
        <w:rPr>
          <w:rFonts w:asciiTheme="minorHAnsi" w:eastAsiaTheme="minorEastAsia" w:hAnsiTheme="minorHAnsi" w:cstheme="minorBidi"/>
          <w:b w:val="0"/>
          <w:color w:val="auto"/>
          <w:spacing w:val="0"/>
          <w:sz w:val="22"/>
          <w:szCs w:val="22"/>
        </w:rPr>
      </w:pPr>
      <w:hyperlink w:anchor="_Toc41905681" w:history="1">
        <w:r w:rsidR="003A7891" w:rsidRPr="00E171BF">
          <w:rPr>
            <w:rStyle w:val="Hyperlink"/>
          </w:rPr>
          <w:t>Section 5.</w:t>
        </w:r>
        <w:r w:rsidR="003A7891">
          <w:rPr>
            <w:rFonts w:asciiTheme="minorHAnsi" w:eastAsiaTheme="minorEastAsia" w:hAnsiTheme="minorHAnsi" w:cstheme="minorBidi"/>
            <w:b w:val="0"/>
            <w:color w:val="auto"/>
            <w:spacing w:val="0"/>
            <w:sz w:val="22"/>
            <w:szCs w:val="22"/>
          </w:rPr>
          <w:tab/>
        </w:r>
        <w:r w:rsidR="003A7891" w:rsidRPr="00E171BF">
          <w:rPr>
            <w:rStyle w:val="Hyperlink"/>
          </w:rPr>
          <w:t>General Guidance for Conducting Risk Assessments</w:t>
        </w:r>
        <w:r w:rsidR="003A7891">
          <w:rPr>
            <w:webHidden/>
          </w:rPr>
          <w:tab/>
        </w:r>
        <w:r w:rsidR="003A7891">
          <w:rPr>
            <w:webHidden/>
          </w:rPr>
          <w:fldChar w:fldCharType="begin"/>
        </w:r>
        <w:r w:rsidR="003A7891">
          <w:rPr>
            <w:webHidden/>
          </w:rPr>
          <w:instrText xml:space="preserve"> PAGEREF _Toc41905681 \h </w:instrText>
        </w:r>
        <w:r w:rsidR="003A7891">
          <w:rPr>
            <w:webHidden/>
          </w:rPr>
        </w:r>
        <w:r w:rsidR="003A7891">
          <w:rPr>
            <w:webHidden/>
          </w:rPr>
          <w:fldChar w:fldCharType="separate"/>
        </w:r>
        <w:r w:rsidR="003A7891">
          <w:rPr>
            <w:webHidden/>
          </w:rPr>
          <w:t>39</w:t>
        </w:r>
        <w:r w:rsidR="003A7891">
          <w:rPr>
            <w:webHidden/>
          </w:rPr>
          <w:fldChar w:fldCharType="end"/>
        </w:r>
      </w:hyperlink>
    </w:p>
    <w:p w14:paraId="2985D9FA" w14:textId="75AECE51" w:rsidR="003A7891" w:rsidRDefault="003C4809">
      <w:pPr>
        <w:pStyle w:val="TOC2"/>
        <w:rPr>
          <w:rFonts w:asciiTheme="minorHAnsi" w:eastAsiaTheme="minorEastAsia" w:hAnsiTheme="minorHAnsi" w:cstheme="minorBidi"/>
          <w:color w:val="auto"/>
          <w:spacing w:val="0"/>
          <w:sz w:val="22"/>
          <w:szCs w:val="22"/>
        </w:rPr>
      </w:pPr>
      <w:hyperlink w:anchor="_Toc41905682" w:history="1">
        <w:r w:rsidR="003A7891" w:rsidRPr="00E171BF">
          <w:rPr>
            <w:rStyle w:val="Hyperlink"/>
            <w:rFonts w:cs="Arial"/>
          </w:rPr>
          <w:t>5.1.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Principal Elements of Risk Assessment (HHRA and ERA)</w:t>
        </w:r>
        <w:r w:rsidR="003A7891">
          <w:rPr>
            <w:webHidden/>
          </w:rPr>
          <w:tab/>
        </w:r>
        <w:r w:rsidR="003A7891">
          <w:rPr>
            <w:webHidden/>
          </w:rPr>
          <w:fldChar w:fldCharType="begin"/>
        </w:r>
        <w:r w:rsidR="003A7891">
          <w:rPr>
            <w:webHidden/>
          </w:rPr>
          <w:instrText xml:space="preserve"> PAGEREF _Toc41905682 \h </w:instrText>
        </w:r>
        <w:r w:rsidR="003A7891">
          <w:rPr>
            <w:webHidden/>
          </w:rPr>
        </w:r>
        <w:r w:rsidR="003A7891">
          <w:rPr>
            <w:webHidden/>
          </w:rPr>
          <w:fldChar w:fldCharType="separate"/>
        </w:r>
        <w:r w:rsidR="003A7891">
          <w:rPr>
            <w:webHidden/>
          </w:rPr>
          <w:t>39</w:t>
        </w:r>
        <w:r w:rsidR="003A7891">
          <w:rPr>
            <w:webHidden/>
          </w:rPr>
          <w:fldChar w:fldCharType="end"/>
        </w:r>
      </w:hyperlink>
    </w:p>
    <w:p w14:paraId="0F080B96" w14:textId="4A2BFC43" w:rsidR="003A7891" w:rsidRDefault="003C4809">
      <w:pPr>
        <w:pStyle w:val="TOC2"/>
        <w:rPr>
          <w:rFonts w:asciiTheme="minorHAnsi" w:eastAsiaTheme="minorEastAsia" w:hAnsiTheme="minorHAnsi" w:cstheme="minorBidi"/>
          <w:color w:val="auto"/>
          <w:spacing w:val="0"/>
          <w:sz w:val="22"/>
          <w:szCs w:val="22"/>
        </w:rPr>
      </w:pPr>
      <w:hyperlink w:anchor="_Toc41905683" w:history="1">
        <w:r w:rsidR="003A7891" w:rsidRPr="00E171BF">
          <w:rPr>
            <w:rStyle w:val="Hyperlink"/>
            <w:rFonts w:cs="Arial"/>
          </w:rPr>
          <w:t>5.2.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Risk Assessment Objectives</w:t>
        </w:r>
        <w:r w:rsidR="003A7891">
          <w:rPr>
            <w:webHidden/>
          </w:rPr>
          <w:tab/>
        </w:r>
        <w:r w:rsidR="003A7891">
          <w:rPr>
            <w:webHidden/>
          </w:rPr>
          <w:fldChar w:fldCharType="begin"/>
        </w:r>
        <w:r w:rsidR="003A7891">
          <w:rPr>
            <w:webHidden/>
          </w:rPr>
          <w:instrText xml:space="preserve"> PAGEREF _Toc41905683 \h </w:instrText>
        </w:r>
        <w:r w:rsidR="003A7891">
          <w:rPr>
            <w:webHidden/>
          </w:rPr>
        </w:r>
        <w:r w:rsidR="003A7891">
          <w:rPr>
            <w:webHidden/>
          </w:rPr>
          <w:fldChar w:fldCharType="separate"/>
        </w:r>
        <w:r w:rsidR="003A7891">
          <w:rPr>
            <w:webHidden/>
          </w:rPr>
          <w:t>39</w:t>
        </w:r>
        <w:r w:rsidR="003A7891">
          <w:rPr>
            <w:webHidden/>
          </w:rPr>
          <w:fldChar w:fldCharType="end"/>
        </w:r>
      </w:hyperlink>
    </w:p>
    <w:p w14:paraId="42B14312" w14:textId="38111DF5" w:rsidR="003A7891" w:rsidRDefault="003C4809">
      <w:pPr>
        <w:pStyle w:val="TOC2"/>
        <w:rPr>
          <w:rFonts w:asciiTheme="minorHAnsi" w:eastAsiaTheme="minorEastAsia" w:hAnsiTheme="minorHAnsi" w:cstheme="minorBidi"/>
          <w:color w:val="auto"/>
          <w:spacing w:val="0"/>
          <w:sz w:val="22"/>
          <w:szCs w:val="22"/>
        </w:rPr>
      </w:pPr>
      <w:hyperlink w:anchor="_Toc41905684" w:history="1">
        <w:r w:rsidR="003A7891" w:rsidRPr="00E171BF">
          <w:rPr>
            <w:rStyle w:val="Hyperlink"/>
            <w:rFonts w:cs="Arial"/>
          </w:rPr>
          <w:t>5.3.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Screening Process for Quantitative Risk Assessment</w:t>
        </w:r>
        <w:r w:rsidR="003A7891">
          <w:rPr>
            <w:webHidden/>
          </w:rPr>
          <w:tab/>
        </w:r>
        <w:r w:rsidR="003A7891">
          <w:rPr>
            <w:webHidden/>
          </w:rPr>
          <w:fldChar w:fldCharType="begin"/>
        </w:r>
        <w:r w:rsidR="003A7891">
          <w:rPr>
            <w:webHidden/>
          </w:rPr>
          <w:instrText xml:space="preserve"> PAGEREF _Toc41905684 \h </w:instrText>
        </w:r>
        <w:r w:rsidR="003A7891">
          <w:rPr>
            <w:webHidden/>
          </w:rPr>
        </w:r>
        <w:r w:rsidR="003A7891">
          <w:rPr>
            <w:webHidden/>
          </w:rPr>
          <w:fldChar w:fldCharType="separate"/>
        </w:r>
        <w:r w:rsidR="003A7891">
          <w:rPr>
            <w:webHidden/>
          </w:rPr>
          <w:t>40</w:t>
        </w:r>
        <w:r w:rsidR="003A7891">
          <w:rPr>
            <w:webHidden/>
          </w:rPr>
          <w:fldChar w:fldCharType="end"/>
        </w:r>
      </w:hyperlink>
    </w:p>
    <w:p w14:paraId="2566F19E" w14:textId="30782013" w:rsidR="003A7891" w:rsidRDefault="003C4809">
      <w:pPr>
        <w:pStyle w:val="TOC3"/>
        <w:rPr>
          <w:rFonts w:asciiTheme="minorHAnsi" w:eastAsiaTheme="minorEastAsia" w:hAnsiTheme="minorHAnsi" w:cstheme="minorBidi"/>
          <w:bCs w:val="0"/>
          <w:noProof/>
          <w:color w:val="auto"/>
          <w:spacing w:val="0"/>
          <w:sz w:val="22"/>
          <w:szCs w:val="22"/>
        </w:rPr>
      </w:pPr>
      <w:hyperlink w:anchor="_Toc41905685" w:history="1">
        <w:r w:rsidR="003A7891" w:rsidRPr="00E171BF">
          <w:rPr>
            <w:rStyle w:val="Hyperlink"/>
            <w:rFonts w:cs="Arial"/>
            <w:noProof/>
            <w14:scene3d>
              <w14:camera w14:prst="orthographicFront"/>
              <w14:lightRig w14:rig="threePt" w14:dir="t">
                <w14:rot w14:lat="0" w14:lon="0" w14:rev="0"/>
              </w14:lightRig>
            </w14:scene3d>
          </w:rPr>
          <w:t>5.3.1.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Using Ministry Component Values</w:t>
        </w:r>
        <w:r w:rsidR="003A7891">
          <w:rPr>
            <w:noProof/>
            <w:webHidden/>
          </w:rPr>
          <w:tab/>
        </w:r>
        <w:r w:rsidR="003A7891">
          <w:rPr>
            <w:noProof/>
            <w:webHidden/>
          </w:rPr>
          <w:fldChar w:fldCharType="begin"/>
        </w:r>
        <w:r w:rsidR="003A7891">
          <w:rPr>
            <w:noProof/>
            <w:webHidden/>
          </w:rPr>
          <w:instrText xml:space="preserve"> PAGEREF _Toc41905685 \h </w:instrText>
        </w:r>
        <w:r w:rsidR="003A7891">
          <w:rPr>
            <w:noProof/>
            <w:webHidden/>
          </w:rPr>
        </w:r>
        <w:r w:rsidR="003A7891">
          <w:rPr>
            <w:noProof/>
            <w:webHidden/>
          </w:rPr>
          <w:fldChar w:fldCharType="separate"/>
        </w:r>
        <w:r w:rsidR="003A7891">
          <w:rPr>
            <w:noProof/>
            <w:webHidden/>
          </w:rPr>
          <w:t>41</w:t>
        </w:r>
        <w:r w:rsidR="003A7891">
          <w:rPr>
            <w:noProof/>
            <w:webHidden/>
          </w:rPr>
          <w:fldChar w:fldCharType="end"/>
        </w:r>
      </w:hyperlink>
    </w:p>
    <w:p w14:paraId="794FF956" w14:textId="7AD89F52" w:rsidR="003A7891" w:rsidRDefault="003C4809">
      <w:pPr>
        <w:pStyle w:val="TOC3"/>
        <w:rPr>
          <w:rFonts w:asciiTheme="minorHAnsi" w:eastAsiaTheme="minorEastAsia" w:hAnsiTheme="minorHAnsi" w:cstheme="minorBidi"/>
          <w:bCs w:val="0"/>
          <w:noProof/>
          <w:color w:val="auto"/>
          <w:spacing w:val="0"/>
          <w:sz w:val="22"/>
          <w:szCs w:val="22"/>
        </w:rPr>
      </w:pPr>
      <w:hyperlink w:anchor="_Toc41905686" w:history="1">
        <w:r w:rsidR="003A7891" w:rsidRPr="00E171BF">
          <w:rPr>
            <w:rStyle w:val="Hyperlink"/>
            <w:rFonts w:cs="Arial"/>
            <w:noProof/>
            <w14:scene3d>
              <w14:camera w14:prst="orthographicFront"/>
              <w14:lightRig w14:rig="threePt" w14:dir="t">
                <w14:rot w14:lat="0" w14:lon="0" w14:rev="0"/>
              </w14:lightRig>
            </w14:scene3d>
          </w:rPr>
          <w:t>5.3.2.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COCs with No Site Condition Standards</w:t>
        </w:r>
        <w:r w:rsidR="003A7891">
          <w:rPr>
            <w:noProof/>
            <w:webHidden/>
          </w:rPr>
          <w:tab/>
        </w:r>
        <w:r w:rsidR="003A7891">
          <w:rPr>
            <w:noProof/>
            <w:webHidden/>
          </w:rPr>
          <w:fldChar w:fldCharType="begin"/>
        </w:r>
        <w:r w:rsidR="003A7891">
          <w:rPr>
            <w:noProof/>
            <w:webHidden/>
          </w:rPr>
          <w:instrText xml:space="preserve"> PAGEREF _Toc41905686 \h </w:instrText>
        </w:r>
        <w:r w:rsidR="003A7891">
          <w:rPr>
            <w:noProof/>
            <w:webHidden/>
          </w:rPr>
        </w:r>
        <w:r w:rsidR="003A7891">
          <w:rPr>
            <w:noProof/>
            <w:webHidden/>
          </w:rPr>
          <w:fldChar w:fldCharType="separate"/>
        </w:r>
        <w:r w:rsidR="003A7891">
          <w:rPr>
            <w:noProof/>
            <w:webHidden/>
          </w:rPr>
          <w:t>43</w:t>
        </w:r>
        <w:r w:rsidR="003A7891">
          <w:rPr>
            <w:noProof/>
            <w:webHidden/>
          </w:rPr>
          <w:fldChar w:fldCharType="end"/>
        </w:r>
      </w:hyperlink>
    </w:p>
    <w:p w14:paraId="0C1D4843" w14:textId="37E494A7" w:rsidR="003A7891" w:rsidRDefault="003C4809">
      <w:pPr>
        <w:pStyle w:val="TOC2"/>
        <w:rPr>
          <w:rFonts w:asciiTheme="minorHAnsi" w:eastAsiaTheme="minorEastAsia" w:hAnsiTheme="minorHAnsi" w:cstheme="minorBidi"/>
          <w:color w:val="auto"/>
          <w:spacing w:val="0"/>
          <w:sz w:val="22"/>
          <w:szCs w:val="22"/>
        </w:rPr>
      </w:pPr>
      <w:hyperlink w:anchor="_Toc41905687" w:history="1">
        <w:r w:rsidR="003A7891" w:rsidRPr="00E171BF">
          <w:rPr>
            <w:rStyle w:val="Hyperlink"/>
            <w:rFonts w:cs="Arial"/>
          </w:rPr>
          <w:t>5.4.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Contaminant Fate and Transport Modelling</w:t>
        </w:r>
        <w:r w:rsidR="003A7891">
          <w:rPr>
            <w:webHidden/>
          </w:rPr>
          <w:tab/>
        </w:r>
        <w:r w:rsidR="003A7891">
          <w:rPr>
            <w:webHidden/>
          </w:rPr>
          <w:fldChar w:fldCharType="begin"/>
        </w:r>
        <w:r w:rsidR="003A7891">
          <w:rPr>
            <w:webHidden/>
          </w:rPr>
          <w:instrText xml:space="preserve"> PAGEREF _Toc41905687 \h </w:instrText>
        </w:r>
        <w:r w:rsidR="003A7891">
          <w:rPr>
            <w:webHidden/>
          </w:rPr>
        </w:r>
        <w:r w:rsidR="003A7891">
          <w:rPr>
            <w:webHidden/>
          </w:rPr>
          <w:fldChar w:fldCharType="separate"/>
        </w:r>
        <w:r w:rsidR="003A7891">
          <w:rPr>
            <w:webHidden/>
          </w:rPr>
          <w:t>43</w:t>
        </w:r>
        <w:r w:rsidR="003A7891">
          <w:rPr>
            <w:webHidden/>
          </w:rPr>
          <w:fldChar w:fldCharType="end"/>
        </w:r>
      </w:hyperlink>
    </w:p>
    <w:p w14:paraId="5A69FB18" w14:textId="33004412" w:rsidR="003A7891" w:rsidRDefault="003C4809">
      <w:pPr>
        <w:pStyle w:val="TOC1"/>
        <w:rPr>
          <w:rFonts w:asciiTheme="minorHAnsi" w:eastAsiaTheme="minorEastAsia" w:hAnsiTheme="minorHAnsi" w:cstheme="minorBidi"/>
          <w:b w:val="0"/>
          <w:color w:val="auto"/>
          <w:spacing w:val="0"/>
          <w:sz w:val="22"/>
          <w:szCs w:val="22"/>
        </w:rPr>
      </w:pPr>
      <w:hyperlink w:anchor="_Toc41905688" w:history="1">
        <w:r w:rsidR="003A7891" w:rsidRPr="00E171BF">
          <w:rPr>
            <w:rStyle w:val="Hyperlink"/>
          </w:rPr>
          <w:t>Section 6.</w:t>
        </w:r>
        <w:r w:rsidR="003A7891">
          <w:rPr>
            <w:rFonts w:asciiTheme="minorHAnsi" w:eastAsiaTheme="minorEastAsia" w:hAnsiTheme="minorHAnsi" w:cstheme="minorBidi"/>
            <w:b w:val="0"/>
            <w:color w:val="auto"/>
            <w:spacing w:val="0"/>
            <w:sz w:val="22"/>
            <w:szCs w:val="22"/>
          </w:rPr>
          <w:tab/>
        </w:r>
        <w:r w:rsidR="003A7891" w:rsidRPr="00E171BF">
          <w:rPr>
            <w:rStyle w:val="Hyperlink"/>
          </w:rPr>
          <w:t>Human Health Risk Assessment</w:t>
        </w:r>
        <w:r w:rsidR="003A7891">
          <w:rPr>
            <w:webHidden/>
          </w:rPr>
          <w:tab/>
        </w:r>
        <w:r w:rsidR="003A7891">
          <w:rPr>
            <w:webHidden/>
          </w:rPr>
          <w:fldChar w:fldCharType="begin"/>
        </w:r>
        <w:r w:rsidR="003A7891">
          <w:rPr>
            <w:webHidden/>
          </w:rPr>
          <w:instrText xml:space="preserve"> PAGEREF _Toc41905688 \h </w:instrText>
        </w:r>
        <w:r w:rsidR="003A7891">
          <w:rPr>
            <w:webHidden/>
          </w:rPr>
        </w:r>
        <w:r w:rsidR="003A7891">
          <w:rPr>
            <w:webHidden/>
          </w:rPr>
          <w:fldChar w:fldCharType="separate"/>
        </w:r>
        <w:r w:rsidR="003A7891">
          <w:rPr>
            <w:webHidden/>
          </w:rPr>
          <w:t>45</w:t>
        </w:r>
        <w:r w:rsidR="003A7891">
          <w:rPr>
            <w:webHidden/>
          </w:rPr>
          <w:fldChar w:fldCharType="end"/>
        </w:r>
      </w:hyperlink>
    </w:p>
    <w:p w14:paraId="2ED2AFDF" w14:textId="10E4E524" w:rsidR="003A7891" w:rsidRDefault="003C4809">
      <w:pPr>
        <w:pStyle w:val="TOC2"/>
        <w:rPr>
          <w:rFonts w:asciiTheme="minorHAnsi" w:eastAsiaTheme="minorEastAsia" w:hAnsiTheme="minorHAnsi" w:cstheme="minorBidi"/>
          <w:color w:val="auto"/>
          <w:spacing w:val="0"/>
          <w:sz w:val="22"/>
          <w:szCs w:val="22"/>
        </w:rPr>
      </w:pPr>
      <w:hyperlink w:anchor="_Toc41905689" w:history="1">
        <w:r w:rsidR="003A7891" w:rsidRPr="00E171BF">
          <w:rPr>
            <w:rStyle w:val="Hyperlink"/>
            <w:rFonts w:cs="Arial"/>
          </w:rPr>
          <w:t>6.1.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Problem Formulation</w:t>
        </w:r>
        <w:r w:rsidR="003A7891">
          <w:rPr>
            <w:webHidden/>
          </w:rPr>
          <w:tab/>
        </w:r>
        <w:r w:rsidR="003A7891">
          <w:rPr>
            <w:webHidden/>
          </w:rPr>
          <w:fldChar w:fldCharType="begin"/>
        </w:r>
        <w:r w:rsidR="003A7891">
          <w:rPr>
            <w:webHidden/>
          </w:rPr>
          <w:instrText xml:space="preserve"> PAGEREF _Toc41905689 \h </w:instrText>
        </w:r>
        <w:r w:rsidR="003A7891">
          <w:rPr>
            <w:webHidden/>
          </w:rPr>
        </w:r>
        <w:r w:rsidR="003A7891">
          <w:rPr>
            <w:webHidden/>
          </w:rPr>
          <w:fldChar w:fldCharType="separate"/>
        </w:r>
        <w:r w:rsidR="003A7891">
          <w:rPr>
            <w:webHidden/>
          </w:rPr>
          <w:t>45</w:t>
        </w:r>
        <w:r w:rsidR="003A7891">
          <w:rPr>
            <w:webHidden/>
          </w:rPr>
          <w:fldChar w:fldCharType="end"/>
        </w:r>
      </w:hyperlink>
    </w:p>
    <w:p w14:paraId="63B1C3EB" w14:textId="68B9ADFD" w:rsidR="003A7891" w:rsidRDefault="003C4809">
      <w:pPr>
        <w:pStyle w:val="TOC3"/>
        <w:rPr>
          <w:rFonts w:asciiTheme="minorHAnsi" w:eastAsiaTheme="minorEastAsia" w:hAnsiTheme="minorHAnsi" w:cstheme="minorBidi"/>
          <w:bCs w:val="0"/>
          <w:noProof/>
          <w:color w:val="auto"/>
          <w:spacing w:val="0"/>
          <w:sz w:val="22"/>
          <w:szCs w:val="22"/>
        </w:rPr>
      </w:pPr>
      <w:hyperlink w:anchor="_Toc41905690" w:history="1">
        <w:r w:rsidR="003A7891" w:rsidRPr="00E171BF">
          <w:rPr>
            <w:rStyle w:val="Hyperlink"/>
            <w:rFonts w:cs="Arial"/>
            <w:noProof/>
            <w14:scene3d>
              <w14:camera w14:prst="orthographicFront"/>
              <w14:lightRig w14:rig="threePt" w14:dir="t">
                <w14:rot w14:lat="0" w14:lon="0" w14:rev="0"/>
              </w14:lightRig>
            </w14:scene3d>
          </w:rPr>
          <w:t>6.1.1.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Human Health Conceptual Site Model</w:t>
        </w:r>
        <w:r w:rsidR="003A7891">
          <w:rPr>
            <w:noProof/>
            <w:webHidden/>
          </w:rPr>
          <w:tab/>
        </w:r>
        <w:r w:rsidR="003A7891">
          <w:rPr>
            <w:noProof/>
            <w:webHidden/>
          </w:rPr>
          <w:fldChar w:fldCharType="begin"/>
        </w:r>
        <w:r w:rsidR="003A7891">
          <w:rPr>
            <w:noProof/>
            <w:webHidden/>
          </w:rPr>
          <w:instrText xml:space="preserve"> PAGEREF _Toc41905690 \h </w:instrText>
        </w:r>
        <w:r w:rsidR="003A7891">
          <w:rPr>
            <w:noProof/>
            <w:webHidden/>
          </w:rPr>
        </w:r>
        <w:r w:rsidR="003A7891">
          <w:rPr>
            <w:noProof/>
            <w:webHidden/>
          </w:rPr>
          <w:fldChar w:fldCharType="separate"/>
        </w:r>
        <w:r w:rsidR="003A7891">
          <w:rPr>
            <w:noProof/>
            <w:webHidden/>
          </w:rPr>
          <w:t>46</w:t>
        </w:r>
        <w:r w:rsidR="003A7891">
          <w:rPr>
            <w:noProof/>
            <w:webHidden/>
          </w:rPr>
          <w:fldChar w:fldCharType="end"/>
        </w:r>
      </w:hyperlink>
    </w:p>
    <w:p w14:paraId="35B5FA45" w14:textId="549DF16E" w:rsidR="003A7891" w:rsidRDefault="003C4809">
      <w:pPr>
        <w:pStyle w:val="TOC3"/>
        <w:rPr>
          <w:rFonts w:asciiTheme="minorHAnsi" w:eastAsiaTheme="minorEastAsia" w:hAnsiTheme="minorHAnsi" w:cstheme="minorBidi"/>
          <w:bCs w:val="0"/>
          <w:noProof/>
          <w:color w:val="auto"/>
          <w:spacing w:val="0"/>
          <w:sz w:val="22"/>
          <w:szCs w:val="22"/>
        </w:rPr>
      </w:pPr>
      <w:hyperlink w:anchor="_Toc41905691" w:history="1">
        <w:r w:rsidR="003A7891" w:rsidRPr="00E171BF">
          <w:rPr>
            <w:rStyle w:val="Hyperlink"/>
            <w:rFonts w:cs="Arial"/>
            <w:noProof/>
            <w14:scene3d>
              <w14:camera w14:prst="orthographicFront"/>
              <w14:lightRig w14:rig="threePt" w14:dir="t">
                <w14:rot w14:lat="0" w14:lon="0" w14:rev="0"/>
              </w14:lightRig>
            </w14:scene3d>
          </w:rPr>
          <w:t>6.1.2.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Risk Assessment Objectives</w:t>
        </w:r>
        <w:r w:rsidR="003A7891">
          <w:rPr>
            <w:noProof/>
            <w:webHidden/>
          </w:rPr>
          <w:tab/>
        </w:r>
        <w:r w:rsidR="003A7891">
          <w:rPr>
            <w:noProof/>
            <w:webHidden/>
          </w:rPr>
          <w:fldChar w:fldCharType="begin"/>
        </w:r>
        <w:r w:rsidR="003A7891">
          <w:rPr>
            <w:noProof/>
            <w:webHidden/>
          </w:rPr>
          <w:instrText xml:space="preserve"> PAGEREF _Toc41905691 \h </w:instrText>
        </w:r>
        <w:r w:rsidR="003A7891">
          <w:rPr>
            <w:noProof/>
            <w:webHidden/>
          </w:rPr>
        </w:r>
        <w:r w:rsidR="003A7891">
          <w:rPr>
            <w:noProof/>
            <w:webHidden/>
          </w:rPr>
          <w:fldChar w:fldCharType="separate"/>
        </w:r>
        <w:r w:rsidR="003A7891">
          <w:rPr>
            <w:noProof/>
            <w:webHidden/>
          </w:rPr>
          <w:t>47</w:t>
        </w:r>
        <w:r w:rsidR="003A7891">
          <w:rPr>
            <w:noProof/>
            <w:webHidden/>
          </w:rPr>
          <w:fldChar w:fldCharType="end"/>
        </w:r>
      </w:hyperlink>
    </w:p>
    <w:p w14:paraId="214EF220" w14:textId="0BDE88D9" w:rsidR="003A7891" w:rsidRDefault="003C4809">
      <w:pPr>
        <w:pStyle w:val="TOC3"/>
        <w:rPr>
          <w:rFonts w:asciiTheme="minorHAnsi" w:eastAsiaTheme="minorEastAsia" w:hAnsiTheme="minorHAnsi" w:cstheme="minorBidi"/>
          <w:bCs w:val="0"/>
          <w:noProof/>
          <w:color w:val="auto"/>
          <w:spacing w:val="0"/>
          <w:sz w:val="22"/>
          <w:szCs w:val="22"/>
        </w:rPr>
      </w:pPr>
      <w:hyperlink w:anchor="_Toc41905692" w:history="1">
        <w:r w:rsidR="003A7891" w:rsidRPr="00E171BF">
          <w:rPr>
            <w:rStyle w:val="Hyperlink"/>
            <w:rFonts w:cs="Arial"/>
            <w:noProof/>
            <w14:scene3d>
              <w14:camera w14:prst="orthographicFront"/>
              <w14:lightRig w14:rig="threePt" w14:dir="t">
                <w14:rot w14:lat="0" w14:lon="0" w14:rev="0"/>
              </w14:lightRig>
            </w14:scene3d>
          </w:rPr>
          <w:t>6.1.3.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Discussion of Data Quality</w:t>
        </w:r>
        <w:r w:rsidR="003A7891">
          <w:rPr>
            <w:noProof/>
            <w:webHidden/>
          </w:rPr>
          <w:tab/>
        </w:r>
        <w:r w:rsidR="003A7891">
          <w:rPr>
            <w:noProof/>
            <w:webHidden/>
          </w:rPr>
          <w:fldChar w:fldCharType="begin"/>
        </w:r>
        <w:r w:rsidR="003A7891">
          <w:rPr>
            <w:noProof/>
            <w:webHidden/>
          </w:rPr>
          <w:instrText xml:space="preserve"> PAGEREF _Toc41905692 \h </w:instrText>
        </w:r>
        <w:r w:rsidR="003A7891">
          <w:rPr>
            <w:noProof/>
            <w:webHidden/>
          </w:rPr>
        </w:r>
        <w:r w:rsidR="003A7891">
          <w:rPr>
            <w:noProof/>
            <w:webHidden/>
          </w:rPr>
          <w:fldChar w:fldCharType="separate"/>
        </w:r>
        <w:r w:rsidR="003A7891">
          <w:rPr>
            <w:noProof/>
            <w:webHidden/>
          </w:rPr>
          <w:t>48</w:t>
        </w:r>
        <w:r w:rsidR="003A7891">
          <w:rPr>
            <w:noProof/>
            <w:webHidden/>
          </w:rPr>
          <w:fldChar w:fldCharType="end"/>
        </w:r>
      </w:hyperlink>
    </w:p>
    <w:p w14:paraId="6CAB6CEB" w14:textId="43E6E8A4" w:rsidR="003A7891" w:rsidRDefault="003C4809">
      <w:pPr>
        <w:pStyle w:val="TOC2"/>
        <w:rPr>
          <w:rFonts w:asciiTheme="minorHAnsi" w:eastAsiaTheme="minorEastAsia" w:hAnsiTheme="minorHAnsi" w:cstheme="minorBidi"/>
          <w:color w:val="auto"/>
          <w:spacing w:val="0"/>
          <w:sz w:val="22"/>
          <w:szCs w:val="22"/>
        </w:rPr>
      </w:pPr>
      <w:hyperlink w:anchor="_Toc41905693" w:history="1">
        <w:r w:rsidR="003A7891" w:rsidRPr="00E171BF">
          <w:rPr>
            <w:rStyle w:val="Hyperlink"/>
            <w:rFonts w:cs="Arial"/>
          </w:rPr>
          <w:t>6.2.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Exposure Assessment</w:t>
        </w:r>
        <w:r w:rsidR="003A7891">
          <w:rPr>
            <w:webHidden/>
          </w:rPr>
          <w:tab/>
        </w:r>
        <w:r w:rsidR="003A7891">
          <w:rPr>
            <w:webHidden/>
          </w:rPr>
          <w:fldChar w:fldCharType="begin"/>
        </w:r>
        <w:r w:rsidR="003A7891">
          <w:rPr>
            <w:webHidden/>
          </w:rPr>
          <w:instrText xml:space="preserve"> PAGEREF _Toc41905693 \h </w:instrText>
        </w:r>
        <w:r w:rsidR="003A7891">
          <w:rPr>
            <w:webHidden/>
          </w:rPr>
        </w:r>
        <w:r w:rsidR="003A7891">
          <w:rPr>
            <w:webHidden/>
          </w:rPr>
          <w:fldChar w:fldCharType="separate"/>
        </w:r>
        <w:r w:rsidR="003A7891">
          <w:rPr>
            <w:webHidden/>
          </w:rPr>
          <w:t>48</w:t>
        </w:r>
        <w:r w:rsidR="003A7891">
          <w:rPr>
            <w:webHidden/>
          </w:rPr>
          <w:fldChar w:fldCharType="end"/>
        </w:r>
      </w:hyperlink>
    </w:p>
    <w:p w14:paraId="077E7586" w14:textId="51D897B8" w:rsidR="003A7891" w:rsidRDefault="003C4809">
      <w:pPr>
        <w:pStyle w:val="TOC3"/>
        <w:rPr>
          <w:rFonts w:asciiTheme="minorHAnsi" w:eastAsiaTheme="minorEastAsia" w:hAnsiTheme="minorHAnsi" w:cstheme="minorBidi"/>
          <w:bCs w:val="0"/>
          <w:noProof/>
          <w:color w:val="auto"/>
          <w:spacing w:val="0"/>
          <w:sz w:val="22"/>
          <w:szCs w:val="22"/>
        </w:rPr>
      </w:pPr>
      <w:hyperlink w:anchor="_Toc41905694" w:history="1">
        <w:r w:rsidR="003A7891" w:rsidRPr="00E171BF">
          <w:rPr>
            <w:rStyle w:val="Hyperlink"/>
            <w:rFonts w:cs="Arial"/>
            <w:noProof/>
            <w14:scene3d>
              <w14:camera w14:prst="orthographicFront"/>
              <w14:lightRig w14:rig="threePt" w14:dir="t">
                <w14:rot w14:lat="0" w14:lon="0" w14:rev="0"/>
              </w14:lightRig>
            </w14:scene3d>
          </w:rPr>
          <w:t>6.2.1.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Receptor Characteristics</w:t>
        </w:r>
        <w:r w:rsidR="003A7891">
          <w:rPr>
            <w:noProof/>
            <w:webHidden/>
          </w:rPr>
          <w:tab/>
        </w:r>
        <w:r w:rsidR="003A7891">
          <w:rPr>
            <w:noProof/>
            <w:webHidden/>
          </w:rPr>
          <w:fldChar w:fldCharType="begin"/>
        </w:r>
        <w:r w:rsidR="003A7891">
          <w:rPr>
            <w:noProof/>
            <w:webHidden/>
          </w:rPr>
          <w:instrText xml:space="preserve"> PAGEREF _Toc41905694 \h </w:instrText>
        </w:r>
        <w:r w:rsidR="003A7891">
          <w:rPr>
            <w:noProof/>
            <w:webHidden/>
          </w:rPr>
        </w:r>
        <w:r w:rsidR="003A7891">
          <w:rPr>
            <w:noProof/>
            <w:webHidden/>
          </w:rPr>
          <w:fldChar w:fldCharType="separate"/>
        </w:r>
        <w:r w:rsidR="003A7891">
          <w:rPr>
            <w:noProof/>
            <w:webHidden/>
          </w:rPr>
          <w:t>49</w:t>
        </w:r>
        <w:r w:rsidR="003A7891">
          <w:rPr>
            <w:noProof/>
            <w:webHidden/>
          </w:rPr>
          <w:fldChar w:fldCharType="end"/>
        </w:r>
      </w:hyperlink>
    </w:p>
    <w:p w14:paraId="196F5CCA" w14:textId="46168B7D" w:rsidR="003A7891" w:rsidRDefault="003C4809">
      <w:pPr>
        <w:pStyle w:val="TOC3"/>
        <w:rPr>
          <w:rFonts w:asciiTheme="minorHAnsi" w:eastAsiaTheme="minorEastAsia" w:hAnsiTheme="minorHAnsi" w:cstheme="minorBidi"/>
          <w:bCs w:val="0"/>
          <w:noProof/>
          <w:color w:val="auto"/>
          <w:spacing w:val="0"/>
          <w:sz w:val="22"/>
          <w:szCs w:val="22"/>
        </w:rPr>
      </w:pPr>
      <w:hyperlink w:anchor="_Toc41905695" w:history="1">
        <w:r w:rsidR="003A7891" w:rsidRPr="00E171BF">
          <w:rPr>
            <w:rStyle w:val="Hyperlink"/>
            <w:rFonts w:cs="Arial"/>
            <w:noProof/>
            <w14:scene3d>
              <w14:camera w14:prst="orthographicFront"/>
              <w14:lightRig w14:rig="threePt" w14:dir="t">
                <w14:rot w14:lat="0" w14:lon="0" w14:rev="0"/>
              </w14:lightRig>
            </w14:scene3d>
          </w:rPr>
          <w:t>6.2.2.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Pathway Analysis</w:t>
        </w:r>
        <w:r w:rsidR="003A7891">
          <w:rPr>
            <w:noProof/>
            <w:webHidden/>
          </w:rPr>
          <w:tab/>
        </w:r>
        <w:r w:rsidR="003A7891">
          <w:rPr>
            <w:noProof/>
            <w:webHidden/>
          </w:rPr>
          <w:fldChar w:fldCharType="begin"/>
        </w:r>
        <w:r w:rsidR="003A7891">
          <w:rPr>
            <w:noProof/>
            <w:webHidden/>
          </w:rPr>
          <w:instrText xml:space="preserve"> PAGEREF _Toc41905695 \h </w:instrText>
        </w:r>
        <w:r w:rsidR="003A7891">
          <w:rPr>
            <w:noProof/>
            <w:webHidden/>
          </w:rPr>
        </w:r>
        <w:r w:rsidR="003A7891">
          <w:rPr>
            <w:noProof/>
            <w:webHidden/>
          </w:rPr>
          <w:fldChar w:fldCharType="separate"/>
        </w:r>
        <w:r w:rsidR="003A7891">
          <w:rPr>
            <w:noProof/>
            <w:webHidden/>
          </w:rPr>
          <w:t>50</w:t>
        </w:r>
        <w:r w:rsidR="003A7891">
          <w:rPr>
            <w:noProof/>
            <w:webHidden/>
          </w:rPr>
          <w:fldChar w:fldCharType="end"/>
        </w:r>
      </w:hyperlink>
    </w:p>
    <w:p w14:paraId="60477351" w14:textId="65F6837E" w:rsidR="003A7891" w:rsidRDefault="003C4809">
      <w:pPr>
        <w:pStyle w:val="TOC3"/>
        <w:rPr>
          <w:rFonts w:asciiTheme="minorHAnsi" w:eastAsiaTheme="minorEastAsia" w:hAnsiTheme="minorHAnsi" w:cstheme="minorBidi"/>
          <w:bCs w:val="0"/>
          <w:noProof/>
          <w:color w:val="auto"/>
          <w:spacing w:val="0"/>
          <w:sz w:val="22"/>
          <w:szCs w:val="22"/>
        </w:rPr>
      </w:pPr>
      <w:hyperlink w:anchor="_Toc41905696" w:history="1">
        <w:r w:rsidR="003A7891" w:rsidRPr="00E171BF">
          <w:rPr>
            <w:rStyle w:val="Hyperlink"/>
            <w:rFonts w:cs="Arial"/>
            <w:noProof/>
            <w14:scene3d>
              <w14:camera w14:prst="orthographicFront"/>
              <w14:lightRig w14:rig="threePt" w14:dir="t">
                <w14:rot w14:lat="0" w14:lon="0" w14:rev="0"/>
              </w14:lightRig>
            </w14:scene3d>
          </w:rPr>
          <w:t>6.2.3.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Exposure Estimates</w:t>
        </w:r>
        <w:r w:rsidR="003A7891">
          <w:rPr>
            <w:noProof/>
            <w:webHidden/>
          </w:rPr>
          <w:tab/>
        </w:r>
        <w:r w:rsidR="003A7891">
          <w:rPr>
            <w:noProof/>
            <w:webHidden/>
          </w:rPr>
          <w:fldChar w:fldCharType="begin"/>
        </w:r>
        <w:r w:rsidR="003A7891">
          <w:rPr>
            <w:noProof/>
            <w:webHidden/>
          </w:rPr>
          <w:instrText xml:space="preserve"> PAGEREF _Toc41905696 \h </w:instrText>
        </w:r>
        <w:r w:rsidR="003A7891">
          <w:rPr>
            <w:noProof/>
            <w:webHidden/>
          </w:rPr>
        </w:r>
        <w:r w:rsidR="003A7891">
          <w:rPr>
            <w:noProof/>
            <w:webHidden/>
          </w:rPr>
          <w:fldChar w:fldCharType="separate"/>
        </w:r>
        <w:r w:rsidR="003A7891">
          <w:rPr>
            <w:noProof/>
            <w:webHidden/>
          </w:rPr>
          <w:t>52</w:t>
        </w:r>
        <w:r w:rsidR="003A7891">
          <w:rPr>
            <w:noProof/>
            <w:webHidden/>
          </w:rPr>
          <w:fldChar w:fldCharType="end"/>
        </w:r>
      </w:hyperlink>
    </w:p>
    <w:p w14:paraId="301FE4A3" w14:textId="68DA9CEF" w:rsidR="003A7891" w:rsidRDefault="003C4809">
      <w:pPr>
        <w:pStyle w:val="TOC3"/>
        <w:rPr>
          <w:rFonts w:asciiTheme="minorHAnsi" w:eastAsiaTheme="minorEastAsia" w:hAnsiTheme="minorHAnsi" w:cstheme="minorBidi"/>
          <w:bCs w:val="0"/>
          <w:noProof/>
          <w:color w:val="auto"/>
          <w:spacing w:val="0"/>
          <w:sz w:val="22"/>
          <w:szCs w:val="22"/>
        </w:rPr>
      </w:pPr>
      <w:hyperlink w:anchor="_Toc41905697" w:history="1">
        <w:r w:rsidR="003A7891" w:rsidRPr="00E171BF">
          <w:rPr>
            <w:rStyle w:val="Hyperlink"/>
            <w:rFonts w:cs="Arial"/>
            <w:noProof/>
            <w14:scene3d>
              <w14:camera w14:prst="orthographicFront"/>
              <w14:lightRig w14:rig="threePt" w14:dir="t">
                <w14:rot w14:lat="0" w14:lon="0" w14:rev="0"/>
              </w14:lightRig>
            </w14:scene3d>
          </w:rPr>
          <w:t>6.2.4.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Site-Specific Deviations from Generic Exposure Parameters</w:t>
        </w:r>
        <w:r w:rsidR="003A7891">
          <w:rPr>
            <w:noProof/>
            <w:webHidden/>
          </w:rPr>
          <w:tab/>
        </w:r>
        <w:r w:rsidR="003A7891">
          <w:rPr>
            <w:noProof/>
            <w:webHidden/>
          </w:rPr>
          <w:fldChar w:fldCharType="begin"/>
        </w:r>
        <w:r w:rsidR="003A7891">
          <w:rPr>
            <w:noProof/>
            <w:webHidden/>
          </w:rPr>
          <w:instrText xml:space="preserve"> PAGEREF _Toc41905697 \h </w:instrText>
        </w:r>
        <w:r w:rsidR="003A7891">
          <w:rPr>
            <w:noProof/>
            <w:webHidden/>
          </w:rPr>
        </w:r>
        <w:r w:rsidR="003A7891">
          <w:rPr>
            <w:noProof/>
            <w:webHidden/>
          </w:rPr>
          <w:fldChar w:fldCharType="separate"/>
        </w:r>
        <w:r w:rsidR="003A7891">
          <w:rPr>
            <w:noProof/>
            <w:webHidden/>
          </w:rPr>
          <w:t>54</w:t>
        </w:r>
        <w:r w:rsidR="003A7891">
          <w:rPr>
            <w:noProof/>
            <w:webHidden/>
          </w:rPr>
          <w:fldChar w:fldCharType="end"/>
        </w:r>
      </w:hyperlink>
    </w:p>
    <w:p w14:paraId="5292FE81" w14:textId="16904A99" w:rsidR="003A7891" w:rsidRDefault="003C4809">
      <w:pPr>
        <w:pStyle w:val="TOC3"/>
        <w:rPr>
          <w:rFonts w:asciiTheme="minorHAnsi" w:eastAsiaTheme="minorEastAsia" w:hAnsiTheme="minorHAnsi" w:cstheme="minorBidi"/>
          <w:bCs w:val="0"/>
          <w:noProof/>
          <w:color w:val="auto"/>
          <w:spacing w:val="0"/>
          <w:sz w:val="22"/>
          <w:szCs w:val="22"/>
        </w:rPr>
      </w:pPr>
      <w:hyperlink w:anchor="_Toc41905698" w:history="1">
        <w:r w:rsidR="003A7891" w:rsidRPr="00E171BF">
          <w:rPr>
            <w:rStyle w:val="Hyperlink"/>
            <w:rFonts w:cs="Arial"/>
            <w:noProof/>
            <w14:scene3d>
              <w14:camera w14:prst="orthographicFront"/>
              <w14:lightRig w14:rig="threePt" w14:dir="t">
                <w14:rot w14:lat="0" w14:lon="0" w14:rev="0"/>
              </w14:lightRig>
            </w14:scene3d>
          </w:rPr>
          <w:t>6.2.5.</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Selecting Exposure Point Concentrations for Soil and Groundwater</w:t>
        </w:r>
        <w:r w:rsidR="003A7891">
          <w:rPr>
            <w:noProof/>
            <w:webHidden/>
          </w:rPr>
          <w:tab/>
        </w:r>
        <w:r w:rsidR="003A7891">
          <w:rPr>
            <w:noProof/>
            <w:webHidden/>
          </w:rPr>
          <w:fldChar w:fldCharType="begin"/>
        </w:r>
        <w:r w:rsidR="003A7891">
          <w:rPr>
            <w:noProof/>
            <w:webHidden/>
          </w:rPr>
          <w:instrText xml:space="preserve"> PAGEREF _Toc41905698 \h </w:instrText>
        </w:r>
        <w:r w:rsidR="003A7891">
          <w:rPr>
            <w:noProof/>
            <w:webHidden/>
          </w:rPr>
        </w:r>
        <w:r w:rsidR="003A7891">
          <w:rPr>
            <w:noProof/>
            <w:webHidden/>
          </w:rPr>
          <w:fldChar w:fldCharType="separate"/>
        </w:r>
        <w:r w:rsidR="003A7891">
          <w:rPr>
            <w:noProof/>
            <w:webHidden/>
          </w:rPr>
          <w:t>55</w:t>
        </w:r>
        <w:r w:rsidR="003A7891">
          <w:rPr>
            <w:noProof/>
            <w:webHidden/>
          </w:rPr>
          <w:fldChar w:fldCharType="end"/>
        </w:r>
      </w:hyperlink>
    </w:p>
    <w:p w14:paraId="6C3A8B07" w14:textId="3F91CCD9" w:rsidR="003A7891" w:rsidRDefault="003C4809">
      <w:pPr>
        <w:pStyle w:val="TOC2"/>
        <w:rPr>
          <w:rFonts w:asciiTheme="minorHAnsi" w:eastAsiaTheme="minorEastAsia" w:hAnsiTheme="minorHAnsi" w:cstheme="minorBidi"/>
          <w:color w:val="auto"/>
          <w:spacing w:val="0"/>
          <w:sz w:val="22"/>
          <w:szCs w:val="22"/>
        </w:rPr>
      </w:pPr>
      <w:hyperlink w:anchor="_Toc41905699" w:history="1">
        <w:r w:rsidR="003A7891" w:rsidRPr="00E171BF">
          <w:rPr>
            <w:rStyle w:val="Hyperlink"/>
            <w:rFonts w:cs="Arial"/>
          </w:rPr>
          <w:t>6.3.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Toxicity Assessment</w:t>
        </w:r>
        <w:r w:rsidR="003A7891">
          <w:rPr>
            <w:webHidden/>
          </w:rPr>
          <w:tab/>
        </w:r>
        <w:r w:rsidR="003A7891">
          <w:rPr>
            <w:webHidden/>
          </w:rPr>
          <w:fldChar w:fldCharType="begin"/>
        </w:r>
        <w:r w:rsidR="003A7891">
          <w:rPr>
            <w:webHidden/>
          </w:rPr>
          <w:instrText xml:space="preserve"> PAGEREF _Toc41905699 \h </w:instrText>
        </w:r>
        <w:r w:rsidR="003A7891">
          <w:rPr>
            <w:webHidden/>
          </w:rPr>
        </w:r>
        <w:r w:rsidR="003A7891">
          <w:rPr>
            <w:webHidden/>
          </w:rPr>
          <w:fldChar w:fldCharType="separate"/>
        </w:r>
        <w:r w:rsidR="003A7891">
          <w:rPr>
            <w:webHidden/>
          </w:rPr>
          <w:t>56</w:t>
        </w:r>
        <w:r w:rsidR="003A7891">
          <w:rPr>
            <w:webHidden/>
          </w:rPr>
          <w:fldChar w:fldCharType="end"/>
        </w:r>
      </w:hyperlink>
    </w:p>
    <w:p w14:paraId="1CF48887" w14:textId="0933029C" w:rsidR="003A7891" w:rsidRDefault="003C4809">
      <w:pPr>
        <w:pStyle w:val="TOC3"/>
        <w:rPr>
          <w:rFonts w:asciiTheme="minorHAnsi" w:eastAsiaTheme="minorEastAsia" w:hAnsiTheme="minorHAnsi" w:cstheme="minorBidi"/>
          <w:bCs w:val="0"/>
          <w:noProof/>
          <w:color w:val="auto"/>
          <w:spacing w:val="0"/>
          <w:sz w:val="22"/>
          <w:szCs w:val="22"/>
        </w:rPr>
      </w:pPr>
      <w:hyperlink w:anchor="_Toc41905700" w:history="1">
        <w:r w:rsidR="003A7891" w:rsidRPr="00E171BF">
          <w:rPr>
            <w:rStyle w:val="Hyperlink"/>
            <w:rFonts w:cs="Arial"/>
            <w:noProof/>
            <w:highlight w:val="white"/>
            <w14:scene3d>
              <w14:camera w14:prst="orthographicFront"/>
              <w14:lightRig w14:rig="threePt" w14:dir="t">
                <w14:rot w14:lat="0" w14:lon="0" w14:rev="0"/>
              </w14:lightRig>
            </w14:scene3d>
          </w:rPr>
          <w:t>6.3.1.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Hazard Assessment</w:t>
        </w:r>
        <w:r w:rsidR="003A7891">
          <w:rPr>
            <w:noProof/>
            <w:webHidden/>
          </w:rPr>
          <w:tab/>
        </w:r>
        <w:r w:rsidR="003A7891">
          <w:rPr>
            <w:noProof/>
            <w:webHidden/>
          </w:rPr>
          <w:fldChar w:fldCharType="begin"/>
        </w:r>
        <w:r w:rsidR="003A7891">
          <w:rPr>
            <w:noProof/>
            <w:webHidden/>
          </w:rPr>
          <w:instrText xml:space="preserve"> PAGEREF _Toc41905700 \h </w:instrText>
        </w:r>
        <w:r w:rsidR="003A7891">
          <w:rPr>
            <w:noProof/>
            <w:webHidden/>
          </w:rPr>
        </w:r>
        <w:r w:rsidR="003A7891">
          <w:rPr>
            <w:noProof/>
            <w:webHidden/>
          </w:rPr>
          <w:fldChar w:fldCharType="separate"/>
        </w:r>
        <w:r w:rsidR="003A7891">
          <w:rPr>
            <w:noProof/>
            <w:webHidden/>
          </w:rPr>
          <w:t>57</w:t>
        </w:r>
        <w:r w:rsidR="003A7891">
          <w:rPr>
            <w:noProof/>
            <w:webHidden/>
          </w:rPr>
          <w:fldChar w:fldCharType="end"/>
        </w:r>
      </w:hyperlink>
    </w:p>
    <w:p w14:paraId="6C26559E" w14:textId="120FB999" w:rsidR="003A7891" w:rsidRDefault="003C4809">
      <w:pPr>
        <w:pStyle w:val="TOC3"/>
        <w:rPr>
          <w:rFonts w:asciiTheme="minorHAnsi" w:eastAsiaTheme="minorEastAsia" w:hAnsiTheme="minorHAnsi" w:cstheme="minorBidi"/>
          <w:bCs w:val="0"/>
          <w:noProof/>
          <w:color w:val="auto"/>
          <w:spacing w:val="0"/>
          <w:sz w:val="22"/>
          <w:szCs w:val="22"/>
        </w:rPr>
      </w:pPr>
      <w:hyperlink w:anchor="_Toc41905701" w:history="1">
        <w:r w:rsidR="003A7891" w:rsidRPr="00E171BF">
          <w:rPr>
            <w:rStyle w:val="Hyperlink"/>
            <w:rFonts w:cs="Arial"/>
            <w:noProof/>
            <w14:scene3d>
              <w14:camera w14:prst="orthographicFront"/>
              <w14:lightRig w14:rig="threePt" w14:dir="t">
                <w14:rot w14:lat="0" w14:lon="0" w14:rev="0"/>
              </w14:lightRig>
            </w14:scene3d>
          </w:rPr>
          <w:t>6.3.2.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Dose-Response Assessment</w:t>
        </w:r>
        <w:r w:rsidR="003A7891">
          <w:rPr>
            <w:noProof/>
            <w:webHidden/>
          </w:rPr>
          <w:tab/>
        </w:r>
        <w:r w:rsidR="003A7891">
          <w:rPr>
            <w:noProof/>
            <w:webHidden/>
          </w:rPr>
          <w:fldChar w:fldCharType="begin"/>
        </w:r>
        <w:r w:rsidR="003A7891">
          <w:rPr>
            <w:noProof/>
            <w:webHidden/>
          </w:rPr>
          <w:instrText xml:space="preserve"> PAGEREF _Toc41905701 \h </w:instrText>
        </w:r>
        <w:r w:rsidR="003A7891">
          <w:rPr>
            <w:noProof/>
            <w:webHidden/>
          </w:rPr>
        </w:r>
        <w:r w:rsidR="003A7891">
          <w:rPr>
            <w:noProof/>
            <w:webHidden/>
          </w:rPr>
          <w:fldChar w:fldCharType="separate"/>
        </w:r>
        <w:r w:rsidR="003A7891">
          <w:rPr>
            <w:noProof/>
            <w:webHidden/>
          </w:rPr>
          <w:t>57</w:t>
        </w:r>
        <w:r w:rsidR="003A7891">
          <w:rPr>
            <w:noProof/>
            <w:webHidden/>
          </w:rPr>
          <w:fldChar w:fldCharType="end"/>
        </w:r>
      </w:hyperlink>
    </w:p>
    <w:p w14:paraId="15AF7F8B" w14:textId="212859DD" w:rsidR="003A7891" w:rsidRDefault="003C4809">
      <w:pPr>
        <w:pStyle w:val="TOC2"/>
        <w:rPr>
          <w:rFonts w:asciiTheme="minorHAnsi" w:eastAsiaTheme="minorEastAsia" w:hAnsiTheme="minorHAnsi" w:cstheme="minorBidi"/>
          <w:color w:val="auto"/>
          <w:spacing w:val="0"/>
          <w:sz w:val="22"/>
          <w:szCs w:val="22"/>
        </w:rPr>
      </w:pPr>
      <w:hyperlink w:anchor="_Toc41905702" w:history="1">
        <w:r w:rsidR="003A7891" w:rsidRPr="00E171BF">
          <w:rPr>
            <w:rStyle w:val="Hyperlink"/>
            <w:rFonts w:cs="Arial"/>
          </w:rPr>
          <w:t>6.4.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Risk Characterization</w:t>
        </w:r>
        <w:r w:rsidR="003A7891">
          <w:rPr>
            <w:webHidden/>
          </w:rPr>
          <w:tab/>
        </w:r>
        <w:r w:rsidR="003A7891">
          <w:rPr>
            <w:webHidden/>
          </w:rPr>
          <w:fldChar w:fldCharType="begin"/>
        </w:r>
        <w:r w:rsidR="003A7891">
          <w:rPr>
            <w:webHidden/>
          </w:rPr>
          <w:instrText xml:space="preserve"> PAGEREF _Toc41905702 \h </w:instrText>
        </w:r>
        <w:r w:rsidR="003A7891">
          <w:rPr>
            <w:webHidden/>
          </w:rPr>
        </w:r>
        <w:r w:rsidR="003A7891">
          <w:rPr>
            <w:webHidden/>
          </w:rPr>
          <w:fldChar w:fldCharType="separate"/>
        </w:r>
        <w:r w:rsidR="003A7891">
          <w:rPr>
            <w:webHidden/>
          </w:rPr>
          <w:t>59</w:t>
        </w:r>
        <w:r w:rsidR="003A7891">
          <w:rPr>
            <w:webHidden/>
          </w:rPr>
          <w:fldChar w:fldCharType="end"/>
        </w:r>
      </w:hyperlink>
    </w:p>
    <w:p w14:paraId="08BCB5C4" w14:textId="28018224" w:rsidR="003A7891" w:rsidRDefault="003C4809">
      <w:pPr>
        <w:pStyle w:val="TOC3"/>
        <w:rPr>
          <w:rFonts w:asciiTheme="minorHAnsi" w:eastAsiaTheme="minorEastAsia" w:hAnsiTheme="minorHAnsi" w:cstheme="minorBidi"/>
          <w:bCs w:val="0"/>
          <w:noProof/>
          <w:color w:val="auto"/>
          <w:spacing w:val="0"/>
          <w:sz w:val="22"/>
          <w:szCs w:val="22"/>
        </w:rPr>
      </w:pPr>
      <w:hyperlink w:anchor="_Toc41905703" w:history="1">
        <w:r w:rsidR="003A7891" w:rsidRPr="00E171BF">
          <w:rPr>
            <w:rStyle w:val="Hyperlink"/>
            <w:rFonts w:cs="Arial"/>
            <w:noProof/>
            <w14:scene3d>
              <w14:camera w14:prst="orthographicFront"/>
              <w14:lightRig w14:rig="threePt" w14:dir="t">
                <w14:rot w14:lat="0" w14:lon="0" w14:rev="0"/>
              </w14:lightRig>
            </w14:scene3d>
          </w:rPr>
          <w:t>6.4.1.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Quantitative Interpretation of Health Risks</w:t>
        </w:r>
        <w:r w:rsidR="003A7891">
          <w:rPr>
            <w:noProof/>
            <w:webHidden/>
          </w:rPr>
          <w:tab/>
        </w:r>
        <w:r w:rsidR="003A7891">
          <w:rPr>
            <w:noProof/>
            <w:webHidden/>
          </w:rPr>
          <w:fldChar w:fldCharType="begin"/>
        </w:r>
        <w:r w:rsidR="003A7891">
          <w:rPr>
            <w:noProof/>
            <w:webHidden/>
          </w:rPr>
          <w:instrText xml:space="preserve"> PAGEREF _Toc41905703 \h </w:instrText>
        </w:r>
        <w:r w:rsidR="003A7891">
          <w:rPr>
            <w:noProof/>
            <w:webHidden/>
          </w:rPr>
        </w:r>
        <w:r w:rsidR="003A7891">
          <w:rPr>
            <w:noProof/>
            <w:webHidden/>
          </w:rPr>
          <w:fldChar w:fldCharType="separate"/>
        </w:r>
        <w:r w:rsidR="003A7891">
          <w:rPr>
            <w:noProof/>
            <w:webHidden/>
          </w:rPr>
          <w:t>61</w:t>
        </w:r>
        <w:r w:rsidR="003A7891">
          <w:rPr>
            <w:noProof/>
            <w:webHidden/>
          </w:rPr>
          <w:fldChar w:fldCharType="end"/>
        </w:r>
      </w:hyperlink>
    </w:p>
    <w:p w14:paraId="4A95D181" w14:textId="16ABD85C" w:rsidR="003A7891" w:rsidRDefault="003C4809">
      <w:pPr>
        <w:pStyle w:val="TOC3"/>
        <w:rPr>
          <w:rFonts w:asciiTheme="minorHAnsi" w:eastAsiaTheme="minorEastAsia" w:hAnsiTheme="minorHAnsi" w:cstheme="minorBidi"/>
          <w:bCs w:val="0"/>
          <w:noProof/>
          <w:color w:val="auto"/>
          <w:spacing w:val="0"/>
          <w:sz w:val="22"/>
          <w:szCs w:val="22"/>
        </w:rPr>
      </w:pPr>
      <w:hyperlink w:anchor="_Toc41905704" w:history="1">
        <w:r w:rsidR="003A7891" w:rsidRPr="00E171BF">
          <w:rPr>
            <w:rStyle w:val="Hyperlink"/>
            <w:rFonts w:cs="Arial"/>
            <w:noProof/>
            <w14:scene3d>
              <w14:camera w14:prst="orthographicFront"/>
              <w14:lightRig w14:rig="threePt" w14:dir="t">
                <w14:rot w14:lat="0" w14:lon="0" w14:rev="0"/>
              </w14:lightRig>
            </w14:scene3d>
          </w:rPr>
          <w:t>6.4.2.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Qualitative Interpretation of Health Risk</w:t>
        </w:r>
        <w:r w:rsidR="003A7891">
          <w:rPr>
            <w:noProof/>
            <w:webHidden/>
          </w:rPr>
          <w:tab/>
        </w:r>
        <w:r w:rsidR="003A7891">
          <w:rPr>
            <w:noProof/>
            <w:webHidden/>
          </w:rPr>
          <w:fldChar w:fldCharType="begin"/>
        </w:r>
        <w:r w:rsidR="003A7891">
          <w:rPr>
            <w:noProof/>
            <w:webHidden/>
          </w:rPr>
          <w:instrText xml:space="preserve"> PAGEREF _Toc41905704 \h </w:instrText>
        </w:r>
        <w:r w:rsidR="003A7891">
          <w:rPr>
            <w:noProof/>
            <w:webHidden/>
          </w:rPr>
        </w:r>
        <w:r w:rsidR="003A7891">
          <w:rPr>
            <w:noProof/>
            <w:webHidden/>
          </w:rPr>
          <w:fldChar w:fldCharType="separate"/>
        </w:r>
        <w:r w:rsidR="003A7891">
          <w:rPr>
            <w:noProof/>
            <w:webHidden/>
          </w:rPr>
          <w:t>66</w:t>
        </w:r>
        <w:r w:rsidR="003A7891">
          <w:rPr>
            <w:noProof/>
            <w:webHidden/>
          </w:rPr>
          <w:fldChar w:fldCharType="end"/>
        </w:r>
      </w:hyperlink>
    </w:p>
    <w:p w14:paraId="70932FA1" w14:textId="07CA31AC" w:rsidR="003A7891" w:rsidRDefault="003C4809">
      <w:pPr>
        <w:pStyle w:val="TOC3"/>
        <w:rPr>
          <w:rFonts w:asciiTheme="minorHAnsi" w:eastAsiaTheme="minorEastAsia" w:hAnsiTheme="minorHAnsi" w:cstheme="minorBidi"/>
          <w:bCs w:val="0"/>
          <w:noProof/>
          <w:color w:val="auto"/>
          <w:spacing w:val="0"/>
          <w:sz w:val="22"/>
          <w:szCs w:val="22"/>
        </w:rPr>
      </w:pPr>
      <w:hyperlink w:anchor="_Toc41905705" w:history="1">
        <w:r w:rsidR="003A7891" w:rsidRPr="00E171BF">
          <w:rPr>
            <w:rStyle w:val="Hyperlink"/>
            <w:rFonts w:cs="Arial"/>
            <w:noProof/>
            <w14:scene3d>
              <w14:camera w14:prst="orthographicFront"/>
              <w14:lightRig w14:rig="threePt" w14:dir="t">
                <w14:rot w14:lat="0" w14:lon="0" w14:rev="0"/>
              </w14:lightRig>
            </w14:scene3d>
          </w:rPr>
          <w:t>6.4.3.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Special Considerations</w:t>
        </w:r>
        <w:r w:rsidR="003A7891">
          <w:rPr>
            <w:noProof/>
            <w:webHidden/>
          </w:rPr>
          <w:tab/>
        </w:r>
        <w:r w:rsidR="003A7891">
          <w:rPr>
            <w:noProof/>
            <w:webHidden/>
          </w:rPr>
          <w:fldChar w:fldCharType="begin"/>
        </w:r>
        <w:r w:rsidR="003A7891">
          <w:rPr>
            <w:noProof/>
            <w:webHidden/>
          </w:rPr>
          <w:instrText xml:space="preserve"> PAGEREF _Toc41905705 \h </w:instrText>
        </w:r>
        <w:r w:rsidR="003A7891">
          <w:rPr>
            <w:noProof/>
            <w:webHidden/>
          </w:rPr>
        </w:r>
        <w:r w:rsidR="003A7891">
          <w:rPr>
            <w:noProof/>
            <w:webHidden/>
          </w:rPr>
          <w:fldChar w:fldCharType="separate"/>
        </w:r>
        <w:r w:rsidR="003A7891">
          <w:rPr>
            <w:noProof/>
            <w:webHidden/>
          </w:rPr>
          <w:t>67</w:t>
        </w:r>
        <w:r w:rsidR="003A7891">
          <w:rPr>
            <w:noProof/>
            <w:webHidden/>
          </w:rPr>
          <w:fldChar w:fldCharType="end"/>
        </w:r>
      </w:hyperlink>
    </w:p>
    <w:p w14:paraId="599737A9" w14:textId="32B07CFC" w:rsidR="003A7891" w:rsidRDefault="003C4809">
      <w:pPr>
        <w:pStyle w:val="TOC3"/>
        <w:rPr>
          <w:rFonts w:asciiTheme="minorHAnsi" w:eastAsiaTheme="minorEastAsia" w:hAnsiTheme="minorHAnsi" w:cstheme="minorBidi"/>
          <w:bCs w:val="0"/>
          <w:noProof/>
          <w:color w:val="auto"/>
          <w:spacing w:val="0"/>
          <w:sz w:val="22"/>
          <w:szCs w:val="22"/>
        </w:rPr>
      </w:pPr>
      <w:hyperlink w:anchor="_Toc41905706" w:history="1">
        <w:r w:rsidR="003A7891" w:rsidRPr="00E171BF">
          <w:rPr>
            <w:rStyle w:val="Hyperlink"/>
            <w:rFonts w:cs="Arial"/>
            <w:noProof/>
            <w14:scene3d>
              <w14:camera w14:prst="orthographicFront"/>
              <w14:lightRig w14:rig="threePt" w14:dir="t">
                <w14:rot w14:lat="0" w14:lon="0" w14:rev="0"/>
              </w14:lightRig>
            </w14:scene3d>
          </w:rPr>
          <w:t>6.4.4.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Interpretation of Off-Site Health Risks</w:t>
        </w:r>
        <w:r w:rsidR="003A7891">
          <w:rPr>
            <w:noProof/>
            <w:webHidden/>
          </w:rPr>
          <w:tab/>
        </w:r>
        <w:r w:rsidR="003A7891">
          <w:rPr>
            <w:noProof/>
            <w:webHidden/>
          </w:rPr>
          <w:fldChar w:fldCharType="begin"/>
        </w:r>
        <w:r w:rsidR="003A7891">
          <w:rPr>
            <w:noProof/>
            <w:webHidden/>
          </w:rPr>
          <w:instrText xml:space="preserve"> PAGEREF _Toc41905706 \h </w:instrText>
        </w:r>
        <w:r w:rsidR="003A7891">
          <w:rPr>
            <w:noProof/>
            <w:webHidden/>
          </w:rPr>
        </w:r>
        <w:r w:rsidR="003A7891">
          <w:rPr>
            <w:noProof/>
            <w:webHidden/>
          </w:rPr>
          <w:fldChar w:fldCharType="separate"/>
        </w:r>
        <w:r w:rsidR="003A7891">
          <w:rPr>
            <w:noProof/>
            <w:webHidden/>
          </w:rPr>
          <w:t>67</w:t>
        </w:r>
        <w:r w:rsidR="003A7891">
          <w:rPr>
            <w:noProof/>
            <w:webHidden/>
          </w:rPr>
          <w:fldChar w:fldCharType="end"/>
        </w:r>
      </w:hyperlink>
    </w:p>
    <w:p w14:paraId="193F381F" w14:textId="2B8ADEB3" w:rsidR="003A7891" w:rsidRDefault="003C4809">
      <w:pPr>
        <w:pStyle w:val="TOC3"/>
        <w:rPr>
          <w:rFonts w:asciiTheme="minorHAnsi" w:eastAsiaTheme="minorEastAsia" w:hAnsiTheme="minorHAnsi" w:cstheme="minorBidi"/>
          <w:bCs w:val="0"/>
          <w:noProof/>
          <w:color w:val="auto"/>
          <w:spacing w:val="0"/>
          <w:sz w:val="22"/>
          <w:szCs w:val="22"/>
        </w:rPr>
      </w:pPr>
      <w:hyperlink w:anchor="_Toc41905707" w:history="1">
        <w:r w:rsidR="003A7891" w:rsidRPr="00E171BF">
          <w:rPr>
            <w:rStyle w:val="Hyperlink"/>
            <w:rFonts w:cs="Arial"/>
            <w:noProof/>
            <w14:scene3d>
              <w14:camera w14:prst="orthographicFront"/>
              <w14:lightRig w14:rig="threePt" w14:dir="t">
                <w14:rot w14:lat="0" w14:lon="0" w14:rev="0"/>
              </w14:lightRig>
            </w14:scene3d>
          </w:rPr>
          <w:t>6.4.5.</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Discussion of Uncertainty</w:t>
        </w:r>
        <w:r w:rsidR="003A7891">
          <w:rPr>
            <w:noProof/>
            <w:webHidden/>
          </w:rPr>
          <w:tab/>
        </w:r>
        <w:r w:rsidR="003A7891">
          <w:rPr>
            <w:noProof/>
            <w:webHidden/>
          </w:rPr>
          <w:fldChar w:fldCharType="begin"/>
        </w:r>
        <w:r w:rsidR="003A7891">
          <w:rPr>
            <w:noProof/>
            <w:webHidden/>
          </w:rPr>
          <w:instrText xml:space="preserve"> PAGEREF _Toc41905707 \h </w:instrText>
        </w:r>
        <w:r w:rsidR="003A7891">
          <w:rPr>
            <w:noProof/>
            <w:webHidden/>
          </w:rPr>
        </w:r>
        <w:r w:rsidR="003A7891">
          <w:rPr>
            <w:noProof/>
            <w:webHidden/>
          </w:rPr>
          <w:fldChar w:fldCharType="separate"/>
        </w:r>
        <w:r w:rsidR="003A7891">
          <w:rPr>
            <w:noProof/>
            <w:webHidden/>
          </w:rPr>
          <w:t>68</w:t>
        </w:r>
        <w:r w:rsidR="003A7891">
          <w:rPr>
            <w:noProof/>
            <w:webHidden/>
          </w:rPr>
          <w:fldChar w:fldCharType="end"/>
        </w:r>
      </w:hyperlink>
    </w:p>
    <w:p w14:paraId="2958BC0E" w14:textId="39A6D0E1" w:rsidR="003A7891" w:rsidRDefault="003C4809">
      <w:pPr>
        <w:pStyle w:val="TOC1"/>
        <w:rPr>
          <w:rFonts w:asciiTheme="minorHAnsi" w:eastAsiaTheme="minorEastAsia" w:hAnsiTheme="minorHAnsi" w:cstheme="minorBidi"/>
          <w:b w:val="0"/>
          <w:color w:val="auto"/>
          <w:spacing w:val="0"/>
          <w:sz w:val="22"/>
          <w:szCs w:val="22"/>
        </w:rPr>
      </w:pPr>
      <w:hyperlink w:anchor="_Toc41905708" w:history="1">
        <w:r w:rsidR="003A7891" w:rsidRPr="00E171BF">
          <w:rPr>
            <w:rStyle w:val="Hyperlink"/>
          </w:rPr>
          <w:t>Section 7.</w:t>
        </w:r>
        <w:r w:rsidR="003A7891">
          <w:rPr>
            <w:rFonts w:asciiTheme="minorHAnsi" w:eastAsiaTheme="minorEastAsia" w:hAnsiTheme="minorHAnsi" w:cstheme="minorBidi"/>
            <w:b w:val="0"/>
            <w:color w:val="auto"/>
            <w:spacing w:val="0"/>
            <w:sz w:val="22"/>
            <w:szCs w:val="22"/>
          </w:rPr>
          <w:tab/>
        </w:r>
        <w:r w:rsidR="003A7891" w:rsidRPr="00E171BF">
          <w:rPr>
            <w:rStyle w:val="Hyperlink"/>
          </w:rPr>
          <w:t>Ecological Risk Assessment</w:t>
        </w:r>
        <w:r w:rsidR="003A7891">
          <w:rPr>
            <w:webHidden/>
          </w:rPr>
          <w:tab/>
        </w:r>
        <w:r w:rsidR="003A7891">
          <w:rPr>
            <w:webHidden/>
          </w:rPr>
          <w:fldChar w:fldCharType="begin"/>
        </w:r>
        <w:r w:rsidR="003A7891">
          <w:rPr>
            <w:webHidden/>
          </w:rPr>
          <w:instrText xml:space="preserve"> PAGEREF _Toc41905708 \h </w:instrText>
        </w:r>
        <w:r w:rsidR="003A7891">
          <w:rPr>
            <w:webHidden/>
          </w:rPr>
        </w:r>
        <w:r w:rsidR="003A7891">
          <w:rPr>
            <w:webHidden/>
          </w:rPr>
          <w:fldChar w:fldCharType="separate"/>
        </w:r>
        <w:r w:rsidR="003A7891">
          <w:rPr>
            <w:webHidden/>
          </w:rPr>
          <w:t>70</w:t>
        </w:r>
        <w:r w:rsidR="003A7891">
          <w:rPr>
            <w:webHidden/>
          </w:rPr>
          <w:fldChar w:fldCharType="end"/>
        </w:r>
      </w:hyperlink>
    </w:p>
    <w:p w14:paraId="4C3320CE" w14:textId="69153C5C" w:rsidR="003A7891" w:rsidRDefault="003C4809">
      <w:pPr>
        <w:pStyle w:val="TOC2"/>
        <w:rPr>
          <w:rFonts w:asciiTheme="minorHAnsi" w:eastAsiaTheme="minorEastAsia" w:hAnsiTheme="minorHAnsi" w:cstheme="minorBidi"/>
          <w:color w:val="auto"/>
          <w:spacing w:val="0"/>
          <w:sz w:val="22"/>
          <w:szCs w:val="22"/>
        </w:rPr>
      </w:pPr>
      <w:hyperlink w:anchor="_Toc41905709" w:history="1">
        <w:r w:rsidR="003A7891" w:rsidRPr="00E171BF">
          <w:rPr>
            <w:rStyle w:val="Hyperlink"/>
            <w:rFonts w:cs="Arial"/>
          </w:rPr>
          <w:t>7.1.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Levels of Assessment</w:t>
        </w:r>
        <w:r w:rsidR="003A7891">
          <w:rPr>
            <w:webHidden/>
          </w:rPr>
          <w:tab/>
        </w:r>
        <w:r w:rsidR="003A7891">
          <w:rPr>
            <w:webHidden/>
          </w:rPr>
          <w:fldChar w:fldCharType="begin"/>
        </w:r>
        <w:r w:rsidR="003A7891">
          <w:rPr>
            <w:webHidden/>
          </w:rPr>
          <w:instrText xml:space="preserve"> PAGEREF _Toc41905709 \h </w:instrText>
        </w:r>
        <w:r w:rsidR="003A7891">
          <w:rPr>
            <w:webHidden/>
          </w:rPr>
        </w:r>
        <w:r w:rsidR="003A7891">
          <w:rPr>
            <w:webHidden/>
          </w:rPr>
          <w:fldChar w:fldCharType="separate"/>
        </w:r>
        <w:r w:rsidR="003A7891">
          <w:rPr>
            <w:webHidden/>
          </w:rPr>
          <w:t>70</w:t>
        </w:r>
        <w:r w:rsidR="003A7891">
          <w:rPr>
            <w:webHidden/>
          </w:rPr>
          <w:fldChar w:fldCharType="end"/>
        </w:r>
      </w:hyperlink>
    </w:p>
    <w:p w14:paraId="607E4FC2" w14:textId="66C81716" w:rsidR="003A7891" w:rsidRDefault="003C4809">
      <w:pPr>
        <w:pStyle w:val="TOC2"/>
        <w:rPr>
          <w:rFonts w:asciiTheme="minorHAnsi" w:eastAsiaTheme="minorEastAsia" w:hAnsiTheme="minorHAnsi" w:cstheme="minorBidi"/>
          <w:color w:val="auto"/>
          <w:spacing w:val="0"/>
          <w:sz w:val="22"/>
          <w:szCs w:val="22"/>
        </w:rPr>
      </w:pPr>
      <w:hyperlink w:anchor="_Toc41905710" w:history="1">
        <w:r w:rsidR="003A7891" w:rsidRPr="00E171BF">
          <w:rPr>
            <w:rStyle w:val="Hyperlink"/>
            <w:rFonts w:cs="Arial"/>
          </w:rPr>
          <w:t>7.2.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Problem Formulation</w:t>
        </w:r>
        <w:r w:rsidR="003A7891">
          <w:rPr>
            <w:webHidden/>
          </w:rPr>
          <w:tab/>
        </w:r>
        <w:r w:rsidR="003A7891">
          <w:rPr>
            <w:webHidden/>
          </w:rPr>
          <w:fldChar w:fldCharType="begin"/>
        </w:r>
        <w:r w:rsidR="003A7891">
          <w:rPr>
            <w:webHidden/>
          </w:rPr>
          <w:instrText xml:space="preserve"> PAGEREF _Toc41905710 \h </w:instrText>
        </w:r>
        <w:r w:rsidR="003A7891">
          <w:rPr>
            <w:webHidden/>
          </w:rPr>
        </w:r>
        <w:r w:rsidR="003A7891">
          <w:rPr>
            <w:webHidden/>
          </w:rPr>
          <w:fldChar w:fldCharType="separate"/>
        </w:r>
        <w:r w:rsidR="003A7891">
          <w:rPr>
            <w:webHidden/>
          </w:rPr>
          <w:t>71</w:t>
        </w:r>
        <w:r w:rsidR="003A7891">
          <w:rPr>
            <w:webHidden/>
          </w:rPr>
          <w:fldChar w:fldCharType="end"/>
        </w:r>
      </w:hyperlink>
    </w:p>
    <w:p w14:paraId="68C6A5E8" w14:textId="7E30394B" w:rsidR="003A7891" w:rsidRDefault="003C4809">
      <w:pPr>
        <w:pStyle w:val="TOC3"/>
        <w:rPr>
          <w:rFonts w:asciiTheme="minorHAnsi" w:eastAsiaTheme="minorEastAsia" w:hAnsiTheme="minorHAnsi" w:cstheme="minorBidi"/>
          <w:bCs w:val="0"/>
          <w:noProof/>
          <w:color w:val="auto"/>
          <w:spacing w:val="0"/>
          <w:sz w:val="22"/>
          <w:szCs w:val="22"/>
        </w:rPr>
      </w:pPr>
      <w:hyperlink w:anchor="_Toc41905711" w:history="1">
        <w:r w:rsidR="003A7891" w:rsidRPr="00E171BF">
          <w:rPr>
            <w:rStyle w:val="Hyperlink"/>
            <w:rFonts w:cs="Arial"/>
            <w:noProof/>
            <w14:scene3d>
              <w14:camera w14:prst="orthographicFront"/>
              <w14:lightRig w14:rig="threePt" w14:dir="t">
                <w14:rot w14:lat="0" w14:lon="0" w14:rev="0"/>
              </w14:lightRig>
            </w14:scene3d>
          </w:rPr>
          <w:t>7.2.1.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Ecological Conceptual Site Model</w:t>
        </w:r>
        <w:r w:rsidR="003A7891">
          <w:rPr>
            <w:noProof/>
            <w:webHidden/>
          </w:rPr>
          <w:tab/>
        </w:r>
        <w:r w:rsidR="003A7891">
          <w:rPr>
            <w:noProof/>
            <w:webHidden/>
          </w:rPr>
          <w:fldChar w:fldCharType="begin"/>
        </w:r>
        <w:r w:rsidR="003A7891">
          <w:rPr>
            <w:noProof/>
            <w:webHidden/>
          </w:rPr>
          <w:instrText xml:space="preserve"> PAGEREF _Toc41905711 \h </w:instrText>
        </w:r>
        <w:r w:rsidR="003A7891">
          <w:rPr>
            <w:noProof/>
            <w:webHidden/>
          </w:rPr>
        </w:r>
        <w:r w:rsidR="003A7891">
          <w:rPr>
            <w:noProof/>
            <w:webHidden/>
          </w:rPr>
          <w:fldChar w:fldCharType="separate"/>
        </w:r>
        <w:r w:rsidR="003A7891">
          <w:rPr>
            <w:noProof/>
            <w:webHidden/>
          </w:rPr>
          <w:t>73</w:t>
        </w:r>
        <w:r w:rsidR="003A7891">
          <w:rPr>
            <w:noProof/>
            <w:webHidden/>
          </w:rPr>
          <w:fldChar w:fldCharType="end"/>
        </w:r>
      </w:hyperlink>
    </w:p>
    <w:p w14:paraId="27D7ACB8" w14:textId="1C93E87A" w:rsidR="003A7891" w:rsidRDefault="003C4809">
      <w:pPr>
        <w:pStyle w:val="TOC3"/>
        <w:rPr>
          <w:rFonts w:asciiTheme="minorHAnsi" w:eastAsiaTheme="minorEastAsia" w:hAnsiTheme="minorHAnsi" w:cstheme="minorBidi"/>
          <w:bCs w:val="0"/>
          <w:noProof/>
          <w:color w:val="auto"/>
          <w:spacing w:val="0"/>
          <w:sz w:val="22"/>
          <w:szCs w:val="22"/>
        </w:rPr>
      </w:pPr>
      <w:hyperlink w:anchor="_Toc41905712" w:history="1">
        <w:r w:rsidR="003A7891" w:rsidRPr="00E171BF">
          <w:rPr>
            <w:rStyle w:val="Hyperlink"/>
            <w:rFonts w:cs="Arial"/>
            <w:noProof/>
            <w14:scene3d>
              <w14:camera w14:prst="orthographicFront"/>
              <w14:lightRig w14:rig="threePt" w14:dir="t">
                <w14:rot w14:lat="0" w14:lon="0" w14:rev="0"/>
              </w14:lightRig>
            </w14:scene3d>
          </w:rPr>
          <w:t>7.2.2.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Risk Assessment Objectives</w:t>
        </w:r>
        <w:r w:rsidR="003A7891">
          <w:rPr>
            <w:noProof/>
            <w:webHidden/>
          </w:rPr>
          <w:tab/>
        </w:r>
        <w:r w:rsidR="003A7891">
          <w:rPr>
            <w:noProof/>
            <w:webHidden/>
          </w:rPr>
          <w:fldChar w:fldCharType="begin"/>
        </w:r>
        <w:r w:rsidR="003A7891">
          <w:rPr>
            <w:noProof/>
            <w:webHidden/>
          </w:rPr>
          <w:instrText xml:space="preserve"> PAGEREF _Toc41905712 \h </w:instrText>
        </w:r>
        <w:r w:rsidR="003A7891">
          <w:rPr>
            <w:noProof/>
            <w:webHidden/>
          </w:rPr>
        </w:r>
        <w:r w:rsidR="003A7891">
          <w:rPr>
            <w:noProof/>
            <w:webHidden/>
          </w:rPr>
          <w:fldChar w:fldCharType="separate"/>
        </w:r>
        <w:r w:rsidR="003A7891">
          <w:rPr>
            <w:noProof/>
            <w:webHidden/>
          </w:rPr>
          <w:t>75</w:t>
        </w:r>
        <w:r w:rsidR="003A7891">
          <w:rPr>
            <w:noProof/>
            <w:webHidden/>
          </w:rPr>
          <w:fldChar w:fldCharType="end"/>
        </w:r>
      </w:hyperlink>
    </w:p>
    <w:p w14:paraId="1809D6DA" w14:textId="4595F951" w:rsidR="003A7891" w:rsidRDefault="003C4809">
      <w:pPr>
        <w:pStyle w:val="TOC3"/>
        <w:rPr>
          <w:rFonts w:asciiTheme="minorHAnsi" w:eastAsiaTheme="minorEastAsia" w:hAnsiTheme="minorHAnsi" w:cstheme="minorBidi"/>
          <w:bCs w:val="0"/>
          <w:noProof/>
          <w:color w:val="auto"/>
          <w:spacing w:val="0"/>
          <w:sz w:val="22"/>
          <w:szCs w:val="22"/>
        </w:rPr>
      </w:pPr>
      <w:hyperlink w:anchor="_Toc41905713" w:history="1">
        <w:r w:rsidR="003A7891" w:rsidRPr="00E171BF">
          <w:rPr>
            <w:rStyle w:val="Hyperlink"/>
            <w:rFonts w:cs="Arial"/>
            <w:noProof/>
            <w14:scene3d>
              <w14:camera w14:prst="orthographicFront"/>
              <w14:lightRig w14:rig="threePt" w14:dir="t">
                <w14:rot w14:lat="0" w14:lon="0" w14:rev="0"/>
              </w14:lightRig>
            </w14:scene3d>
          </w:rPr>
          <w:t>7.2.3.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Discussion of Data Quality</w:t>
        </w:r>
        <w:r w:rsidR="003A7891">
          <w:rPr>
            <w:noProof/>
            <w:webHidden/>
          </w:rPr>
          <w:tab/>
        </w:r>
        <w:r w:rsidR="003A7891">
          <w:rPr>
            <w:noProof/>
            <w:webHidden/>
          </w:rPr>
          <w:fldChar w:fldCharType="begin"/>
        </w:r>
        <w:r w:rsidR="003A7891">
          <w:rPr>
            <w:noProof/>
            <w:webHidden/>
          </w:rPr>
          <w:instrText xml:space="preserve"> PAGEREF _Toc41905713 \h </w:instrText>
        </w:r>
        <w:r w:rsidR="003A7891">
          <w:rPr>
            <w:noProof/>
            <w:webHidden/>
          </w:rPr>
        </w:r>
        <w:r w:rsidR="003A7891">
          <w:rPr>
            <w:noProof/>
            <w:webHidden/>
          </w:rPr>
          <w:fldChar w:fldCharType="separate"/>
        </w:r>
        <w:r w:rsidR="003A7891">
          <w:rPr>
            <w:noProof/>
            <w:webHidden/>
          </w:rPr>
          <w:t>76</w:t>
        </w:r>
        <w:r w:rsidR="003A7891">
          <w:rPr>
            <w:noProof/>
            <w:webHidden/>
          </w:rPr>
          <w:fldChar w:fldCharType="end"/>
        </w:r>
      </w:hyperlink>
    </w:p>
    <w:p w14:paraId="4C843206" w14:textId="7A28859F" w:rsidR="003A7891" w:rsidRDefault="003C4809">
      <w:pPr>
        <w:pStyle w:val="TOC2"/>
        <w:rPr>
          <w:rFonts w:asciiTheme="minorHAnsi" w:eastAsiaTheme="minorEastAsia" w:hAnsiTheme="minorHAnsi" w:cstheme="minorBidi"/>
          <w:color w:val="auto"/>
          <w:spacing w:val="0"/>
          <w:sz w:val="22"/>
          <w:szCs w:val="22"/>
        </w:rPr>
      </w:pPr>
      <w:hyperlink w:anchor="_Toc41905714" w:history="1">
        <w:r w:rsidR="003A7891" w:rsidRPr="00E171BF">
          <w:rPr>
            <w:rStyle w:val="Hyperlink"/>
            <w:rFonts w:cs="Arial"/>
          </w:rPr>
          <w:t>7.3.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Receptor Characterization</w:t>
        </w:r>
        <w:r w:rsidR="003A7891">
          <w:rPr>
            <w:webHidden/>
          </w:rPr>
          <w:tab/>
        </w:r>
        <w:r w:rsidR="003A7891">
          <w:rPr>
            <w:webHidden/>
          </w:rPr>
          <w:fldChar w:fldCharType="begin"/>
        </w:r>
        <w:r w:rsidR="003A7891">
          <w:rPr>
            <w:webHidden/>
          </w:rPr>
          <w:instrText xml:space="preserve"> PAGEREF _Toc41905714 \h </w:instrText>
        </w:r>
        <w:r w:rsidR="003A7891">
          <w:rPr>
            <w:webHidden/>
          </w:rPr>
        </w:r>
        <w:r w:rsidR="003A7891">
          <w:rPr>
            <w:webHidden/>
          </w:rPr>
          <w:fldChar w:fldCharType="separate"/>
        </w:r>
        <w:r w:rsidR="003A7891">
          <w:rPr>
            <w:webHidden/>
          </w:rPr>
          <w:t>76</w:t>
        </w:r>
        <w:r w:rsidR="003A7891">
          <w:rPr>
            <w:webHidden/>
          </w:rPr>
          <w:fldChar w:fldCharType="end"/>
        </w:r>
      </w:hyperlink>
    </w:p>
    <w:p w14:paraId="067FFF4D" w14:textId="2D761C98" w:rsidR="003A7891" w:rsidRDefault="003C4809">
      <w:pPr>
        <w:pStyle w:val="TOC2"/>
        <w:rPr>
          <w:rFonts w:asciiTheme="minorHAnsi" w:eastAsiaTheme="minorEastAsia" w:hAnsiTheme="minorHAnsi" w:cstheme="minorBidi"/>
          <w:color w:val="auto"/>
          <w:spacing w:val="0"/>
          <w:sz w:val="22"/>
          <w:szCs w:val="22"/>
        </w:rPr>
      </w:pPr>
      <w:hyperlink w:anchor="_Toc41905715" w:history="1">
        <w:r w:rsidR="003A7891" w:rsidRPr="00E171BF">
          <w:rPr>
            <w:rStyle w:val="Hyperlink"/>
            <w:rFonts w:cs="Arial"/>
          </w:rPr>
          <w:t>7.4.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Exposure Assessment</w:t>
        </w:r>
        <w:r w:rsidR="003A7891">
          <w:rPr>
            <w:webHidden/>
          </w:rPr>
          <w:tab/>
        </w:r>
        <w:r w:rsidR="003A7891">
          <w:rPr>
            <w:webHidden/>
          </w:rPr>
          <w:fldChar w:fldCharType="begin"/>
        </w:r>
        <w:r w:rsidR="003A7891">
          <w:rPr>
            <w:webHidden/>
          </w:rPr>
          <w:instrText xml:space="preserve"> PAGEREF _Toc41905715 \h </w:instrText>
        </w:r>
        <w:r w:rsidR="003A7891">
          <w:rPr>
            <w:webHidden/>
          </w:rPr>
        </w:r>
        <w:r w:rsidR="003A7891">
          <w:rPr>
            <w:webHidden/>
          </w:rPr>
          <w:fldChar w:fldCharType="separate"/>
        </w:r>
        <w:r w:rsidR="003A7891">
          <w:rPr>
            <w:webHidden/>
          </w:rPr>
          <w:t>78</w:t>
        </w:r>
        <w:r w:rsidR="003A7891">
          <w:rPr>
            <w:webHidden/>
          </w:rPr>
          <w:fldChar w:fldCharType="end"/>
        </w:r>
      </w:hyperlink>
    </w:p>
    <w:p w14:paraId="7771EEC2" w14:textId="6FFC6377" w:rsidR="003A7891" w:rsidRDefault="003C4809">
      <w:pPr>
        <w:pStyle w:val="TOC3"/>
        <w:rPr>
          <w:rFonts w:asciiTheme="minorHAnsi" w:eastAsiaTheme="minorEastAsia" w:hAnsiTheme="minorHAnsi" w:cstheme="minorBidi"/>
          <w:bCs w:val="0"/>
          <w:noProof/>
          <w:color w:val="auto"/>
          <w:spacing w:val="0"/>
          <w:sz w:val="22"/>
          <w:szCs w:val="22"/>
        </w:rPr>
      </w:pPr>
      <w:hyperlink w:anchor="_Toc41905716" w:history="1">
        <w:r w:rsidR="003A7891" w:rsidRPr="00E171BF">
          <w:rPr>
            <w:rStyle w:val="Hyperlink"/>
            <w:rFonts w:cs="Arial"/>
            <w:noProof/>
            <w14:scene3d>
              <w14:camera w14:prst="orthographicFront"/>
              <w14:lightRig w14:rig="threePt" w14:dir="t">
                <w14:rot w14:lat="0" w14:lon="0" w14:rev="0"/>
              </w14:lightRig>
            </w14:scene3d>
          </w:rPr>
          <w:t>7.4.1.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Pathway Analysis</w:t>
        </w:r>
        <w:r w:rsidR="003A7891">
          <w:rPr>
            <w:noProof/>
            <w:webHidden/>
          </w:rPr>
          <w:tab/>
        </w:r>
        <w:r w:rsidR="003A7891">
          <w:rPr>
            <w:noProof/>
            <w:webHidden/>
          </w:rPr>
          <w:fldChar w:fldCharType="begin"/>
        </w:r>
        <w:r w:rsidR="003A7891">
          <w:rPr>
            <w:noProof/>
            <w:webHidden/>
          </w:rPr>
          <w:instrText xml:space="preserve"> PAGEREF _Toc41905716 \h </w:instrText>
        </w:r>
        <w:r w:rsidR="003A7891">
          <w:rPr>
            <w:noProof/>
            <w:webHidden/>
          </w:rPr>
        </w:r>
        <w:r w:rsidR="003A7891">
          <w:rPr>
            <w:noProof/>
            <w:webHidden/>
          </w:rPr>
          <w:fldChar w:fldCharType="separate"/>
        </w:r>
        <w:r w:rsidR="003A7891">
          <w:rPr>
            <w:noProof/>
            <w:webHidden/>
          </w:rPr>
          <w:t>79</w:t>
        </w:r>
        <w:r w:rsidR="003A7891">
          <w:rPr>
            <w:noProof/>
            <w:webHidden/>
          </w:rPr>
          <w:fldChar w:fldCharType="end"/>
        </w:r>
      </w:hyperlink>
    </w:p>
    <w:p w14:paraId="68E174BF" w14:textId="7D38CB80" w:rsidR="003A7891" w:rsidRDefault="003C4809">
      <w:pPr>
        <w:pStyle w:val="TOC3"/>
        <w:rPr>
          <w:rFonts w:asciiTheme="minorHAnsi" w:eastAsiaTheme="minorEastAsia" w:hAnsiTheme="minorHAnsi" w:cstheme="minorBidi"/>
          <w:bCs w:val="0"/>
          <w:noProof/>
          <w:color w:val="auto"/>
          <w:spacing w:val="0"/>
          <w:sz w:val="22"/>
          <w:szCs w:val="22"/>
        </w:rPr>
      </w:pPr>
      <w:hyperlink w:anchor="_Toc41905717" w:history="1">
        <w:r w:rsidR="003A7891" w:rsidRPr="00E171BF">
          <w:rPr>
            <w:rStyle w:val="Hyperlink"/>
            <w:rFonts w:cs="Arial"/>
            <w:noProof/>
            <w14:scene3d>
              <w14:camera w14:prst="orthographicFront"/>
              <w14:lightRig w14:rig="threePt" w14:dir="t">
                <w14:rot w14:lat="0" w14:lon="0" w14:rev="0"/>
              </w14:lightRig>
            </w14:scene3d>
          </w:rPr>
          <w:t>7.4.2.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Exposure Estimates</w:t>
        </w:r>
        <w:r w:rsidR="003A7891">
          <w:rPr>
            <w:noProof/>
            <w:webHidden/>
          </w:rPr>
          <w:tab/>
        </w:r>
        <w:r w:rsidR="003A7891">
          <w:rPr>
            <w:noProof/>
            <w:webHidden/>
          </w:rPr>
          <w:fldChar w:fldCharType="begin"/>
        </w:r>
        <w:r w:rsidR="003A7891">
          <w:rPr>
            <w:noProof/>
            <w:webHidden/>
          </w:rPr>
          <w:instrText xml:space="preserve"> PAGEREF _Toc41905717 \h </w:instrText>
        </w:r>
        <w:r w:rsidR="003A7891">
          <w:rPr>
            <w:noProof/>
            <w:webHidden/>
          </w:rPr>
        </w:r>
        <w:r w:rsidR="003A7891">
          <w:rPr>
            <w:noProof/>
            <w:webHidden/>
          </w:rPr>
          <w:fldChar w:fldCharType="separate"/>
        </w:r>
        <w:r w:rsidR="003A7891">
          <w:rPr>
            <w:noProof/>
            <w:webHidden/>
          </w:rPr>
          <w:t>80</w:t>
        </w:r>
        <w:r w:rsidR="003A7891">
          <w:rPr>
            <w:noProof/>
            <w:webHidden/>
          </w:rPr>
          <w:fldChar w:fldCharType="end"/>
        </w:r>
      </w:hyperlink>
    </w:p>
    <w:p w14:paraId="2C48AF5C" w14:textId="68DEDA98" w:rsidR="003A7891" w:rsidRDefault="003C4809">
      <w:pPr>
        <w:pStyle w:val="TOC2"/>
        <w:rPr>
          <w:rFonts w:asciiTheme="minorHAnsi" w:eastAsiaTheme="minorEastAsia" w:hAnsiTheme="minorHAnsi" w:cstheme="minorBidi"/>
          <w:color w:val="auto"/>
          <w:spacing w:val="0"/>
          <w:sz w:val="22"/>
          <w:szCs w:val="22"/>
        </w:rPr>
      </w:pPr>
      <w:hyperlink w:anchor="_Toc41905718" w:history="1">
        <w:r w:rsidR="003A7891" w:rsidRPr="00E171BF">
          <w:rPr>
            <w:rStyle w:val="Hyperlink"/>
            <w:rFonts w:cs="Arial"/>
          </w:rPr>
          <w:t>7.5.</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Hazard Assessment</w:t>
        </w:r>
        <w:r w:rsidR="003A7891">
          <w:rPr>
            <w:webHidden/>
          </w:rPr>
          <w:tab/>
        </w:r>
        <w:r w:rsidR="003A7891">
          <w:rPr>
            <w:webHidden/>
          </w:rPr>
          <w:fldChar w:fldCharType="begin"/>
        </w:r>
        <w:r w:rsidR="003A7891">
          <w:rPr>
            <w:webHidden/>
          </w:rPr>
          <w:instrText xml:space="preserve"> PAGEREF _Toc41905718 \h </w:instrText>
        </w:r>
        <w:r w:rsidR="003A7891">
          <w:rPr>
            <w:webHidden/>
          </w:rPr>
        </w:r>
        <w:r w:rsidR="003A7891">
          <w:rPr>
            <w:webHidden/>
          </w:rPr>
          <w:fldChar w:fldCharType="separate"/>
        </w:r>
        <w:r w:rsidR="003A7891">
          <w:rPr>
            <w:webHidden/>
          </w:rPr>
          <w:t>82</w:t>
        </w:r>
        <w:r w:rsidR="003A7891">
          <w:rPr>
            <w:webHidden/>
          </w:rPr>
          <w:fldChar w:fldCharType="end"/>
        </w:r>
      </w:hyperlink>
    </w:p>
    <w:p w14:paraId="7B7C2C71" w14:textId="00CEABD4" w:rsidR="003A7891" w:rsidRDefault="003C4809">
      <w:pPr>
        <w:pStyle w:val="TOC2"/>
        <w:rPr>
          <w:rFonts w:asciiTheme="minorHAnsi" w:eastAsiaTheme="minorEastAsia" w:hAnsiTheme="minorHAnsi" w:cstheme="minorBidi"/>
          <w:color w:val="auto"/>
          <w:spacing w:val="0"/>
          <w:sz w:val="22"/>
          <w:szCs w:val="22"/>
        </w:rPr>
      </w:pPr>
      <w:hyperlink w:anchor="_Toc41905719" w:history="1">
        <w:r w:rsidR="003A7891" w:rsidRPr="00E171BF">
          <w:rPr>
            <w:rStyle w:val="Hyperlink"/>
            <w:rFonts w:cs="Arial"/>
          </w:rPr>
          <w:t>7.6.</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Risk Characterization</w:t>
        </w:r>
        <w:r w:rsidR="003A7891">
          <w:rPr>
            <w:webHidden/>
          </w:rPr>
          <w:tab/>
        </w:r>
        <w:r w:rsidR="003A7891">
          <w:rPr>
            <w:webHidden/>
          </w:rPr>
          <w:fldChar w:fldCharType="begin"/>
        </w:r>
        <w:r w:rsidR="003A7891">
          <w:rPr>
            <w:webHidden/>
          </w:rPr>
          <w:instrText xml:space="preserve"> PAGEREF _Toc41905719 \h </w:instrText>
        </w:r>
        <w:r w:rsidR="003A7891">
          <w:rPr>
            <w:webHidden/>
          </w:rPr>
        </w:r>
        <w:r w:rsidR="003A7891">
          <w:rPr>
            <w:webHidden/>
          </w:rPr>
          <w:fldChar w:fldCharType="separate"/>
        </w:r>
        <w:r w:rsidR="003A7891">
          <w:rPr>
            <w:webHidden/>
          </w:rPr>
          <w:t>85</w:t>
        </w:r>
        <w:r w:rsidR="003A7891">
          <w:rPr>
            <w:webHidden/>
          </w:rPr>
          <w:fldChar w:fldCharType="end"/>
        </w:r>
      </w:hyperlink>
    </w:p>
    <w:p w14:paraId="65C1EAF4" w14:textId="2058A7EB" w:rsidR="003A7891" w:rsidRDefault="003C4809">
      <w:pPr>
        <w:pStyle w:val="TOC3"/>
        <w:rPr>
          <w:rFonts w:asciiTheme="minorHAnsi" w:eastAsiaTheme="minorEastAsia" w:hAnsiTheme="minorHAnsi" w:cstheme="minorBidi"/>
          <w:bCs w:val="0"/>
          <w:noProof/>
          <w:color w:val="auto"/>
          <w:spacing w:val="0"/>
          <w:sz w:val="22"/>
          <w:szCs w:val="22"/>
        </w:rPr>
      </w:pPr>
      <w:hyperlink w:anchor="_Toc41905720" w:history="1">
        <w:r w:rsidR="003A7891" w:rsidRPr="00E171BF">
          <w:rPr>
            <w:rStyle w:val="Hyperlink"/>
            <w:rFonts w:cs="Arial"/>
            <w:noProof/>
            <w14:scene3d>
              <w14:camera w14:prst="orthographicFront"/>
              <w14:lightRig w14:rig="threePt" w14:dir="t">
                <w14:rot w14:lat="0" w14:lon="0" w14:rev="0"/>
              </w14:lightRig>
            </w14:scene3d>
          </w:rPr>
          <w:t>7.6.1.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Quantitative Interpretation of Ecological Risk</w:t>
        </w:r>
        <w:r w:rsidR="003A7891">
          <w:rPr>
            <w:noProof/>
            <w:webHidden/>
          </w:rPr>
          <w:tab/>
        </w:r>
        <w:r w:rsidR="003A7891">
          <w:rPr>
            <w:noProof/>
            <w:webHidden/>
          </w:rPr>
          <w:fldChar w:fldCharType="begin"/>
        </w:r>
        <w:r w:rsidR="003A7891">
          <w:rPr>
            <w:noProof/>
            <w:webHidden/>
          </w:rPr>
          <w:instrText xml:space="preserve"> PAGEREF _Toc41905720 \h </w:instrText>
        </w:r>
        <w:r w:rsidR="003A7891">
          <w:rPr>
            <w:noProof/>
            <w:webHidden/>
          </w:rPr>
        </w:r>
        <w:r w:rsidR="003A7891">
          <w:rPr>
            <w:noProof/>
            <w:webHidden/>
          </w:rPr>
          <w:fldChar w:fldCharType="separate"/>
        </w:r>
        <w:r w:rsidR="003A7891">
          <w:rPr>
            <w:noProof/>
            <w:webHidden/>
          </w:rPr>
          <w:t>86</w:t>
        </w:r>
        <w:r w:rsidR="003A7891">
          <w:rPr>
            <w:noProof/>
            <w:webHidden/>
          </w:rPr>
          <w:fldChar w:fldCharType="end"/>
        </w:r>
      </w:hyperlink>
    </w:p>
    <w:p w14:paraId="5B5F6EE0" w14:textId="0A8F5D8D" w:rsidR="003A7891" w:rsidRDefault="003C4809">
      <w:pPr>
        <w:pStyle w:val="TOC3"/>
        <w:rPr>
          <w:rFonts w:asciiTheme="minorHAnsi" w:eastAsiaTheme="minorEastAsia" w:hAnsiTheme="minorHAnsi" w:cstheme="minorBidi"/>
          <w:bCs w:val="0"/>
          <w:noProof/>
          <w:color w:val="auto"/>
          <w:spacing w:val="0"/>
          <w:sz w:val="22"/>
          <w:szCs w:val="22"/>
        </w:rPr>
      </w:pPr>
      <w:hyperlink w:anchor="_Toc41905721" w:history="1">
        <w:r w:rsidR="003A7891" w:rsidRPr="00E171BF">
          <w:rPr>
            <w:rStyle w:val="Hyperlink"/>
            <w:rFonts w:cs="Arial"/>
            <w:noProof/>
            <w14:scene3d>
              <w14:camera w14:prst="orthographicFront"/>
              <w14:lightRig w14:rig="threePt" w14:dir="t">
                <w14:rot w14:lat="0" w14:lon="0" w14:rev="0"/>
              </w14:lightRig>
            </w14:scene3d>
          </w:rPr>
          <w:t>7.6.2.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Qualitative Interpretation of Ecological Risk</w:t>
        </w:r>
        <w:r w:rsidR="003A7891">
          <w:rPr>
            <w:noProof/>
            <w:webHidden/>
          </w:rPr>
          <w:tab/>
        </w:r>
        <w:r w:rsidR="003A7891">
          <w:rPr>
            <w:noProof/>
            <w:webHidden/>
          </w:rPr>
          <w:fldChar w:fldCharType="begin"/>
        </w:r>
        <w:r w:rsidR="003A7891">
          <w:rPr>
            <w:noProof/>
            <w:webHidden/>
          </w:rPr>
          <w:instrText xml:space="preserve"> PAGEREF _Toc41905721 \h </w:instrText>
        </w:r>
        <w:r w:rsidR="003A7891">
          <w:rPr>
            <w:noProof/>
            <w:webHidden/>
          </w:rPr>
        </w:r>
        <w:r w:rsidR="003A7891">
          <w:rPr>
            <w:noProof/>
            <w:webHidden/>
          </w:rPr>
          <w:fldChar w:fldCharType="separate"/>
        </w:r>
        <w:r w:rsidR="003A7891">
          <w:rPr>
            <w:noProof/>
            <w:webHidden/>
          </w:rPr>
          <w:t>87</w:t>
        </w:r>
        <w:r w:rsidR="003A7891">
          <w:rPr>
            <w:noProof/>
            <w:webHidden/>
          </w:rPr>
          <w:fldChar w:fldCharType="end"/>
        </w:r>
      </w:hyperlink>
    </w:p>
    <w:p w14:paraId="772D7837" w14:textId="6C7F6B63" w:rsidR="003A7891" w:rsidRDefault="003C4809">
      <w:pPr>
        <w:pStyle w:val="TOC3"/>
        <w:rPr>
          <w:rFonts w:asciiTheme="minorHAnsi" w:eastAsiaTheme="minorEastAsia" w:hAnsiTheme="minorHAnsi" w:cstheme="minorBidi"/>
          <w:bCs w:val="0"/>
          <w:noProof/>
          <w:color w:val="auto"/>
          <w:spacing w:val="0"/>
          <w:sz w:val="22"/>
          <w:szCs w:val="22"/>
        </w:rPr>
      </w:pPr>
      <w:hyperlink w:anchor="_Toc41905722" w:history="1">
        <w:r w:rsidR="003A7891" w:rsidRPr="00E171BF">
          <w:rPr>
            <w:rStyle w:val="Hyperlink"/>
            <w:rFonts w:cs="Arial"/>
            <w:noProof/>
            <w14:scene3d>
              <w14:camera w14:prst="orthographicFront"/>
              <w14:lightRig w14:rig="threePt" w14:dir="t">
                <w14:rot w14:lat="0" w14:lon="0" w14:rev="0"/>
              </w14:lightRig>
            </w14:scene3d>
          </w:rPr>
          <w:t>7.6.3.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Special Considerations</w:t>
        </w:r>
        <w:r w:rsidR="003A7891">
          <w:rPr>
            <w:noProof/>
            <w:webHidden/>
          </w:rPr>
          <w:tab/>
        </w:r>
        <w:r w:rsidR="003A7891">
          <w:rPr>
            <w:noProof/>
            <w:webHidden/>
          </w:rPr>
          <w:fldChar w:fldCharType="begin"/>
        </w:r>
        <w:r w:rsidR="003A7891">
          <w:rPr>
            <w:noProof/>
            <w:webHidden/>
          </w:rPr>
          <w:instrText xml:space="preserve"> PAGEREF _Toc41905722 \h </w:instrText>
        </w:r>
        <w:r w:rsidR="003A7891">
          <w:rPr>
            <w:noProof/>
            <w:webHidden/>
          </w:rPr>
        </w:r>
        <w:r w:rsidR="003A7891">
          <w:rPr>
            <w:noProof/>
            <w:webHidden/>
          </w:rPr>
          <w:fldChar w:fldCharType="separate"/>
        </w:r>
        <w:r w:rsidR="003A7891">
          <w:rPr>
            <w:noProof/>
            <w:webHidden/>
          </w:rPr>
          <w:t>89</w:t>
        </w:r>
        <w:r w:rsidR="003A7891">
          <w:rPr>
            <w:noProof/>
            <w:webHidden/>
          </w:rPr>
          <w:fldChar w:fldCharType="end"/>
        </w:r>
      </w:hyperlink>
    </w:p>
    <w:p w14:paraId="2669C4F3" w14:textId="231450C9" w:rsidR="003A7891" w:rsidRDefault="003C4809">
      <w:pPr>
        <w:pStyle w:val="TOC3"/>
        <w:rPr>
          <w:rFonts w:asciiTheme="minorHAnsi" w:eastAsiaTheme="minorEastAsia" w:hAnsiTheme="minorHAnsi" w:cstheme="minorBidi"/>
          <w:bCs w:val="0"/>
          <w:noProof/>
          <w:color w:val="auto"/>
          <w:spacing w:val="0"/>
          <w:sz w:val="22"/>
          <w:szCs w:val="22"/>
        </w:rPr>
      </w:pPr>
      <w:hyperlink w:anchor="_Toc41905723" w:history="1">
        <w:r w:rsidR="003A7891" w:rsidRPr="00E171BF">
          <w:rPr>
            <w:rStyle w:val="Hyperlink"/>
            <w:rFonts w:cs="Arial"/>
            <w:noProof/>
            <w14:scene3d>
              <w14:camera w14:prst="orthographicFront"/>
              <w14:lightRig w14:rig="threePt" w14:dir="t">
                <w14:rot w14:lat="0" w14:lon="0" w14:rev="0"/>
              </w14:lightRig>
            </w14:scene3d>
          </w:rPr>
          <w:t>7.6.4.</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Interpretation of Off-Site Ecological Risks</w:t>
        </w:r>
        <w:r w:rsidR="003A7891">
          <w:rPr>
            <w:noProof/>
            <w:webHidden/>
          </w:rPr>
          <w:tab/>
        </w:r>
        <w:r w:rsidR="003A7891">
          <w:rPr>
            <w:noProof/>
            <w:webHidden/>
          </w:rPr>
          <w:fldChar w:fldCharType="begin"/>
        </w:r>
        <w:r w:rsidR="003A7891">
          <w:rPr>
            <w:noProof/>
            <w:webHidden/>
          </w:rPr>
          <w:instrText xml:space="preserve"> PAGEREF _Toc41905723 \h </w:instrText>
        </w:r>
        <w:r w:rsidR="003A7891">
          <w:rPr>
            <w:noProof/>
            <w:webHidden/>
          </w:rPr>
        </w:r>
        <w:r w:rsidR="003A7891">
          <w:rPr>
            <w:noProof/>
            <w:webHidden/>
          </w:rPr>
          <w:fldChar w:fldCharType="separate"/>
        </w:r>
        <w:r w:rsidR="003A7891">
          <w:rPr>
            <w:noProof/>
            <w:webHidden/>
          </w:rPr>
          <w:t>90</w:t>
        </w:r>
        <w:r w:rsidR="003A7891">
          <w:rPr>
            <w:noProof/>
            <w:webHidden/>
          </w:rPr>
          <w:fldChar w:fldCharType="end"/>
        </w:r>
      </w:hyperlink>
    </w:p>
    <w:p w14:paraId="42B57891" w14:textId="48BC82FA" w:rsidR="003A7891" w:rsidRDefault="003C4809">
      <w:pPr>
        <w:pStyle w:val="TOC3"/>
        <w:rPr>
          <w:rFonts w:asciiTheme="minorHAnsi" w:eastAsiaTheme="minorEastAsia" w:hAnsiTheme="minorHAnsi" w:cstheme="minorBidi"/>
          <w:bCs w:val="0"/>
          <w:noProof/>
          <w:color w:val="auto"/>
          <w:spacing w:val="0"/>
          <w:sz w:val="22"/>
          <w:szCs w:val="22"/>
        </w:rPr>
      </w:pPr>
      <w:hyperlink w:anchor="_Toc41905724" w:history="1">
        <w:r w:rsidR="003A7891" w:rsidRPr="00E171BF">
          <w:rPr>
            <w:rStyle w:val="Hyperlink"/>
            <w:rFonts w:cs="Arial"/>
            <w:noProof/>
            <w14:scene3d>
              <w14:camera w14:prst="orthographicFront"/>
              <w14:lightRig w14:rig="threePt" w14:dir="t">
                <w14:rot w14:lat="0" w14:lon="0" w14:rev="0"/>
              </w14:lightRig>
            </w14:scene3d>
          </w:rPr>
          <w:t>7.6.5.</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Discussion of Uncertainty</w:t>
        </w:r>
        <w:r w:rsidR="003A7891">
          <w:rPr>
            <w:noProof/>
            <w:webHidden/>
          </w:rPr>
          <w:tab/>
        </w:r>
        <w:r w:rsidR="003A7891">
          <w:rPr>
            <w:noProof/>
            <w:webHidden/>
          </w:rPr>
          <w:fldChar w:fldCharType="begin"/>
        </w:r>
        <w:r w:rsidR="003A7891">
          <w:rPr>
            <w:noProof/>
            <w:webHidden/>
          </w:rPr>
          <w:instrText xml:space="preserve"> PAGEREF _Toc41905724 \h </w:instrText>
        </w:r>
        <w:r w:rsidR="003A7891">
          <w:rPr>
            <w:noProof/>
            <w:webHidden/>
          </w:rPr>
        </w:r>
        <w:r w:rsidR="003A7891">
          <w:rPr>
            <w:noProof/>
            <w:webHidden/>
          </w:rPr>
          <w:fldChar w:fldCharType="separate"/>
        </w:r>
        <w:r w:rsidR="003A7891">
          <w:rPr>
            <w:noProof/>
            <w:webHidden/>
          </w:rPr>
          <w:t>91</w:t>
        </w:r>
        <w:r w:rsidR="003A7891">
          <w:rPr>
            <w:noProof/>
            <w:webHidden/>
          </w:rPr>
          <w:fldChar w:fldCharType="end"/>
        </w:r>
      </w:hyperlink>
    </w:p>
    <w:p w14:paraId="46DF27CB" w14:textId="154FEE40" w:rsidR="003A7891" w:rsidRDefault="003C4809">
      <w:pPr>
        <w:pStyle w:val="TOC1"/>
        <w:rPr>
          <w:rFonts w:asciiTheme="minorHAnsi" w:eastAsiaTheme="minorEastAsia" w:hAnsiTheme="minorHAnsi" w:cstheme="minorBidi"/>
          <w:b w:val="0"/>
          <w:color w:val="auto"/>
          <w:spacing w:val="0"/>
          <w:sz w:val="22"/>
          <w:szCs w:val="22"/>
        </w:rPr>
      </w:pPr>
      <w:hyperlink w:anchor="_Toc41905725" w:history="1">
        <w:r w:rsidR="003A7891" w:rsidRPr="00E171BF">
          <w:rPr>
            <w:rStyle w:val="Hyperlink"/>
          </w:rPr>
          <w:t>Section 8.</w:t>
        </w:r>
        <w:r w:rsidR="003A7891">
          <w:rPr>
            <w:rFonts w:asciiTheme="minorHAnsi" w:eastAsiaTheme="minorEastAsia" w:hAnsiTheme="minorHAnsi" w:cstheme="minorBidi"/>
            <w:b w:val="0"/>
            <w:color w:val="auto"/>
            <w:spacing w:val="0"/>
            <w:sz w:val="22"/>
            <w:szCs w:val="22"/>
          </w:rPr>
          <w:tab/>
        </w:r>
        <w:r w:rsidR="003A7891" w:rsidRPr="00E171BF">
          <w:rPr>
            <w:rStyle w:val="Hyperlink"/>
          </w:rPr>
          <w:t>Risk Management Plan</w:t>
        </w:r>
        <w:r w:rsidR="003A7891">
          <w:rPr>
            <w:webHidden/>
          </w:rPr>
          <w:tab/>
        </w:r>
        <w:r w:rsidR="003A7891">
          <w:rPr>
            <w:webHidden/>
          </w:rPr>
          <w:fldChar w:fldCharType="begin"/>
        </w:r>
        <w:r w:rsidR="003A7891">
          <w:rPr>
            <w:webHidden/>
          </w:rPr>
          <w:instrText xml:space="preserve"> PAGEREF _Toc41905725 \h </w:instrText>
        </w:r>
        <w:r w:rsidR="003A7891">
          <w:rPr>
            <w:webHidden/>
          </w:rPr>
        </w:r>
        <w:r w:rsidR="003A7891">
          <w:rPr>
            <w:webHidden/>
          </w:rPr>
          <w:fldChar w:fldCharType="separate"/>
        </w:r>
        <w:r w:rsidR="003A7891">
          <w:rPr>
            <w:webHidden/>
          </w:rPr>
          <w:t>92</w:t>
        </w:r>
        <w:r w:rsidR="003A7891">
          <w:rPr>
            <w:webHidden/>
          </w:rPr>
          <w:fldChar w:fldCharType="end"/>
        </w:r>
      </w:hyperlink>
    </w:p>
    <w:p w14:paraId="7A067DC5" w14:textId="4A38A9AA" w:rsidR="003A7891" w:rsidRDefault="003C4809">
      <w:pPr>
        <w:pStyle w:val="TOC2"/>
        <w:rPr>
          <w:rFonts w:asciiTheme="minorHAnsi" w:eastAsiaTheme="minorEastAsia" w:hAnsiTheme="minorHAnsi" w:cstheme="minorBidi"/>
          <w:color w:val="auto"/>
          <w:spacing w:val="0"/>
          <w:sz w:val="22"/>
          <w:szCs w:val="22"/>
        </w:rPr>
      </w:pPr>
      <w:hyperlink w:anchor="_Toc41905726" w:history="1">
        <w:r w:rsidR="003A7891" w:rsidRPr="00E171BF">
          <w:rPr>
            <w:rStyle w:val="Hyperlink"/>
            <w:rFonts w:cs="Arial"/>
          </w:rPr>
          <w:t>8.1.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Risk Management Performance Objectives</w:t>
        </w:r>
        <w:r w:rsidR="003A7891">
          <w:rPr>
            <w:webHidden/>
          </w:rPr>
          <w:tab/>
        </w:r>
        <w:r w:rsidR="003A7891">
          <w:rPr>
            <w:webHidden/>
          </w:rPr>
          <w:fldChar w:fldCharType="begin"/>
        </w:r>
        <w:r w:rsidR="003A7891">
          <w:rPr>
            <w:webHidden/>
          </w:rPr>
          <w:instrText xml:space="preserve"> PAGEREF _Toc41905726 \h </w:instrText>
        </w:r>
        <w:r w:rsidR="003A7891">
          <w:rPr>
            <w:webHidden/>
          </w:rPr>
        </w:r>
        <w:r w:rsidR="003A7891">
          <w:rPr>
            <w:webHidden/>
          </w:rPr>
          <w:fldChar w:fldCharType="separate"/>
        </w:r>
        <w:r w:rsidR="003A7891">
          <w:rPr>
            <w:webHidden/>
          </w:rPr>
          <w:t>94</w:t>
        </w:r>
        <w:r w:rsidR="003A7891">
          <w:rPr>
            <w:webHidden/>
          </w:rPr>
          <w:fldChar w:fldCharType="end"/>
        </w:r>
      </w:hyperlink>
    </w:p>
    <w:p w14:paraId="6613E567" w14:textId="03D8F3C9" w:rsidR="003A7891" w:rsidRDefault="003C4809">
      <w:pPr>
        <w:pStyle w:val="TOC2"/>
        <w:rPr>
          <w:rFonts w:asciiTheme="minorHAnsi" w:eastAsiaTheme="minorEastAsia" w:hAnsiTheme="minorHAnsi" w:cstheme="minorBidi"/>
          <w:color w:val="auto"/>
          <w:spacing w:val="0"/>
          <w:sz w:val="22"/>
          <w:szCs w:val="22"/>
        </w:rPr>
      </w:pPr>
      <w:hyperlink w:anchor="_Toc41905727" w:history="1">
        <w:r w:rsidR="003A7891" w:rsidRPr="00E171BF">
          <w:rPr>
            <w:rStyle w:val="Hyperlink"/>
            <w:rFonts w:cs="Arial"/>
          </w:rPr>
          <w:t>8.2.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Risk Management Measures and Ongoing Monitoring</w:t>
        </w:r>
        <w:r w:rsidR="003A7891">
          <w:rPr>
            <w:webHidden/>
          </w:rPr>
          <w:tab/>
        </w:r>
        <w:r w:rsidR="003A7891">
          <w:rPr>
            <w:webHidden/>
          </w:rPr>
          <w:fldChar w:fldCharType="begin"/>
        </w:r>
        <w:r w:rsidR="003A7891">
          <w:rPr>
            <w:webHidden/>
          </w:rPr>
          <w:instrText xml:space="preserve"> PAGEREF _Toc41905727 \h </w:instrText>
        </w:r>
        <w:r w:rsidR="003A7891">
          <w:rPr>
            <w:webHidden/>
          </w:rPr>
        </w:r>
        <w:r w:rsidR="003A7891">
          <w:rPr>
            <w:webHidden/>
          </w:rPr>
          <w:fldChar w:fldCharType="separate"/>
        </w:r>
        <w:r w:rsidR="003A7891">
          <w:rPr>
            <w:webHidden/>
          </w:rPr>
          <w:t>95</w:t>
        </w:r>
        <w:r w:rsidR="003A7891">
          <w:rPr>
            <w:webHidden/>
          </w:rPr>
          <w:fldChar w:fldCharType="end"/>
        </w:r>
      </w:hyperlink>
    </w:p>
    <w:p w14:paraId="24547D8E" w14:textId="497E37E3" w:rsidR="003A7891" w:rsidRDefault="003C4809">
      <w:pPr>
        <w:pStyle w:val="TOC2"/>
        <w:rPr>
          <w:rFonts w:asciiTheme="minorHAnsi" w:eastAsiaTheme="minorEastAsia" w:hAnsiTheme="minorHAnsi" w:cstheme="minorBidi"/>
          <w:color w:val="auto"/>
          <w:spacing w:val="0"/>
          <w:sz w:val="22"/>
          <w:szCs w:val="22"/>
        </w:rPr>
      </w:pPr>
      <w:hyperlink w:anchor="_Toc41905728" w:history="1">
        <w:r w:rsidR="003A7891" w:rsidRPr="00E171BF">
          <w:rPr>
            <w:rStyle w:val="Hyperlink"/>
            <w:rFonts w:cs="Arial"/>
          </w:rPr>
          <w:t>8.3.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Additional Guidance</w:t>
        </w:r>
        <w:r w:rsidR="003A7891">
          <w:rPr>
            <w:webHidden/>
          </w:rPr>
          <w:tab/>
        </w:r>
        <w:r w:rsidR="003A7891">
          <w:rPr>
            <w:webHidden/>
          </w:rPr>
          <w:fldChar w:fldCharType="begin"/>
        </w:r>
        <w:r w:rsidR="003A7891">
          <w:rPr>
            <w:webHidden/>
          </w:rPr>
          <w:instrText xml:space="preserve"> PAGEREF _Toc41905728 \h </w:instrText>
        </w:r>
        <w:r w:rsidR="003A7891">
          <w:rPr>
            <w:webHidden/>
          </w:rPr>
        </w:r>
        <w:r w:rsidR="003A7891">
          <w:rPr>
            <w:webHidden/>
          </w:rPr>
          <w:fldChar w:fldCharType="separate"/>
        </w:r>
        <w:r w:rsidR="003A7891">
          <w:rPr>
            <w:webHidden/>
          </w:rPr>
          <w:t>96</w:t>
        </w:r>
        <w:r w:rsidR="003A7891">
          <w:rPr>
            <w:webHidden/>
          </w:rPr>
          <w:fldChar w:fldCharType="end"/>
        </w:r>
      </w:hyperlink>
    </w:p>
    <w:p w14:paraId="586181F5" w14:textId="3BCE6328" w:rsidR="003A7891" w:rsidRDefault="003C4809">
      <w:pPr>
        <w:pStyle w:val="TOC2"/>
        <w:rPr>
          <w:rFonts w:asciiTheme="minorHAnsi" w:eastAsiaTheme="minorEastAsia" w:hAnsiTheme="minorHAnsi" w:cstheme="minorBidi"/>
          <w:color w:val="auto"/>
          <w:spacing w:val="0"/>
          <w:sz w:val="22"/>
          <w:szCs w:val="22"/>
        </w:rPr>
      </w:pPr>
      <w:hyperlink w:anchor="_Toc41905729" w:history="1">
        <w:r w:rsidR="003A7891" w:rsidRPr="00E171BF">
          <w:rPr>
            <w:rStyle w:val="Hyperlink"/>
            <w:rFonts w:cs="Arial"/>
          </w:rPr>
          <w:t>8.4.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Financial Assurance</w:t>
        </w:r>
        <w:r w:rsidR="003A7891">
          <w:rPr>
            <w:webHidden/>
          </w:rPr>
          <w:tab/>
        </w:r>
        <w:r w:rsidR="003A7891">
          <w:rPr>
            <w:webHidden/>
          </w:rPr>
          <w:fldChar w:fldCharType="begin"/>
        </w:r>
        <w:r w:rsidR="003A7891">
          <w:rPr>
            <w:webHidden/>
          </w:rPr>
          <w:instrText xml:space="preserve"> PAGEREF _Toc41905729 \h </w:instrText>
        </w:r>
        <w:r w:rsidR="003A7891">
          <w:rPr>
            <w:webHidden/>
          </w:rPr>
        </w:r>
        <w:r w:rsidR="003A7891">
          <w:rPr>
            <w:webHidden/>
          </w:rPr>
          <w:fldChar w:fldCharType="separate"/>
        </w:r>
        <w:r w:rsidR="003A7891">
          <w:rPr>
            <w:webHidden/>
          </w:rPr>
          <w:t>97</w:t>
        </w:r>
        <w:r w:rsidR="003A7891">
          <w:rPr>
            <w:webHidden/>
          </w:rPr>
          <w:fldChar w:fldCharType="end"/>
        </w:r>
      </w:hyperlink>
    </w:p>
    <w:p w14:paraId="2FC377E2" w14:textId="28336E8B" w:rsidR="003A7891" w:rsidRDefault="003C4809">
      <w:pPr>
        <w:pStyle w:val="TOC2"/>
        <w:rPr>
          <w:rFonts w:asciiTheme="minorHAnsi" w:eastAsiaTheme="minorEastAsia" w:hAnsiTheme="minorHAnsi" w:cstheme="minorBidi"/>
          <w:color w:val="auto"/>
          <w:spacing w:val="0"/>
          <w:sz w:val="22"/>
          <w:szCs w:val="22"/>
        </w:rPr>
      </w:pPr>
      <w:hyperlink w:anchor="_Toc41905730" w:history="1">
        <w:r w:rsidR="003A7891" w:rsidRPr="00E171BF">
          <w:rPr>
            <w:rStyle w:val="Hyperlink"/>
            <w:rFonts w:cs="Arial"/>
          </w:rPr>
          <w:t>8.5.</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Certificate of Property Use</w:t>
        </w:r>
        <w:r w:rsidR="003A7891">
          <w:rPr>
            <w:webHidden/>
          </w:rPr>
          <w:tab/>
        </w:r>
        <w:r w:rsidR="003A7891">
          <w:rPr>
            <w:webHidden/>
          </w:rPr>
          <w:fldChar w:fldCharType="begin"/>
        </w:r>
        <w:r w:rsidR="003A7891">
          <w:rPr>
            <w:webHidden/>
          </w:rPr>
          <w:instrText xml:space="preserve"> PAGEREF _Toc41905730 \h </w:instrText>
        </w:r>
        <w:r w:rsidR="003A7891">
          <w:rPr>
            <w:webHidden/>
          </w:rPr>
        </w:r>
        <w:r w:rsidR="003A7891">
          <w:rPr>
            <w:webHidden/>
          </w:rPr>
          <w:fldChar w:fldCharType="separate"/>
        </w:r>
        <w:r w:rsidR="003A7891">
          <w:rPr>
            <w:webHidden/>
          </w:rPr>
          <w:t>97</w:t>
        </w:r>
        <w:r w:rsidR="003A7891">
          <w:rPr>
            <w:webHidden/>
          </w:rPr>
          <w:fldChar w:fldCharType="end"/>
        </w:r>
      </w:hyperlink>
    </w:p>
    <w:p w14:paraId="78DAF7CF" w14:textId="0DE5DC57" w:rsidR="003A7891" w:rsidRDefault="003C4809">
      <w:pPr>
        <w:pStyle w:val="TOC1"/>
        <w:rPr>
          <w:rFonts w:asciiTheme="minorHAnsi" w:eastAsiaTheme="minorEastAsia" w:hAnsiTheme="minorHAnsi" w:cstheme="minorBidi"/>
          <w:b w:val="0"/>
          <w:color w:val="auto"/>
          <w:spacing w:val="0"/>
          <w:sz w:val="22"/>
          <w:szCs w:val="22"/>
        </w:rPr>
      </w:pPr>
      <w:hyperlink w:anchor="_Toc41905731" w:history="1">
        <w:r w:rsidR="003A7891" w:rsidRPr="00E171BF">
          <w:rPr>
            <w:rStyle w:val="Hyperlink"/>
          </w:rPr>
          <w:t>Section 9.</w:t>
        </w:r>
        <w:r w:rsidR="003A7891">
          <w:rPr>
            <w:rFonts w:asciiTheme="minorHAnsi" w:eastAsiaTheme="minorEastAsia" w:hAnsiTheme="minorHAnsi" w:cstheme="minorBidi"/>
            <w:b w:val="0"/>
            <w:color w:val="auto"/>
            <w:spacing w:val="0"/>
            <w:sz w:val="22"/>
            <w:szCs w:val="22"/>
          </w:rPr>
          <w:tab/>
        </w:r>
        <w:r w:rsidR="003A7891" w:rsidRPr="00E171BF">
          <w:rPr>
            <w:rStyle w:val="Hyperlink"/>
          </w:rPr>
          <w:t>Alternative Risk Assessment Procedures</w:t>
        </w:r>
        <w:r w:rsidR="003A7891">
          <w:rPr>
            <w:webHidden/>
          </w:rPr>
          <w:tab/>
        </w:r>
        <w:r w:rsidR="003A7891">
          <w:rPr>
            <w:webHidden/>
          </w:rPr>
          <w:fldChar w:fldCharType="begin"/>
        </w:r>
        <w:r w:rsidR="003A7891">
          <w:rPr>
            <w:webHidden/>
          </w:rPr>
          <w:instrText xml:space="preserve"> PAGEREF _Toc41905731 \h </w:instrText>
        </w:r>
        <w:r w:rsidR="003A7891">
          <w:rPr>
            <w:webHidden/>
          </w:rPr>
        </w:r>
        <w:r w:rsidR="003A7891">
          <w:rPr>
            <w:webHidden/>
          </w:rPr>
          <w:fldChar w:fldCharType="separate"/>
        </w:r>
        <w:r w:rsidR="003A7891">
          <w:rPr>
            <w:webHidden/>
          </w:rPr>
          <w:t>98</w:t>
        </w:r>
        <w:r w:rsidR="003A7891">
          <w:rPr>
            <w:webHidden/>
          </w:rPr>
          <w:fldChar w:fldCharType="end"/>
        </w:r>
      </w:hyperlink>
    </w:p>
    <w:p w14:paraId="0361B0D2" w14:textId="7D7A3E26" w:rsidR="003A7891" w:rsidRDefault="003C4809">
      <w:pPr>
        <w:pStyle w:val="TOC2"/>
        <w:rPr>
          <w:rFonts w:asciiTheme="minorHAnsi" w:eastAsiaTheme="minorEastAsia" w:hAnsiTheme="minorHAnsi" w:cstheme="minorBidi"/>
          <w:color w:val="auto"/>
          <w:spacing w:val="0"/>
          <w:sz w:val="22"/>
          <w:szCs w:val="22"/>
        </w:rPr>
      </w:pPr>
      <w:hyperlink w:anchor="_Toc41905732" w:history="1">
        <w:r w:rsidR="003A7891" w:rsidRPr="00E171BF">
          <w:rPr>
            <w:rStyle w:val="Hyperlink"/>
            <w:rFonts w:cs="Arial"/>
          </w:rPr>
          <w:t>9.1.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Limited Scope Risk Assessment</w:t>
        </w:r>
        <w:r w:rsidR="003A7891">
          <w:rPr>
            <w:webHidden/>
          </w:rPr>
          <w:tab/>
        </w:r>
        <w:r w:rsidR="003A7891">
          <w:rPr>
            <w:webHidden/>
          </w:rPr>
          <w:fldChar w:fldCharType="begin"/>
        </w:r>
        <w:r w:rsidR="003A7891">
          <w:rPr>
            <w:webHidden/>
          </w:rPr>
          <w:instrText xml:space="preserve"> PAGEREF _Toc41905732 \h </w:instrText>
        </w:r>
        <w:r w:rsidR="003A7891">
          <w:rPr>
            <w:webHidden/>
          </w:rPr>
        </w:r>
        <w:r w:rsidR="003A7891">
          <w:rPr>
            <w:webHidden/>
          </w:rPr>
          <w:fldChar w:fldCharType="separate"/>
        </w:r>
        <w:r w:rsidR="003A7891">
          <w:rPr>
            <w:webHidden/>
          </w:rPr>
          <w:t>98</w:t>
        </w:r>
        <w:r w:rsidR="003A7891">
          <w:rPr>
            <w:webHidden/>
          </w:rPr>
          <w:fldChar w:fldCharType="end"/>
        </w:r>
      </w:hyperlink>
    </w:p>
    <w:p w14:paraId="55C91C10" w14:textId="233FC8BE" w:rsidR="003A7891" w:rsidRDefault="003C4809">
      <w:pPr>
        <w:pStyle w:val="TOC3"/>
        <w:rPr>
          <w:rFonts w:asciiTheme="minorHAnsi" w:eastAsiaTheme="minorEastAsia" w:hAnsiTheme="minorHAnsi" w:cstheme="minorBidi"/>
          <w:bCs w:val="0"/>
          <w:noProof/>
          <w:color w:val="auto"/>
          <w:spacing w:val="0"/>
          <w:sz w:val="22"/>
          <w:szCs w:val="22"/>
        </w:rPr>
      </w:pPr>
      <w:hyperlink w:anchor="_Toc41905733" w:history="1">
        <w:r w:rsidR="003A7891" w:rsidRPr="00E171BF">
          <w:rPr>
            <w:rStyle w:val="Hyperlink"/>
            <w:rFonts w:cs="Arial"/>
            <w:noProof/>
            <w14:scene3d>
              <w14:camera w14:prst="orthographicFront"/>
              <w14:lightRig w14:rig="threePt" w14:dir="t">
                <w14:rot w14:lat="0" w14:lon="0" w14:rev="0"/>
              </w14:lightRig>
            </w14:scene3d>
          </w:rPr>
          <w:t>9.1.1.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Modified Generic Risk Assessment</w:t>
        </w:r>
        <w:r w:rsidR="003A7891">
          <w:rPr>
            <w:noProof/>
            <w:webHidden/>
          </w:rPr>
          <w:tab/>
        </w:r>
        <w:r w:rsidR="003A7891">
          <w:rPr>
            <w:noProof/>
            <w:webHidden/>
          </w:rPr>
          <w:fldChar w:fldCharType="begin"/>
        </w:r>
        <w:r w:rsidR="003A7891">
          <w:rPr>
            <w:noProof/>
            <w:webHidden/>
          </w:rPr>
          <w:instrText xml:space="preserve"> PAGEREF _Toc41905733 \h </w:instrText>
        </w:r>
        <w:r w:rsidR="003A7891">
          <w:rPr>
            <w:noProof/>
            <w:webHidden/>
          </w:rPr>
        </w:r>
        <w:r w:rsidR="003A7891">
          <w:rPr>
            <w:noProof/>
            <w:webHidden/>
          </w:rPr>
          <w:fldChar w:fldCharType="separate"/>
        </w:r>
        <w:r w:rsidR="003A7891">
          <w:rPr>
            <w:noProof/>
            <w:webHidden/>
          </w:rPr>
          <w:t>98</w:t>
        </w:r>
        <w:r w:rsidR="003A7891">
          <w:rPr>
            <w:noProof/>
            <w:webHidden/>
          </w:rPr>
          <w:fldChar w:fldCharType="end"/>
        </w:r>
      </w:hyperlink>
    </w:p>
    <w:p w14:paraId="1F467F5C" w14:textId="4BCC0626" w:rsidR="003A7891" w:rsidRDefault="003C4809">
      <w:pPr>
        <w:pStyle w:val="TOC3"/>
        <w:rPr>
          <w:rFonts w:asciiTheme="minorHAnsi" w:eastAsiaTheme="minorEastAsia" w:hAnsiTheme="minorHAnsi" w:cstheme="minorBidi"/>
          <w:bCs w:val="0"/>
          <w:noProof/>
          <w:color w:val="auto"/>
          <w:spacing w:val="0"/>
          <w:sz w:val="22"/>
          <w:szCs w:val="22"/>
        </w:rPr>
      </w:pPr>
      <w:hyperlink w:anchor="_Toc41905734" w:history="1">
        <w:r w:rsidR="003A7891" w:rsidRPr="00E171BF">
          <w:rPr>
            <w:rStyle w:val="Hyperlink"/>
            <w:rFonts w:cs="Arial"/>
            <w:noProof/>
            <w14:scene3d>
              <w14:camera w14:prst="orthographicFront"/>
              <w14:lightRig w14:rig="threePt" w14:dir="t">
                <w14:rot w14:lat="0" w14:lon="0" w14:rev="0"/>
              </w14:lightRig>
            </w14:scene3d>
          </w:rPr>
          <w:t>9.1.2.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Risk Assessment Based on a Community Assessment Report</w:t>
        </w:r>
        <w:r w:rsidR="003A7891">
          <w:rPr>
            <w:noProof/>
            <w:webHidden/>
          </w:rPr>
          <w:tab/>
        </w:r>
        <w:r w:rsidR="003A7891">
          <w:rPr>
            <w:noProof/>
            <w:webHidden/>
          </w:rPr>
          <w:fldChar w:fldCharType="begin"/>
        </w:r>
        <w:r w:rsidR="003A7891">
          <w:rPr>
            <w:noProof/>
            <w:webHidden/>
          </w:rPr>
          <w:instrText xml:space="preserve"> PAGEREF _Toc41905734 \h </w:instrText>
        </w:r>
        <w:r w:rsidR="003A7891">
          <w:rPr>
            <w:noProof/>
            <w:webHidden/>
          </w:rPr>
        </w:r>
        <w:r w:rsidR="003A7891">
          <w:rPr>
            <w:noProof/>
            <w:webHidden/>
          </w:rPr>
          <w:fldChar w:fldCharType="separate"/>
        </w:r>
        <w:r w:rsidR="003A7891">
          <w:rPr>
            <w:noProof/>
            <w:webHidden/>
          </w:rPr>
          <w:t>99</w:t>
        </w:r>
        <w:r w:rsidR="003A7891">
          <w:rPr>
            <w:noProof/>
            <w:webHidden/>
          </w:rPr>
          <w:fldChar w:fldCharType="end"/>
        </w:r>
      </w:hyperlink>
    </w:p>
    <w:p w14:paraId="6E90B553" w14:textId="7A4AE4DE" w:rsidR="003A7891" w:rsidRDefault="003C4809">
      <w:pPr>
        <w:pStyle w:val="TOC2"/>
        <w:rPr>
          <w:rFonts w:asciiTheme="minorHAnsi" w:eastAsiaTheme="minorEastAsia" w:hAnsiTheme="minorHAnsi" w:cstheme="minorBidi"/>
          <w:color w:val="auto"/>
          <w:spacing w:val="0"/>
          <w:sz w:val="22"/>
          <w:szCs w:val="22"/>
        </w:rPr>
      </w:pPr>
      <w:hyperlink w:anchor="_Toc41905735" w:history="1">
        <w:r w:rsidR="003A7891" w:rsidRPr="00E171BF">
          <w:rPr>
            <w:rStyle w:val="Hyperlink"/>
            <w:rFonts w:cs="Arial"/>
          </w:rPr>
          <w:t>9.2.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Estimation of Natural Local Background Concentration Risk Assessment</w:t>
        </w:r>
        <w:r w:rsidR="003A7891">
          <w:rPr>
            <w:webHidden/>
          </w:rPr>
          <w:tab/>
        </w:r>
        <w:r w:rsidR="003A7891">
          <w:rPr>
            <w:webHidden/>
          </w:rPr>
          <w:fldChar w:fldCharType="begin"/>
        </w:r>
        <w:r w:rsidR="003A7891">
          <w:rPr>
            <w:webHidden/>
          </w:rPr>
          <w:instrText xml:space="preserve"> PAGEREF _Toc41905735 \h </w:instrText>
        </w:r>
        <w:r w:rsidR="003A7891">
          <w:rPr>
            <w:webHidden/>
          </w:rPr>
        </w:r>
        <w:r w:rsidR="003A7891">
          <w:rPr>
            <w:webHidden/>
          </w:rPr>
          <w:fldChar w:fldCharType="separate"/>
        </w:r>
        <w:r w:rsidR="003A7891">
          <w:rPr>
            <w:webHidden/>
          </w:rPr>
          <w:t>100</w:t>
        </w:r>
        <w:r w:rsidR="003A7891">
          <w:rPr>
            <w:webHidden/>
          </w:rPr>
          <w:fldChar w:fldCharType="end"/>
        </w:r>
      </w:hyperlink>
    </w:p>
    <w:p w14:paraId="4089273D" w14:textId="073706C5" w:rsidR="003A7891" w:rsidRDefault="003C4809">
      <w:pPr>
        <w:pStyle w:val="TOC2"/>
        <w:rPr>
          <w:rFonts w:asciiTheme="minorHAnsi" w:eastAsiaTheme="minorEastAsia" w:hAnsiTheme="minorHAnsi" w:cstheme="minorBidi"/>
          <w:color w:val="auto"/>
          <w:spacing w:val="0"/>
          <w:sz w:val="22"/>
          <w:szCs w:val="22"/>
        </w:rPr>
      </w:pPr>
      <w:hyperlink w:anchor="_Toc41905736" w:history="1">
        <w:r w:rsidR="003A7891" w:rsidRPr="00E171BF">
          <w:rPr>
            <w:rStyle w:val="Hyperlink"/>
            <w:rFonts w:cs="Arial"/>
          </w:rPr>
          <w:t>9.3.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New Science Risk Assessment</w:t>
        </w:r>
        <w:r w:rsidR="003A7891">
          <w:rPr>
            <w:webHidden/>
          </w:rPr>
          <w:tab/>
        </w:r>
        <w:r w:rsidR="003A7891">
          <w:rPr>
            <w:webHidden/>
          </w:rPr>
          <w:fldChar w:fldCharType="begin"/>
        </w:r>
        <w:r w:rsidR="003A7891">
          <w:rPr>
            <w:webHidden/>
          </w:rPr>
          <w:instrText xml:space="preserve"> PAGEREF _Toc41905736 \h </w:instrText>
        </w:r>
        <w:r w:rsidR="003A7891">
          <w:rPr>
            <w:webHidden/>
          </w:rPr>
        </w:r>
        <w:r w:rsidR="003A7891">
          <w:rPr>
            <w:webHidden/>
          </w:rPr>
          <w:fldChar w:fldCharType="separate"/>
        </w:r>
        <w:r w:rsidR="003A7891">
          <w:rPr>
            <w:webHidden/>
          </w:rPr>
          <w:t>102</w:t>
        </w:r>
        <w:r w:rsidR="003A7891">
          <w:rPr>
            <w:webHidden/>
          </w:rPr>
          <w:fldChar w:fldCharType="end"/>
        </w:r>
      </w:hyperlink>
    </w:p>
    <w:p w14:paraId="68B33330" w14:textId="145A5292" w:rsidR="003A7891" w:rsidRDefault="003C4809">
      <w:pPr>
        <w:pStyle w:val="TOC3"/>
        <w:rPr>
          <w:rFonts w:asciiTheme="minorHAnsi" w:eastAsiaTheme="minorEastAsia" w:hAnsiTheme="minorHAnsi" w:cstheme="minorBidi"/>
          <w:bCs w:val="0"/>
          <w:noProof/>
          <w:color w:val="auto"/>
          <w:spacing w:val="0"/>
          <w:sz w:val="22"/>
          <w:szCs w:val="22"/>
        </w:rPr>
      </w:pPr>
      <w:hyperlink w:anchor="_Toc41905737" w:history="1">
        <w:r w:rsidR="003A7891" w:rsidRPr="00E171BF">
          <w:rPr>
            <w:rStyle w:val="Hyperlink"/>
            <w:rFonts w:cs="Arial"/>
            <w:noProof/>
            <w14:scene3d>
              <w14:camera w14:prst="orthographicFront"/>
              <w14:lightRig w14:rig="threePt" w14:dir="t">
                <w14:rot w14:lat="0" w14:lon="0" w14:rev="0"/>
              </w14:lightRig>
            </w14:scene3d>
          </w:rPr>
          <w:t>9.3.1.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No Applicable Site Condition Standard for a COC</w:t>
        </w:r>
        <w:r w:rsidR="003A7891">
          <w:rPr>
            <w:noProof/>
            <w:webHidden/>
          </w:rPr>
          <w:tab/>
        </w:r>
        <w:r w:rsidR="003A7891">
          <w:rPr>
            <w:noProof/>
            <w:webHidden/>
          </w:rPr>
          <w:fldChar w:fldCharType="begin"/>
        </w:r>
        <w:r w:rsidR="003A7891">
          <w:rPr>
            <w:noProof/>
            <w:webHidden/>
          </w:rPr>
          <w:instrText xml:space="preserve"> PAGEREF _Toc41905737 \h </w:instrText>
        </w:r>
        <w:r w:rsidR="003A7891">
          <w:rPr>
            <w:noProof/>
            <w:webHidden/>
          </w:rPr>
        </w:r>
        <w:r w:rsidR="003A7891">
          <w:rPr>
            <w:noProof/>
            <w:webHidden/>
          </w:rPr>
          <w:fldChar w:fldCharType="separate"/>
        </w:r>
        <w:r w:rsidR="003A7891">
          <w:rPr>
            <w:noProof/>
            <w:webHidden/>
          </w:rPr>
          <w:t>102</w:t>
        </w:r>
        <w:r w:rsidR="003A7891">
          <w:rPr>
            <w:noProof/>
            <w:webHidden/>
          </w:rPr>
          <w:fldChar w:fldCharType="end"/>
        </w:r>
      </w:hyperlink>
    </w:p>
    <w:p w14:paraId="3DBFA516" w14:textId="7CB13C74" w:rsidR="003A7891" w:rsidRDefault="003C4809">
      <w:pPr>
        <w:pStyle w:val="TOC3"/>
        <w:rPr>
          <w:rFonts w:asciiTheme="minorHAnsi" w:eastAsiaTheme="minorEastAsia" w:hAnsiTheme="minorHAnsi" w:cstheme="minorBidi"/>
          <w:bCs w:val="0"/>
          <w:noProof/>
          <w:color w:val="auto"/>
          <w:spacing w:val="0"/>
          <w:sz w:val="22"/>
          <w:szCs w:val="22"/>
        </w:rPr>
      </w:pPr>
      <w:hyperlink w:anchor="_Toc41905738" w:history="1">
        <w:r w:rsidR="003A7891" w:rsidRPr="00E171BF">
          <w:rPr>
            <w:rStyle w:val="Hyperlink"/>
            <w:rFonts w:cs="Arial"/>
            <w:noProof/>
            <w14:scene3d>
              <w14:camera w14:prst="orthographicFront"/>
              <w14:lightRig w14:rig="threePt" w14:dir="t">
                <w14:rot w14:lat="0" w14:lon="0" w14:rev="0"/>
              </w14:lightRig>
            </w14:scene3d>
          </w:rPr>
          <w:t>9.3.2.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Use of Proprietary Computer Models</w:t>
        </w:r>
        <w:r w:rsidR="003A7891">
          <w:rPr>
            <w:noProof/>
            <w:webHidden/>
          </w:rPr>
          <w:tab/>
        </w:r>
        <w:r w:rsidR="003A7891">
          <w:rPr>
            <w:noProof/>
            <w:webHidden/>
          </w:rPr>
          <w:fldChar w:fldCharType="begin"/>
        </w:r>
        <w:r w:rsidR="003A7891">
          <w:rPr>
            <w:noProof/>
            <w:webHidden/>
          </w:rPr>
          <w:instrText xml:space="preserve"> PAGEREF _Toc41905738 \h </w:instrText>
        </w:r>
        <w:r w:rsidR="003A7891">
          <w:rPr>
            <w:noProof/>
            <w:webHidden/>
          </w:rPr>
        </w:r>
        <w:r w:rsidR="003A7891">
          <w:rPr>
            <w:noProof/>
            <w:webHidden/>
          </w:rPr>
          <w:fldChar w:fldCharType="separate"/>
        </w:r>
        <w:r w:rsidR="003A7891">
          <w:rPr>
            <w:noProof/>
            <w:webHidden/>
          </w:rPr>
          <w:t>103</w:t>
        </w:r>
        <w:r w:rsidR="003A7891">
          <w:rPr>
            <w:noProof/>
            <w:webHidden/>
          </w:rPr>
          <w:fldChar w:fldCharType="end"/>
        </w:r>
      </w:hyperlink>
    </w:p>
    <w:p w14:paraId="7C2CFF00" w14:textId="20D5B81B" w:rsidR="003A7891" w:rsidRDefault="003C4809">
      <w:pPr>
        <w:pStyle w:val="TOC3"/>
        <w:rPr>
          <w:rFonts w:asciiTheme="minorHAnsi" w:eastAsiaTheme="minorEastAsia" w:hAnsiTheme="minorHAnsi" w:cstheme="minorBidi"/>
          <w:bCs w:val="0"/>
          <w:noProof/>
          <w:color w:val="auto"/>
          <w:spacing w:val="0"/>
          <w:sz w:val="22"/>
          <w:szCs w:val="22"/>
        </w:rPr>
      </w:pPr>
      <w:hyperlink w:anchor="_Toc41905739" w:history="1">
        <w:r w:rsidR="003A7891" w:rsidRPr="00E171BF">
          <w:rPr>
            <w:rStyle w:val="Hyperlink"/>
            <w:rFonts w:cs="Arial"/>
            <w:noProof/>
            <w14:scene3d>
              <w14:camera w14:prst="orthographicFront"/>
              <w14:lightRig w14:rig="threePt" w14:dir="t">
                <w14:rot w14:lat="0" w14:lon="0" w14:rev="0"/>
              </w14:lightRig>
            </w14:scene3d>
          </w:rPr>
          <w:t>9.3.3.</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Use of Probabilistic Models</w:t>
        </w:r>
        <w:r w:rsidR="003A7891">
          <w:rPr>
            <w:noProof/>
            <w:webHidden/>
          </w:rPr>
          <w:tab/>
        </w:r>
        <w:r w:rsidR="003A7891">
          <w:rPr>
            <w:noProof/>
            <w:webHidden/>
          </w:rPr>
          <w:fldChar w:fldCharType="begin"/>
        </w:r>
        <w:r w:rsidR="003A7891">
          <w:rPr>
            <w:noProof/>
            <w:webHidden/>
          </w:rPr>
          <w:instrText xml:space="preserve"> PAGEREF _Toc41905739 \h </w:instrText>
        </w:r>
        <w:r w:rsidR="003A7891">
          <w:rPr>
            <w:noProof/>
            <w:webHidden/>
          </w:rPr>
        </w:r>
        <w:r w:rsidR="003A7891">
          <w:rPr>
            <w:noProof/>
            <w:webHidden/>
          </w:rPr>
          <w:fldChar w:fldCharType="separate"/>
        </w:r>
        <w:r w:rsidR="003A7891">
          <w:rPr>
            <w:noProof/>
            <w:webHidden/>
          </w:rPr>
          <w:t>105</w:t>
        </w:r>
        <w:r w:rsidR="003A7891">
          <w:rPr>
            <w:noProof/>
            <w:webHidden/>
          </w:rPr>
          <w:fldChar w:fldCharType="end"/>
        </w:r>
      </w:hyperlink>
    </w:p>
    <w:p w14:paraId="653FA42D" w14:textId="1DAEBAE3" w:rsidR="003A7891" w:rsidRDefault="003C4809">
      <w:pPr>
        <w:pStyle w:val="TOC2"/>
        <w:rPr>
          <w:rFonts w:asciiTheme="minorHAnsi" w:eastAsiaTheme="minorEastAsia" w:hAnsiTheme="minorHAnsi" w:cstheme="minorBidi"/>
          <w:color w:val="auto"/>
          <w:spacing w:val="0"/>
          <w:sz w:val="22"/>
          <w:szCs w:val="22"/>
        </w:rPr>
      </w:pPr>
      <w:hyperlink w:anchor="_Toc41905740" w:history="1">
        <w:r w:rsidR="003A7891" w:rsidRPr="00E171BF">
          <w:rPr>
            <w:rStyle w:val="Hyperlink"/>
            <w:rFonts w:cs="Arial"/>
          </w:rPr>
          <w:t>9.4.</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Wider Area of Abatement Risk Assessment</w:t>
        </w:r>
        <w:r w:rsidR="003A7891">
          <w:rPr>
            <w:webHidden/>
          </w:rPr>
          <w:tab/>
        </w:r>
        <w:r w:rsidR="003A7891">
          <w:rPr>
            <w:webHidden/>
          </w:rPr>
          <w:fldChar w:fldCharType="begin"/>
        </w:r>
        <w:r w:rsidR="003A7891">
          <w:rPr>
            <w:webHidden/>
          </w:rPr>
          <w:instrText xml:space="preserve"> PAGEREF _Toc41905740 \h </w:instrText>
        </w:r>
        <w:r w:rsidR="003A7891">
          <w:rPr>
            <w:webHidden/>
          </w:rPr>
        </w:r>
        <w:r w:rsidR="003A7891">
          <w:rPr>
            <w:webHidden/>
          </w:rPr>
          <w:fldChar w:fldCharType="separate"/>
        </w:r>
        <w:r w:rsidR="003A7891">
          <w:rPr>
            <w:webHidden/>
          </w:rPr>
          <w:t>105</w:t>
        </w:r>
        <w:r w:rsidR="003A7891">
          <w:rPr>
            <w:webHidden/>
          </w:rPr>
          <w:fldChar w:fldCharType="end"/>
        </w:r>
      </w:hyperlink>
    </w:p>
    <w:p w14:paraId="558A31E1" w14:textId="44847314" w:rsidR="003A7891" w:rsidRDefault="003C4809">
      <w:pPr>
        <w:pStyle w:val="TOC1"/>
        <w:rPr>
          <w:rFonts w:asciiTheme="minorHAnsi" w:eastAsiaTheme="minorEastAsia" w:hAnsiTheme="minorHAnsi" w:cstheme="minorBidi"/>
          <w:b w:val="0"/>
          <w:color w:val="auto"/>
          <w:spacing w:val="0"/>
          <w:sz w:val="22"/>
          <w:szCs w:val="22"/>
        </w:rPr>
      </w:pPr>
      <w:hyperlink w:anchor="_Toc41905741" w:history="1">
        <w:r w:rsidR="003A7891" w:rsidRPr="00E171BF">
          <w:rPr>
            <w:rStyle w:val="Hyperlink"/>
          </w:rPr>
          <w:t>Section 10.</w:t>
        </w:r>
        <w:r w:rsidR="003A7891">
          <w:rPr>
            <w:rFonts w:asciiTheme="minorHAnsi" w:eastAsiaTheme="minorEastAsia" w:hAnsiTheme="minorHAnsi" w:cstheme="minorBidi"/>
            <w:b w:val="0"/>
            <w:color w:val="auto"/>
            <w:spacing w:val="0"/>
            <w:sz w:val="22"/>
            <w:szCs w:val="22"/>
          </w:rPr>
          <w:tab/>
        </w:r>
        <w:r w:rsidR="003A7891" w:rsidRPr="00E171BF">
          <w:rPr>
            <w:rStyle w:val="Hyperlink"/>
          </w:rPr>
          <w:t>Risk Assessment Submission and Review Process</w:t>
        </w:r>
        <w:r w:rsidR="003A7891">
          <w:rPr>
            <w:webHidden/>
          </w:rPr>
          <w:tab/>
        </w:r>
        <w:r w:rsidR="003A7891">
          <w:rPr>
            <w:webHidden/>
          </w:rPr>
          <w:fldChar w:fldCharType="begin"/>
        </w:r>
        <w:r w:rsidR="003A7891">
          <w:rPr>
            <w:webHidden/>
          </w:rPr>
          <w:instrText xml:space="preserve"> PAGEREF _Toc41905741 \h </w:instrText>
        </w:r>
        <w:r w:rsidR="003A7891">
          <w:rPr>
            <w:webHidden/>
          </w:rPr>
        </w:r>
        <w:r w:rsidR="003A7891">
          <w:rPr>
            <w:webHidden/>
          </w:rPr>
          <w:fldChar w:fldCharType="separate"/>
        </w:r>
        <w:r w:rsidR="003A7891">
          <w:rPr>
            <w:webHidden/>
          </w:rPr>
          <w:t>107</w:t>
        </w:r>
        <w:r w:rsidR="003A7891">
          <w:rPr>
            <w:webHidden/>
          </w:rPr>
          <w:fldChar w:fldCharType="end"/>
        </w:r>
      </w:hyperlink>
    </w:p>
    <w:p w14:paraId="31A87548" w14:textId="5E492787" w:rsidR="003A7891" w:rsidRDefault="003C4809">
      <w:pPr>
        <w:pStyle w:val="TOC2"/>
        <w:rPr>
          <w:rFonts w:asciiTheme="minorHAnsi" w:eastAsiaTheme="minorEastAsia" w:hAnsiTheme="minorHAnsi" w:cstheme="minorBidi"/>
          <w:color w:val="auto"/>
          <w:spacing w:val="0"/>
          <w:sz w:val="22"/>
          <w:szCs w:val="22"/>
        </w:rPr>
      </w:pPr>
      <w:hyperlink w:anchor="_Toc41905742" w:history="1">
        <w:r w:rsidR="003A7891" w:rsidRPr="00E171BF">
          <w:rPr>
            <w:rStyle w:val="Hyperlink"/>
            <w:rFonts w:cs="Arial"/>
          </w:rPr>
          <w:t>10.1.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Summary of Risk Assessment Process</w:t>
        </w:r>
        <w:r w:rsidR="003A7891">
          <w:rPr>
            <w:webHidden/>
          </w:rPr>
          <w:tab/>
        </w:r>
        <w:r w:rsidR="003A7891">
          <w:rPr>
            <w:webHidden/>
          </w:rPr>
          <w:fldChar w:fldCharType="begin"/>
        </w:r>
        <w:r w:rsidR="003A7891">
          <w:rPr>
            <w:webHidden/>
          </w:rPr>
          <w:instrText xml:space="preserve"> PAGEREF _Toc41905742 \h </w:instrText>
        </w:r>
        <w:r w:rsidR="003A7891">
          <w:rPr>
            <w:webHidden/>
          </w:rPr>
        </w:r>
        <w:r w:rsidR="003A7891">
          <w:rPr>
            <w:webHidden/>
          </w:rPr>
          <w:fldChar w:fldCharType="separate"/>
        </w:r>
        <w:r w:rsidR="003A7891">
          <w:rPr>
            <w:webHidden/>
          </w:rPr>
          <w:t>107</w:t>
        </w:r>
        <w:r w:rsidR="003A7891">
          <w:rPr>
            <w:webHidden/>
          </w:rPr>
          <w:fldChar w:fldCharType="end"/>
        </w:r>
      </w:hyperlink>
    </w:p>
    <w:p w14:paraId="26A81E41" w14:textId="6F101BE8" w:rsidR="003A7891" w:rsidRDefault="003C4809">
      <w:pPr>
        <w:pStyle w:val="TOC2"/>
        <w:rPr>
          <w:rFonts w:asciiTheme="minorHAnsi" w:eastAsiaTheme="minorEastAsia" w:hAnsiTheme="minorHAnsi" w:cstheme="minorBidi"/>
          <w:color w:val="auto"/>
          <w:spacing w:val="0"/>
          <w:sz w:val="22"/>
          <w:szCs w:val="22"/>
        </w:rPr>
      </w:pPr>
      <w:hyperlink w:anchor="_Toc41905743" w:history="1">
        <w:r w:rsidR="003A7891" w:rsidRPr="00E171BF">
          <w:rPr>
            <w:rStyle w:val="Hyperlink"/>
            <w:rFonts w:cs="Arial"/>
          </w:rPr>
          <w:t>10.2.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Ministry Review and Decision Making</w:t>
        </w:r>
        <w:r w:rsidR="003A7891">
          <w:rPr>
            <w:webHidden/>
          </w:rPr>
          <w:tab/>
        </w:r>
        <w:r w:rsidR="003A7891">
          <w:rPr>
            <w:webHidden/>
          </w:rPr>
          <w:fldChar w:fldCharType="begin"/>
        </w:r>
        <w:r w:rsidR="003A7891">
          <w:rPr>
            <w:webHidden/>
          </w:rPr>
          <w:instrText xml:space="preserve"> PAGEREF _Toc41905743 \h </w:instrText>
        </w:r>
        <w:r w:rsidR="003A7891">
          <w:rPr>
            <w:webHidden/>
          </w:rPr>
        </w:r>
        <w:r w:rsidR="003A7891">
          <w:rPr>
            <w:webHidden/>
          </w:rPr>
          <w:fldChar w:fldCharType="separate"/>
        </w:r>
        <w:r w:rsidR="003A7891">
          <w:rPr>
            <w:webHidden/>
          </w:rPr>
          <w:t>108</w:t>
        </w:r>
        <w:r w:rsidR="003A7891">
          <w:rPr>
            <w:webHidden/>
          </w:rPr>
          <w:fldChar w:fldCharType="end"/>
        </w:r>
      </w:hyperlink>
    </w:p>
    <w:p w14:paraId="1A9D67F3" w14:textId="7EF4DD1E" w:rsidR="003A7891" w:rsidRDefault="003C4809">
      <w:pPr>
        <w:pStyle w:val="TOC3"/>
        <w:rPr>
          <w:rFonts w:asciiTheme="minorHAnsi" w:eastAsiaTheme="minorEastAsia" w:hAnsiTheme="minorHAnsi" w:cstheme="minorBidi"/>
          <w:bCs w:val="0"/>
          <w:noProof/>
          <w:color w:val="auto"/>
          <w:spacing w:val="0"/>
          <w:sz w:val="22"/>
          <w:szCs w:val="22"/>
        </w:rPr>
      </w:pPr>
      <w:hyperlink w:anchor="_Toc41905744" w:history="1">
        <w:r w:rsidR="003A7891" w:rsidRPr="00E171BF">
          <w:rPr>
            <w:rStyle w:val="Hyperlink"/>
            <w:rFonts w:cs="Arial"/>
            <w:noProof/>
            <w14:scene3d>
              <w14:camera w14:prst="orthographicFront"/>
              <w14:lightRig w14:rig="threePt" w14:dir="t">
                <w14:rot w14:lat="0" w14:lon="0" w14:rev="0"/>
              </w14:lightRig>
            </w14:scene3d>
          </w:rPr>
          <w:t>10.2.1.</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Notice of Circumstance</w:t>
        </w:r>
        <w:r w:rsidR="003A7891">
          <w:rPr>
            <w:noProof/>
            <w:webHidden/>
          </w:rPr>
          <w:tab/>
        </w:r>
        <w:r w:rsidR="003A7891">
          <w:rPr>
            <w:noProof/>
            <w:webHidden/>
          </w:rPr>
          <w:fldChar w:fldCharType="begin"/>
        </w:r>
        <w:r w:rsidR="003A7891">
          <w:rPr>
            <w:noProof/>
            <w:webHidden/>
          </w:rPr>
          <w:instrText xml:space="preserve"> PAGEREF _Toc41905744 \h </w:instrText>
        </w:r>
        <w:r w:rsidR="003A7891">
          <w:rPr>
            <w:noProof/>
            <w:webHidden/>
          </w:rPr>
        </w:r>
        <w:r w:rsidR="003A7891">
          <w:rPr>
            <w:noProof/>
            <w:webHidden/>
          </w:rPr>
          <w:fldChar w:fldCharType="separate"/>
        </w:r>
        <w:r w:rsidR="003A7891">
          <w:rPr>
            <w:noProof/>
            <w:webHidden/>
          </w:rPr>
          <w:t>109</w:t>
        </w:r>
        <w:r w:rsidR="003A7891">
          <w:rPr>
            <w:noProof/>
            <w:webHidden/>
          </w:rPr>
          <w:fldChar w:fldCharType="end"/>
        </w:r>
      </w:hyperlink>
    </w:p>
    <w:p w14:paraId="23A9A1EE" w14:textId="45FBEC44" w:rsidR="003A7891" w:rsidRDefault="003C4809">
      <w:pPr>
        <w:pStyle w:val="TOC3"/>
        <w:rPr>
          <w:rFonts w:asciiTheme="minorHAnsi" w:eastAsiaTheme="minorEastAsia" w:hAnsiTheme="minorHAnsi" w:cstheme="minorBidi"/>
          <w:bCs w:val="0"/>
          <w:noProof/>
          <w:color w:val="auto"/>
          <w:spacing w:val="0"/>
          <w:sz w:val="22"/>
          <w:szCs w:val="22"/>
        </w:rPr>
      </w:pPr>
      <w:hyperlink w:anchor="_Toc41905745" w:history="1">
        <w:r w:rsidR="003A7891" w:rsidRPr="00E171BF">
          <w:rPr>
            <w:rStyle w:val="Hyperlink"/>
            <w:rFonts w:cs="Arial"/>
            <w:noProof/>
            <w14:scene3d>
              <w14:camera w14:prst="orthographicFront"/>
              <w14:lightRig w14:rig="threePt" w14:dir="t">
                <w14:rot w14:lat="0" w14:lon="0" w14:rev="0"/>
              </w14:lightRig>
            </w14:scene3d>
          </w:rPr>
          <w:t>10.2.2.</w:t>
        </w:r>
        <w:r w:rsidR="003A7891">
          <w:rPr>
            <w:rFonts w:asciiTheme="minorHAnsi" w:eastAsiaTheme="minorEastAsia" w:hAnsiTheme="minorHAnsi" w:cstheme="minorBidi"/>
            <w:bCs w:val="0"/>
            <w:noProof/>
            <w:color w:val="auto"/>
            <w:spacing w:val="0"/>
            <w:sz w:val="22"/>
            <w:szCs w:val="22"/>
          </w:rPr>
          <w:tab/>
        </w:r>
        <w:r w:rsidR="003A7891" w:rsidRPr="00E171BF">
          <w:rPr>
            <w:rStyle w:val="Hyperlink"/>
            <w:rFonts w:cs="Arial"/>
            <w:noProof/>
          </w:rPr>
          <w:t>Decision to “Accept” or “Not Accept” the Risk Assessment</w:t>
        </w:r>
        <w:r w:rsidR="003A7891">
          <w:rPr>
            <w:noProof/>
            <w:webHidden/>
          </w:rPr>
          <w:tab/>
        </w:r>
        <w:r w:rsidR="003A7891">
          <w:rPr>
            <w:noProof/>
            <w:webHidden/>
          </w:rPr>
          <w:fldChar w:fldCharType="begin"/>
        </w:r>
        <w:r w:rsidR="003A7891">
          <w:rPr>
            <w:noProof/>
            <w:webHidden/>
          </w:rPr>
          <w:instrText xml:space="preserve"> PAGEREF _Toc41905745 \h </w:instrText>
        </w:r>
        <w:r w:rsidR="003A7891">
          <w:rPr>
            <w:noProof/>
            <w:webHidden/>
          </w:rPr>
        </w:r>
        <w:r w:rsidR="003A7891">
          <w:rPr>
            <w:noProof/>
            <w:webHidden/>
          </w:rPr>
          <w:fldChar w:fldCharType="separate"/>
        </w:r>
        <w:r w:rsidR="003A7891">
          <w:rPr>
            <w:noProof/>
            <w:webHidden/>
          </w:rPr>
          <w:t>109</w:t>
        </w:r>
        <w:r w:rsidR="003A7891">
          <w:rPr>
            <w:noProof/>
            <w:webHidden/>
          </w:rPr>
          <w:fldChar w:fldCharType="end"/>
        </w:r>
      </w:hyperlink>
    </w:p>
    <w:p w14:paraId="3DB5FA55" w14:textId="779FE3D5" w:rsidR="003A7891" w:rsidRDefault="003C4809">
      <w:pPr>
        <w:pStyle w:val="TOC2"/>
        <w:rPr>
          <w:rFonts w:asciiTheme="minorHAnsi" w:eastAsiaTheme="minorEastAsia" w:hAnsiTheme="minorHAnsi" w:cstheme="minorBidi"/>
          <w:color w:val="auto"/>
          <w:spacing w:val="0"/>
          <w:sz w:val="22"/>
          <w:szCs w:val="22"/>
        </w:rPr>
      </w:pPr>
      <w:hyperlink w:anchor="_Toc41905746" w:history="1">
        <w:r w:rsidR="003A7891" w:rsidRPr="00E171BF">
          <w:rPr>
            <w:rStyle w:val="Hyperlink"/>
            <w:rFonts w:cs="Arial"/>
          </w:rPr>
          <w:t>10.3.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Additional Considerations</w:t>
        </w:r>
        <w:r w:rsidR="003A7891">
          <w:rPr>
            <w:webHidden/>
          </w:rPr>
          <w:tab/>
        </w:r>
        <w:r w:rsidR="003A7891">
          <w:rPr>
            <w:webHidden/>
          </w:rPr>
          <w:fldChar w:fldCharType="begin"/>
        </w:r>
        <w:r w:rsidR="003A7891">
          <w:rPr>
            <w:webHidden/>
          </w:rPr>
          <w:instrText xml:space="preserve"> PAGEREF _Toc41905746 \h </w:instrText>
        </w:r>
        <w:r w:rsidR="003A7891">
          <w:rPr>
            <w:webHidden/>
          </w:rPr>
        </w:r>
        <w:r w:rsidR="003A7891">
          <w:rPr>
            <w:webHidden/>
          </w:rPr>
          <w:fldChar w:fldCharType="separate"/>
        </w:r>
        <w:r w:rsidR="003A7891">
          <w:rPr>
            <w:webHidden/>
          </w:rPr>
          <w:t>109</w:t>
        </w:r>
        <w:r w:rsidR="003A7891">
          <w:rPr>
            <w:webHidden/>
          </w:rPr>
          <w:fldChar w:fldCharType="end"/>
        </w:r>
      </w:hyperlink>
    </w:p>
    <w:p w14:paraId="095164AD" w14:textId="606AF4AF" w:rsidR="003A7891" w:rsidRDefault="003C4809">
      <w:pPr>
        <w:pStyle w:val="TOC1"/>
        <w:rPr>
          <w:rFonts w:asciiTheme="minorHAnsi" w:eastAsiaTheme="minorEastAsia" w:hAnsiTheme="minorHAnsi" w:cstheme="minorBidi"/>
          <w:b w:val="0"/>
          <w:color w:val="auto"/>
          <w:spacing w:val="0"/>
          <w:sz w:val="22"/>
          <w:szCs w:val="22"/>
        </w:rPr>
      </w:pPr>
      <w:hyperlink w:anchor="_Toc41905747" w:history="1">
        <w:r w:rsidR="003A7891" w:rsidRPr="00E171BF">
          <w:rPr>
            <w:rStyle w:val="Hyperlink"/>
          </w:rPr>
          <w:t>Section 11.</w:t>
        </w:r>
        <w:r w:rsidR="003A7891">
          <w:rPr>
            <w:rFonts w:asciiTheme="minorHAnsi" w:eastAsiaTheme="minorEastAsia" w:hAnsiTheme="minorHAnsi" w:cstheme="minorBidi"/>
            <w:b w:val="0"/>
            <w:color w:val="auto"/>
            <w:spacing w:val="0"/>
            <w:sz w:val="22"/>
            <w:szCs w:val="22"/>
          </w:rPr>
          <w:tab/>
        </w:r>
        <w:r w:rsidR="003A7891" w:rsidRPr="00E171BF">
          <w:rPr>
            <w:rStyle w:val="Hyperlink"/>
          </w:rPr>
          <w:t>Resources and References for Risk Assessment</w:t>
        </w:r>
        <w:r w:rsidR="003A7891">
          <w:rPr>
            <w:webHidden/>
          </w:rPr>
          <w:tab/>
        </w:r>
        <w:r w:rsidR="003A7891">
          <w:rPr>
            <w:webHidden/>
          </w:rPr>
          <w:fldChar w:fldCharType="begin"/>
        </w:r>
        <w:r w:rsidR="003A7891">
          <w:rPr>
            <w:webHidden/>
          </w:rPr>
          <w:instrText xml:space="preserve"> PAGEREF _Toc41905747 \h </w:instrText>
        </w:r>
        <w:r w:rsidR="003A7891">
          <w:rPr>
            <w:webHidden/>
          </w:rPr>
        </w:r>
        <w:r w:rsidR="003A7891">
          <w:rPr>
            <w:webHidden/>
          </w:rPr>
          <w:fldChar w:fldCharType="separate"/>
        </w:r>
        <w:r w:rsidR="003A7891">
          <w:rPr>
            <w:webHidden/>
          </w:rPr>
          <w:t>111</w:t>
        </w:r>
        <w:r w:rsidR="003A7891">
          <w:rPr>
            <w:webHidden/>
          </w:rPr>
          <w:fldChar w:fldCharType="end"/>
        </w:r>
      </w:hyperlink>
    </w:p>
    <w:p w14:paraId="128FF381" w14:textId="06CA679C" w:rsidR="003A7891" w:rsidRDefault="003C4809">
      <w:pPr>
        <w:pStyle w:val="TOC2"/>
        <w:rPr>
          <w:rFonts w:asciiTheme="minorHAnsi" w:eastAsiaTheme="minorEastAsia" w:hAnsiTheme="minorHAnsi" w:cstheme="minorBidi"/>
          <w:color w:val="auto"/>
          <w:spacing w:val="0"/>
          <w:sz w:val="22"/>
          <w:szCs w:val="22"/>
        </w:rPr>
      </w:pPr>
      <w:hyperlink w:anchor="_Toc41905748" w:history="1">
        <w:r w:rsidR="003A7891" w:rsidRPr="00E171BF">
          <w:rPr>
            <w:rStyle w:val="Hyperlink"/>
            <w:rFonts w:cs="Arial"/>
          </w:rPr>
          <w:t>11.1.</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Ministry Guidance and Resources</w:t>
        </w:r>
        <w:r w:rsidR="003A7891">
          <w:rPr>
            <w:webHidden/>
          </w:rPr>
          <w:tab/>
        </w:r>
        <w:r w:rsidR="003A7891">
          <w:rPr>
            <w:webHidden/>
          </w:rPr>
          <w:fldChar w:fldCharType="begin"/>
        </w:r>
        <w:r w:rsidR="003A7891">
          <w:rPr>
            <w:webHidden/>
          </w:rPr>
          <w:instrText xml:space="preserve"> PAGEREF _Toc41905748 \h </w:instrText>
        </w:r>
        <w:r w:rsidR="003A7891">
          <w:rPr>
            <w:webHidden/>
          </w:rPr>
        </w:r>
        <w:r w:rsidR="003A7891">
          <w:rPr>
            <w:webHidden/>
          </w:rPr>
          <w:fldChar w:fldCharType="separate"/>
        </w:r>
        <w:r w:rsidR="003A7891">
          <w:rPr>
            <w:webHidden/>
          </w:rPr>
          <w:t>111</w:t>
        </w:r>
        <w:r w:rsidR="003A7891">
          <w:rPr>
            <w:webHidden/>
          </w:rPr>
          <w:fldChar w:fldCharType="end"/>
        </w:r>
      </w:hyperlink>
    </w:p>
    <w:p w14:paraId="377D473F" w14:textId="61E918FC" w:rsidR="003A7891" w:rsidRDefault="003C4809">
      <w:pPr>
        <w:pStyle w:val="TOC2"/>
        <w:rPr>
          <w:rFonts w:asciiTheme="minorHAnsi" w:eastAsiaTheme="minorEastAsia" w:hAnsiTheme="minorHAnsi" w:cstheme="minorBidi"/>
          <w:color w:val="auto"/>
          <w:spacing w:val="0"/>
          <w:sz w:val="22"/>
          <w:szCs w:val="22"/>
        </w:rPr>
      </w:pPr>
      <w:hyperlink w:anchor="_Toc41905749" w:history="1">
        <w:r w:rsidR="003A7891" w:rsidRPr="00E171BF">
          <w:rPr>
            <w:rStyle w:val="Hyperlink"/>
            <w:rFonts w:cs="Arial"/>
          </w:rPr>
          <w:t>11.2.</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Useful References for Human Health Risk Assessment</w:t>
        </w:r>
        <w:r w:rsidR="003A7891">
          <w:rPr>
            <w:webHidden/>
          </w:rPr>
          <w:tab/>
        </w:r>
        <w:r w:rsidR="003A7891">
          <w:rPr>
            <w:webHidden/>
          </w:rPr>
          <w:fldChar w:fldCharType="begin"/>
        </w:r>
        <w:r w:rsidR="003A7891">
          <w:rPr>
            <w:webHidden/>
          </w:rPr>
          <w:instrText xml:space="preserve"> PAGEREF _Toc41905749 \h </w:instrText>
        </w:r>
        <w:r w:rsidR="003A7891">
          <w:rPr>
            <w:webHidden/>
          </w:rPr>
        </w:r>
        <w:r w:rsidR="003A7891">
          <w:rPr>
            <w:webHidden/>
          </w:rPr>
          <w:fldChar w:fldCharType="separate"/>
        </w:r>
        <w:r w:rsidR="003A7891">
          <w:rPr>
            <w:webHidden/>
          </w:rPr>
          <w:t>112</w:t>
        </w:r>
        <w:r w:rsidR="003A7891">
          <w:rPr>
            <w:webHidden/>
          </w:rPr>
          <w:fldChar w:fldCharType="end"/>
        </w:r>
      </w:hyperlink>
    </w:p>
    <w:p w14:paraId="5C231C3E" w14:textId="57816C17" w:rsidR="003A7891" w:rsidRDefault="003C4809">
      <w:pPr>
        <w:pStyle w:val="TOC2"/>
        <w:rPr>
          <w:rFonts w:asciiTheme="minorHAnsi" w:eastAsiaTheme="minorEastAsia" w:hAnsiTheme="minorHAnsi" w:cstheme="minorBidi"/>
          <w:color w:val="auto"/>
          <w:spacing w:val="0"/>
          <w:sz w:val="22"/>
          <w:szCs w:val="22"/>
        </w:rPr>
      </w:pPr>
      <w:hyperlink w:anchor="_Toc41905750" w:history="1">
        <w:r w:rsidR="003A7891" w:rsidRPr="00E171BF">
          <w:rPr>
            <w:rStyle w:val="Hyperlink"/>
            <w:rFonts w:cs="Arial"/>
          </w:rPr>
          <w:t>11.3.</w:t>
        </w:r>
        <w:r w:rsidR="003A7891">
          <w:rPr>
            <w:rFonts w:asciiTheme="minorHAnsi" w:eastAsiaTheme="minorEastAsia" w:hAnsiTheme="minorHAnsi" w:cstheme="minorBidi"/>
            <w:color w:val="auto"/>
            <w:spacing w:val="0"/>
            <w:sz w:val="22"/>
            <w:szCs w:val="22"/>
          </w:rPr>
          <w:tab/>
        </w:r>
        <w:r w:rsidR="003A7891" w:rsidRPr="00E171BF">
          <w:rPr>
            <w:rStyle w:val="Hyperlink"/>
            <w:rFonts w:cs="Arial"/>
          </w:rPr>
          <w:t>Useful References for Conducting Ecological Risk Assessments</w:t>
        </w:r>
        <w:r w:rsidR="003A7891">
          <w:rPr>
            <w:webHidden/>
          </w:rPr>
          <w:tab/>
        </w:r>
        <w:r w:rsidR="003A7891">
          <w:rPr>
            <w:webHidden/>
          </w:rPr>
          <w:fldChar w:fldCharType="begin"/>
        </w:r>
        <w:r w:rsidR="003A7891">
          <w:rPr>
            <w:webHidden/>
          </w:rPr>
          <w:instrText xml:space="preserve"> PAGEREF _Toc41905750 \h </w:instrText>
        </w:r>
        <w:r w:rsidR="003A7891">
          <w:rPr>
            <w:webHidden/>
          </w:rPr>
        </w:r>
        <w:r w:rsidR="003A7891">
          <w:rPr>
            <w:webHidden/>
          </w:rPr>
          <w:fldChar w:fldCharType="separate"/>
        </w:r>
        <w:r w:rsidR="003A7891">
          <w:rPr>
            <w:webHidden/>
          </w:rPr>
          <w:t>116</w:t>
        </w:r>
        <w:r w:rsidR="003A7891">
          <w:rPr>
            <w:webHidden/>
          </w:rPr>
          <w:fldChar w:fldCharType="end"/>
        </w:r>
      </w:hyperlink>
    </w:p>
    <w:p w14:paraId="49FF66FE" w14:textId="229E279E" w:rsidR="003A7891" w:rsidRDefault="003C4809">
      <w:pPr>
        <w:pStyle w:val="TOC1"/>
        <w:rPr>
          <w:rFonts w:asciiTheme="minorHAnsi" w:eastAsiaTheme="minorEastAsia" w:hAnsiTheme="minorHAnsi" w:cstheme="minorBidi"/>
          <w:b w:val="0"/>
          <w:color w:val="auto"/>
          <w:spacing w:val="0"/>
          <w:sz w:val="22"/>
          <w:szCs w:val="22"/>
        </w:rPr>
      </w:pPr>
      <w:hyperlink w:anchor="_Toc41905751" w:history="1">
        <w:r w:rsidR="003A7891" w:rsidRPr="00E171BF">
          <w:rPr>
            <w:rStyle w:val="Hyperlink"/>
          </w:rPr>
          <w:t>Appendix A – Lawyer’s Letter Template</w:t>
        </w:r>
        <w:r w:rsidR="003A7891">
          <w:rPr>
            <w:webHidden/>
          </w:rPr>
          <w:tab/>
        </w:r>
        <w:r w:rsidR="003A7891">
          <w:rPr>
            <w:webHidden/>
          </w:rPr>
          <w:fldChar w:fldCharType="begin"/>
        </w:r>
        <w:r w:rsidR="003A7891">
          <w:rPr>
            <w:webHidden/>
          </w:rPr>
          <w:instrText xml:space="preserve"> PAGEREF _Toc41905751 \h </w:instrText>
        </w:r>
        <w:r w:rsidR="003A7891">
          <w:rPr>
            <w:webHidden/>
          </w:rPr>
        </w:r>
        <w:r w:rsidR="003A7891">
          <w:rPr>
            <w:webHidden/>
          </w:rPr>
          <w:fldChar w:fldCharType="separate"/>
        </w:r>
        <w:r w:rsidR="003A7891">
          <w:rPr>
            <w:webHidden/>
          </w:rPr>
          <w:t>119</w:t>
        </w:r>
        <w:r w:rsidR="003A7891">
          <w:rPr>
            <w:webHidden/>
          </w:rPr>
          <w:fldChar w:fldCharType="end"/>
        </w:r>
      </w:hyperlink>
    </w:p>
    <w:p w14:paraId="661EEA66" w14:textId="3FD3BD7C" w:rsidR="003A7891" w:rsidRDefault="003C4809">
      <w:pPr>
        <w:pStyle w:val="TOC1"/>
        <w:rPr>
          <w:rFonts w:asciiTheme="minorHAnsi" w:eastAsiaTheme="minorEastAsia" w:hAnsiTheme="minorHAnsi" w:cstheme="minorBidi"/>
          <w:b w:val="0"/>
          <w:color w:val="auto"/>
          <w:spacing w:val="0"/>
          <w:sz w:val="22"/>
          <w:szCs w:val="22"/>
        </w:rPr>
      </w:pPr>
      <w:hyperlink w:anchor="_Toc41905752" w:history="1">
        <w:r w:rsidR="003A7891" w:rsidRPr="00E171BF">
          <w:rPr>
            <w:rStyle w:val="Hyperlink"/>
          </w:rPr>
          <w:t>Appendix B – Procedure to Register a Certificate of Requirement</w:t>
        </w:r>
        <w:r w:rsidR="003A7891">
          <w:rPr>
            <w:webHidden/>
          </w:rPr>
          <w:tab/>
        </w:r>
        <w:r w:rsidR="003A7891">
          <w:rPr>
            <w:webHidden/>
          </w:rPr>
          <w:fldChar w:fldCharType="begin"/>
        </w:r>
        <w:r w:rsidR="003A7891">
          <w:rPr>
            <w:webHidden/>
          </w:rPr>
          <w:instrText xml:space="preserve"> PAGEREF _Toc41905752 \h </w:instrText>
        </w:r>
        <w:r w:rsidR="003A7891">
          <w:rPr>
            <w:webHidden/>
          </w:rPr>
        </w:r>
        <w:r w:rsidR="003A7891">
          <w:rPr>
            <w:webHidden/>
          </w:rPr>
          <w:fldChar w:fldCharType="separate"/>
        </w:r>
        <w:r w:rsidR="003A7891">
          <w:rPr>
            <w:webHidden/>
          </w:rPr>
          <w:t>121</w:t>
        </w:r>
        <w:r w:rsidR="003A7891">
          <w:rPr>
            <w:webHidden/>
          </w:rPr>
          <w:fldChar w:fldCharType="end"/>
        </w:r>
      </w:hyperlink>
    </w:p>
    <w:p w14:paraId="18CA073D" w14:textId="67849CAC" w:rsidR="00DB0DF4" w:rsidRPr="00BE2EB0" w:rsidRDefault="00C23E3A" w:rsidP="00DB0DF4">
      <w:pPr>
        <w:pStyle w:val="TOC2"/>
      </w:pPr>
      <w:r w:rsidRPr="008C377A">
        <w:rPr>
          <w:rFonts w:cs="Arial"/>
          <w:sz w:val="28"/>
          <w:szCs w:val="28"/>
        </w:rPr>
        <w:fldChar w:fldCharType="end"/>
      </w:r>
    </w:p>
    <w:p w14:paraId="1762182F" w14:textId="48D58C62" w:rsidR="00A77E48" w:rsidRPr="008D65C3" w:rsidRDefault="00841386" w:rsidP="0088490F">
      <w:pPr>
        <w:pStyle w:val="Subtitle"/>
        <w:jc w:val="left"/>
        <w:rPr>
          <w:b/>
          <w:sz w:val="32"/>
          <w:szCs w:val="32"/>
        </w:rPr>
      </w:pPr>
      <w:bookmarkStart w:id="6" w:name="_Toc41905637"/>
      <w:bookmarkStart w:id="7" w:name="_Toc112727390"/>
      <w:bookmarkStart w:id="8" w:name="_Toc74119379"/>
      <w:bookmarkStart w:id="9" w:name="_Toc74450874"/>
      <w:bookmarkEnd w:id="0"/>
      <w:bookmarkEnd w:id="1"/>
      <w:bookmarkEnd w:id="2"/>
      <w:r w:rsidRPr="008D65C3">
        <w:rPr>
          <w:b/>
          <w:sz w:val="32"/>
          <w:szCs w:val="32"/>
        </w:rPr>
        <w:lastRenderedPageBreak/>
        <w:t xml:space="preserve">List of </w:t>
      </w:r>
      <w:r w:rsidR="005F561D" w:rsidRPr="008D65C3">
        <w:rPr>
          <w:b/>
          <w:sz w:val="32"/>
          <w:szCs w:val="32"/>
        </w:rPr>
        <w:t xml:space="preserve">Commonly Used Terms </w:t>
      </w:r>
      <w:r w:rsidR="00415099" w:rsidRPr="008D65C3">
        <w:rPr>
          <w:b/>
          <w:sz w:val="32"/>
          <w:szCs w:val="32"/>
        </w:rPr>
        <w:t xml:space="preserve">and </w:t>
      </w:r>
      <w:r w:rsidR="00143545" w:rsidRPr="008D65C3">
        <w:rPr>
          <w:b/>
          <w:sz w:val="32"/>
          <w:szCs w:val="32"/>
        </w:rPr>
        <w:t>Abbreviations</w:t>
      </w:r>
      <w:bookmarkEnd w:id="6"/>
    </w:p>
    <w:p w14:paraId="7E42FBC0" w14:textId="77777777" w:rsidR="00442CAF" w:rsidRPr="008D65C3" w:rsidRDefault="00442CAF" w:rsidP="00442CAF">
      <w:pPr>
        <w:pStyle w:val="Glossaryitem"/>
        <w:rPr>
          <w:rFonts w:cs="Arial"/>
        </w:rPr>
      </w:pPr>
    </w:p>
    <w:p w14:paraId="2946902D" w14:textId="696E4F0A" w:rsidR="009F694D" w:rsidRPr="002A75F2" w:rsidRDefault="009F694D" w:rsidP="00442CAF">
      <w:pPr>
        <w:pStyle w:val="Glossaryitem"/>
        <w:rPr>
          <w:rFonts w:cs="Arial"/>
        </w:rPr>
      </w:pPr>
      <w:r w:rsidRPr="002A75F2">
        <w:rPr>
          <w:rFonts w:cs="Arial"/>
          <w:b/>
        </w:rPr>
        <w:t xml:space="preserve">Approved </w:t>
      </w:r>
      <w:r w:rsidR="00A77E48" w:rsidRPr="002A75F2">
        <w:rPr>
          <w:rFonts w:cs="Arial"/>
          <w:b/>
        </w:rPr>
        <w:t>m</w:t>
      </w:r>
      <w:r w:rsidRPr="002A75F2">
        <w:rPr>
          <w:rFonts w:cs="Arial"/>
          <w:b/>
        </w:rPr>
        <w:t>odel:</w:t>
      </w:r>
      <w:r w:rsidRPr="002A75F2">
        <w:rPr>
          <w:rFonts w:cs="Arial"/>
        </w:rPr>
        <w:tab/>
      </w:r>
      <w:r w:rsidR="000545BE" w:rsidRPr="002A75F2">
        <w:rPr>
          <w:rFonts w:cs="Arial"/>
        </w:rPr>
        <w:t>A spreadsheet-based model</w:t>
      </w:r>
      <w:r w:rsidR="00B054D5" w:rsidRPr="002A75F2">
        <w:rPr>
          <w:rFonts w:cs="Arial"/>
        </w:rPr>
        <w:t xml:space="preserve"> that was used by the Ministry to develop the generic site condition standards and that can be used by a QP</w:t>
      </w:r>
      <w:r w:rsidR="00B054D5" w:rsidRPr="002A75F2">
        <w:rPr>
          <w:rFonts w:cs="Arial"/>
          <w:vertAlign w:val="subscript"/>
        </w:rPr>
        <w:t>RA</w:t>
      </w:r>
      <w:r w:rsidR="00B054D5" w:rsidRPr="002A75F2">
        <w:rPr>
          <w:rFonts w:cs="Arial"/>
        </w:rPr>
        <w:t xml:space="preserve"> to develop property specific standards by modifying physical site characteristics, certain pathways and opt</w:t>
      </w:r>
      <w:r w:rsidR="00895AF5" w:rsidRPr="002A75F2">
        <w:rPr>
          <w:rFonts w:cs="Arial"/>
        </w:rPr>
        <w:t>ing</w:t>
      </w:r>
      <w:r w:rsidR="00B054D5" w:rsidRPr="002A75F2">
        <w:rPr>
          <w:rFonts w:cs="Arial"/>
        </w:rPr>
        <w:t xml:space="preserve"> into </w:t>
      </w:r>
      <w:r w:rsidR="00895AF5" w:rsidRPr="002A75F2">
        <w:rPr>
          <w:rFonts w:cs="Arial"/>
        </w:rPr>
        <w:t>risk man</w:t>
      </w:r>
      <w:r w:rsidR="00204656" w:rsidRPr="002A75F2">
        <w:rPr>
          <w:rFonts w:cs="Arial"/>
        </w:rPr>
        <w:t>a</w:t>
      </w:r>
      <w:r w:rsidR="00895AF5" w:rsidRPr="002A75F2">
        <w:rPr>
          <w:rFonts w:cs="Arial"/>
        </w:rPr>
        <w:t>gement measures</w:t>
      </w:r>
      <w:r w:rsidR="00B054D5" w:rsidRPr="002A75F2">
        <w:rPr>
          <w:rFonts w:cs="Arial"/>
        </w:rPr>
        <w:t xml:space="preserve"> developed by the </w:t>
      </w:r>
      <w:r w:rsidR="001F7F60" w:rsidRPr="002A75F2">
        <w:rPr>
          <w:rFonts w:cs="Arial"/>
        </w:rPr>
        <w:t>Ministry</w:t>
      </w:r>
      <w:r w:rsidR="004A1359" w:rsidRPr="002A75F2">
        <w:rPr>
          <w:rFonts w:cs="Arial"/>
        </w:rPr>
        <w:t xml:space="preserve">. </w:t>
      </w:r>
      <w:r w:rsidR="00C15D9F" w:rsidRPr="002A75F2">
        <w:rPr>
          <w:rFonts w:cs="Arial"/>
        </w:rPr>
        <w:t>D</w:t>
      </w:r>
      <w:r w:rsidR="008C3DCC" w:rsidRPr="002A75F2">
        <w:rPr>
          <w:rFonts w:cs="Arial"/>
        </w:rPr>
        <w:t xml:space="preserve">efined in </w:t>
      </w:r>
      <w:r w:rsidR="00070277" w:rsidRPr="002A75F2">
        <w:rPr>
          <w:rFonts w:cs="Arial"/>
        </w:rPr>
        <w:t>s</w:t>
      </w:r>
      <w:r w:rsidR="00A4708E" w:rsidRPr="002A75F2">
        <w:rPr>
          <w:rFonts w:cs="Arial"/>
        </w:rPr>
        <w:t xml:space="preserve">ection 1 </w:t>
      </w:r>
      <w:r w:rsidR="00B4450E" w:rsidRPr="002A75F2">
        <w:rPr>
          <w:rFonts w:cs="Arial"/>
        </w:rPr>
        <w:t xml:space="preserve">(Definitions) </w:t>
      </w:r>
      <w:r w:rsidR="00A4708E" w:rsidRPr="002A75F2">
        <w:rPr>
          <w:rFonts w:cs="Arial"/>
        </w:rPr>
        <w:t xml:space="preserve">of </w:t>
      </w:r>
      <w:r w:rsidR="00044696" w:rsidRPr="002A75F2">
        <w:rPr>
          <w:rFonts w:cs="Arial"/>
        </w:rPr>
        <w:t xml:space="preserve">Schedule C of </w:t>
      </w:r>
      <w:bookmarkStart w:id="10" w:name="_Hlk41053593"/>
      <w:r w:rsidR="000C34A8" w:rsidRPr="002A75F2">
        <w:rPr>
          <w:rFonts w:cs="Arial"/>
        </w:rPr>
        <w:t xml:space="preserve">Ontario Regulation </w:t>
      </w:r>
      <w:r w:rsidR="00A4708E" w:rsidRPr="002A75F2">
        <w:rPr>
          <w:rFonts w:cs="Arial"/>
        </w:rPr>
        <w:t>153/04</w:t>
      </w:r>
      <w:bookmarkEnd w:id="10"/>
      <w:r w:rsidR="008C3DCC" w:rsidRPr="002A75F2">
        <w:rPr>
          <w:rFonts w:cs="Arial"/>
        </w:rPr>
        <w:t>.</w:t>
      </w:r>
      <w:r w:rsidR="003F062D" w:rsidRPr="002A75F2">
        <w:rPr>
          <w:rFonts w:cs="Arial"/>
        </w:rPr>
        <w:t xml:space="preserve"> </w:t>
      </w:r>
    </w:p>
    <w:p w14:paraId="1315E4AB" w14:textId="47DB1982" w:rsidR="00F43219" w:rsidRPr="002A75F2" w:rsidRDefault="006A00D4" w:rsidP="00442CAF">
      <w:pPr>
        <w:pStyle w:val="Glossaryitem"/>
        <w:rPr>
          <w:rFonts w:cs="Arial"/>
        </w:rPr>
      </w:pPr>
      <w:r w:rsidRPr="002A75F2">
        <w:rPr>
          <w:rFonts w:cs="Arial"/>
          <w:b/>
        </w:rPr>
        <w:t xml:space="preserve">Certificate of </w:t>
      </w:r>
      <w:r w:rsidR="00BA67AD" w:rsidRPr="002A75F2">
        <w:rPr>
          <w:rFonts w:cs="Arial"/>
          <w:b/>
        </w:rPr>
        <w:t>p</w:t>
      </w:r>
      <w:r w:rsidRPr="002A75F2">
        <w:rPr>
          <w:rFonts w:cs="Arial"/>
          <w:b/>
        </w:rPr>
        <w:t xml:space="preserve">roperty </w:t>
      </w:r>
      <w:r w:rsidR="00BA67AD" w:rsidRPr="002A75F2">
        <w:rPr>
          <w:rFonts w:cs="Arial"/>
          <w:b/>
        </w:rPr>
        <w:t>u</w:t>
      </w:r>
      <w:r w:rsidRPr="002A75F2">
        <w:rPr>
          <w:rFonts w:cs="Arial"/>
          <w:b/>
        </w:rPr>
        <w:t>se (CPU)</w:t>
      </w:r>
      <w:r w:rsidR="009C2B31" w:rsidRPr="002A75F2">
        <w:rPr>
          <w:rFonts w:cs="Arial"/>
          <w:b/>
        </w:rPr>
        <w:t>:</w:t>
      </w:r>
      <w:r w:rsidR="00D4507B" w:rsidRPr="002A75F2">
        <w:rPr>
          <w:rFonts w:cs="Arial"/>
        </w:rPr>
        <w:t xml:space="preserve"> </w:t>
      </w:r>
      <w:r w:rsidR="00A77E48" w:rsidRPr="002A75F2">
        <w:rPr>
          <w:rFonts w:cs="Arial"/>
        </w:rPr>
        <w:t xml:space="preserve">A CPU is a legal instrument that the Director can issue to the owner of any property for which a risk assessment has been conducted that includes risk management measures. A CPU can require that certain actions be taken to prevent, eliminate or ameliorate any adverse effect that was identified in the </w:t>
      </w:r>
      <w:r w:rsidR="00D4507B" w:rsidRPr="002A75F2">
        <w:rPr>
          <w:rFonts w:cs="Arial"/>
        </w:rPr>
        <w:t>risk assessment</w:t>
      </w:r>
      <w:r w:rsidR="00A77E48" w:rsidRPr="002A75F2">
        <w:rPr>
          <w:rFonts w:cs="Arial"/>
        </w:rPr>
        <w:t xml:space="preserve">, and can require that the owner refrain from using the property in specified ways or from constructing specified buildings </w:t>
      </w:r>
      <w:r w:rsidR="00345E8B" w:rsidRPr="002A75F2">
        <w:rPr>
          <w:rFonts w:cs="Arial"/>
        </w:rPr>
        <w:t xml:space="preserve">(refer to </w:t>
      </w:r>
      <w:r w:rsidR="00A77E48" w:rsidRPr="002A75F2">
        <w:rPr>
          <w:rFonts w:cs="Arial"/>
        </w:rPr>
        <w:t>s</w:t>
      </w:r>
      <w:r w:rsidR="00345E8B" w:rsidRPr="002A75F2">
        <w:rPr>
          <w:rFonts w:cs="Arial"/>
        </w:rPr>
        <w:t>ection 168.6 of the EPA). The CPU must be issued to the property owner before an RSC can be filed if risk management measures are required for a</w:t>
      </w:r>
      <w:r w:rsidR="005B614D" w:rsidRPr="002A75F2">
        <w:rPr>
          <w:rFonts w:cs="Arial"/>
        </w:rPr>
        <w:t xml:space="preserve">n RA </w:t>
      </w:r>
      <w:r w:rsidR="00345E8B" w:rsidRPr="002A75F2">
        <w:rPr>
          <w:rFonts w:cs="Arial"/>
        </w:rPr>
        <w:t>property.</w:t>
      </w:r>
    </w:p>
    <w:p w14:paraId="49F23130" w14:textId="1829A5DB" w:rsidR="00434906" w:rsidRPr="002A75F2" w:rsidRDefault="00434906" w:rsidP="00442CAF">
      <w:pPr>
        <w:pStyle w:val="Glossaryitem"/>
        <w:rPr>
          <w:rFonts w:cs="Arial"/>
        </w:rPr>
      </w:pPr>
      <w:r w:rsidRPr="002A75F2">
        <w:rPr>
          <w:rFonts w:cs="Arial"/>
          <w:b/>
        </w:rPr>
        <w:t xml:space="preserve">Component </w:t>
      </w:r>
      <w:r w:rsidR="00A77E48" w:rsidRPr="002A75F2">
        <w:rPr>
          <w:rFonts w:cs="Arial"/>
          <w:b/>
        </w:rPr>
        <w:t>v</w:t>
      </w:r>
      <w:r w:rsidRPr="002A75F2">
        <w:rPr>
          <w:rFonts w:cs="Arial"/>
          <w:b/>
        </w:rPr>
        <w:t>alue:</w:t>
      </w:r>
      <w:r w:rsidRPr="002A75F2">
        <w:rPr>
          <w:rFonts w:cs="Arial"/>
        </w:rPr>
        <w:tab/>
      </w:r>
      <w:r w:rsidR="00345E8B" w:rsidRPr="002A75F2">
        <w:rPr>
          <w:rFonts w:cs="Arial"/>
        </w:rPr>
        <w:t>A numerical v</w:t>
      </w:r>
      <w:r w:rsidRPr="002A75F2">
        <w:rPr>
          <w:rFonts w:cs="Arial"/>
        </w:rPr>
        <w:t xml:space="preserve">alue developed by the Ministry to provide a </w:t>
      </w:r>
      <w:r w:rsidR="00345E8B" w:rsidRPr="002A75F2">
        <w:rPr>
          <w:rFonts w:cs="Arial"/>
        </w:rPr>
        <w:t xml:space="preserve">human or ecological </w:t>
      </w:r>
      <w:r w:rsidRPr="002A75F2">
        <w:rPr>
          <w:rFonts w:cs="Arial"/>
        </w:rPr>
        <w:t xml:space="preserve">receptor or group of receptors protection from a contaminant via a specific exposure pathway. The Ministry’s “Rationale for the Development of Soil </w:t>
      </w:r>
      <w:r w:rsidR="000B700D" w:rsidRPr="002A75F2">
        <w:rPr>
          <w:rFonts w:cs="Arial"/>
        </w:rPr>
        <w:t xml:space="preserve">and </w:t>
      </w:r>
      <w:r w:rsidRPr="002A75F2">
        <w:rPr>
          <w:rFonts w:cs="Arial"/>
        </w:rPr>
        <w:t xml:space="preserve">Ground Water Standards for Use at Contaminated Sites in Ontario”, dated April 15, 2011, includes the generic component values used in the development of the 2011 generic </w:t>
      </w:r>
      <w:r w:rsidR="00515C36" w:rsidRPr="002A75F2">
        <w:rPr>
          <w:rFonts w:cs="Arial"/>
        </w:rPr>
        <w:t>site condition standards</w:t>
      </w:r>
      <w:r w:rsidRPr="002A75F2">
        <w:rPr>
          <w:rFonts w:cs="Arial"/>
        </w:rPr>
        <w:t>.</w:t>
      </w:r>
      <w:r w:rsidR="00F866DD" w:rsidRPr="002A75F2">
        <w:rPr>
          <w:rFonts w:cs="Arial"/>
        </w:rPr>
        <w:t xml:space="preserve"> </w:t>
      </w:r>
      <w:r w:rsidRPr="002A75F2">
        <w:rPr>
          <w:rFonts w:cs="Arial"/>
        </w:rPr>
        <w:t xml:space="preserve">The Ministry’s </w:t>
      </w:r>
      <w:r w:rsidR="00A77E48" w:rsidRPr="002A75F2">
        <w:rPr>
          <w:rFonts w:cs="Arial"/>
        </w:rPr>
        <w:t>a</w:t>
      </w:r>
      <w:r w:rsidRPr="002A75F2">
        <w:rPr>
          <w:rFonts w:cs="Arial"/>
        </w:rPr>
        <w:t xml:space="preserve">pproved </w:t>
      </w:r>
      <w:r w:rsidR="00A77E48" w:rsidRPr="002A75F2">
        <w:rPr>
          <w:rFonts w:cs="Arial"/>
        </w:rPr>
        <w:t>m</w:t>
      </w:r>
      <w:r w:rsidRPr="002A75F2">
        <w:rPr>
          <w:rFonts w:cs="Arial"/>
        </w:rPr>
        <w:t xml:space="preserve">odel includes </w:t>
      </w:r>
      <w:r w:rsidR="00682B98" w:rsidRPr="002A75F2">
        <w:rPr>
          <w:rFonts w:cs="Arial"/>
        </w:rPr>
        <w:t>the most up-to-date</w:t>
      </w:r>
      <w:r w:rsidRPr="002A75F2">
        <w:rPr>
          <w:rFonts w:cs="Arial"/>
        </w:rPr>
        <w:t xml:space="preserve"> generic component values and also allows for the derivation of site-specific </w:t>
      </w:r>
      <w:r w:rsidR="009C3740" w:rsidRPr="002A75F2">
        <w:rPr>
          <w:rFonts w:cs="Arial"/>
        </w:rPr>
        <w:t xml:space="preserve">component </w:t>
      </w:r>
      <w:r w:rsidR="00B61C21" w:rsidRPr="002A75F2">
        <w:rPr>
          <w:rFonts w:cs="Arial"/>
        </w:rPr>
        <w:t>values</w:t>
      </w:r>
      <w:r w:rsidRPr="002A75F2">
        <w:rPr>
          <w:rFonts w:cs="Arial"/>
        </w:rPr>
        <w:t>.</w:t>
      </w:r>
    </w:p>
    <w:p w14:paraId="6B55D9B3" w14:textId="10CC853F" w:rsidR="00C45E74" w:rsidRPr="002A75F2" w:rsidRDefault="00C45E74" w:rsidP="00442CAF">
      <w:pPr>
        <w:pStyle w:val="Glossaryitem"/>
        <w:rPr>
          <w:rFonts w:cs="Arial"/>
        </w:rPr>
      </w:pPr>
      <w:r w:rsidRPr="002A75F2">
        <w:rPr>
          <w:rFonts w:cs="Arial"/>
          <w:b/>
        </w:rPr>
        <w:t xml:space="preserve">Contaminants of </w:t>
      </w:r>
      <w:r w:rsidR="00D16E05" w:rsidRPr="002A75F2">
        <w:rPr>
          <w:rFonts w:cs="Arial"/>
          <w:b/>
        </w:rPr>
        <w:t>c</w:t>
      </w:r>
      <w:r w:rsidRPr="002A75F2">
        <w:rPr>
          <w:rFonts w:cs="Arial"/>
          <w:b/>
        </w:rPr>
        <w:t>oncern (</w:t>
      </w:r>
      <w:smartTag w:uri="urn:schemas-microsoft-com:office:smarttags" w:element="stockticker">
        <w:r w:rsidRPr="002A75F2">
          <w:rPr>
            <w:rFonts w:cs="Arial"/>
            <w:b/>
          </w:rPr>
          <w:t>COC</w:t>
        </w:r>
      </w:smartTag>
      <w:r w:rsidR="00E76993" w:rsidRPr="002A75F2">
        <w:rPr>
          <w:rFonts w:cs="Arial"/>
          <w:b/>
        </w:rPr>
        <w:t>s</w:t>
      </w:r>
      <w:r w:rsidRPr="002A75F2">
        <w:rPr>
          <w:rFonts w:cs="Arial"/>
          <w:b/>
        </w:rPr>
        <w:t>):</w:t>
      </w:r>
      <w:r w:rsidR="00D4507B" w:rsidRPr="002A75F2">
        <w:rPr>
          <w:rFonts w:cs="Arial"/>
        </w:rPr>
        <w:t xml:space="preserve"> </w:t>
      </w:r>
      <w:r w:rsidR="00345E8B" w:rsidRPr="002A75F2">
        <w:rPr>
          <w:rFonts w:cs="Arial"/>
        </w:rPr>
        <w:t>Contaminant</w:t>
      </w:r>
      <w:r w:rsidR="002D47C2" w:rsidRPr="002A75F2">
        <w:rPr>
          <w:rFonts w:cs="Arial"/>
        </w:rPr>
        <w:t>s</w:t>
      </w:r>
      <w:r w:rsidR="00345E8B" w:rsidRPr="002A75F2">
        <w:rPr>
          <w:rFonts w:cs="Arial"/>
        </w:rPr>
        <w:t xml:space="preserve"> </w:t>
      </w:r>
      <w:bookmarkStart w:id="11" w:name="_Hlk40108100"/>
      <w:r w:rsidR="00345E8B" w:rsidRPr="002A75F2">
        <w:rPr>
          <w:rFonts w:cs="Arial"/>
        </w:rPr>
        <w:t xml:space="preserve">present </w:t>
      </w:r>
      <w:r w:rsidR="00070277" w:rsidRPr="002A75F2">
        <w:rPr>
          <w:rFonts w:cs="Arial"/>
        </w:rPr>
        <w:t xml:space="preserve">in, on or under a property </w:t>
      </w:r>
      <w:bookmarkEnd w:id="11"/>
      <w:r w:rsidR="002D47C2" w:rsidRPr="002A75F2">
        <w:rPr>
          <w:rFonts w:cs="Arial"/>
        </w:rPr>
        <w:t>that exceed their applicable site condition standards</w:t>
      </w:r>
      <w:r w:rsidR="00070277" w:rsidRPr="002A75F2">
        <w:rPr>
          <w:rFonts w:cs="Arial"/>
        </w:rPr>
        <w:t xml:space="preserve">, or </w:t>
      </w:r>
      <w:r w:rsidR="002D47C2" w:rsidRPr="002A75F2">
        <w:rPr>
          <w:rFonts w:cs="Arial"/>
        </w:rPr>
        <w:t>contami</w:t>
      </w:r>
      <w:r w:rsidR="00E07841" w:rsidRPr="002A75F2">
        <w:rPr>
          <w:rFonts w:cs="Arial"/>
        </w:rPr>
        <w:t>n</w:t>
      </w:r>
      <w:r w:rsidR="002D47C2" w:rsidRPr="002A75F2">
        <w:rPr>
          <w:rFonts w:cs="Arial"/>
        </w:rPr>
        <w:t xml:space="preserve">ants </w:t>
      </w:r>
      <w:r w:rsidR="00070277" w:rsidRPr="002A75F2">
        <w:rPr>
          <w:rFonts w:cs="Arial"/>
        </w:rPr>
        <w:t xml:space="preserve">present in, on or under a property </w:t>
      </w:r>
      <w:r w:rsidR="002D47C2" w:rsidRPr="002A75F2">
        <w:rPr>
          <w:rFonts w:cs="Arial"/>
        </w:rPr>
        <w:t>for which there is no applicable site condition standard and the contaminant is associated with a potentially contaminating activity</w:t>
      </w:r>
      <w:r w:rsidR="00070277" w:rsidRPr="002A75F2">
        <w:rPr>
          <w:rFonts w:cs="Arial"/>
        </w:rPr>
        <w:t>. Defined in s</w:t>
      </w:r>
      <w:r w:rsidRPr="002A75F2">
        <w:rPr>
          <w:rFonts w:cs="Arial"/>
        </w:rPr>
        <w:t xml:space="preserve">ection 1 </w:t>
      </w:r>
      <w:r w:rsidR="00515C36" w:rsidRPr="002A75F2">
        <w:rPr>
          <w:rFonts w:cs="Arial"/>
        </w:rPr>
        <w:t xml:space="preserve">(Definitions) </w:t>
      </w:r>
      <w:r w:rsidRPr="002A75F2">
        <w:rPr>
          <w:rFonts w:cs="Arial"/>
        </w:rPr>
        <w:t xml:space="preserve">of </w:t>
      </w:r>
      <w:r w:rsidR="000C34A8" w:rsidRPr="002A75F2">
        <w:rPr>
          <w:rFonts w:cs="Arial"/>
        </w:rPr>
        <w:t>Ontario Regulation 153/04</w:t>
      </w:r>
      <w:r w:rsidRPr="002A75F2">
        <w:rPr>
          <w:rFonts w:cs="Arial"/>
        </w:rPr>
        <w:t xml:space="preserve">. </w:t>
      </w:r>
    </w:p>
    <w:p w14:paraId="578D8B02" w14:textId="60D2963A" w:rsidR="00B7500F" w:rsidRPr="002A75F2" w:rsidRDefault="00B7500F" w:rsidP="00442CAF">
      <w:pPr>
        <w:pStyle w:val="Glossaryitem"/>
        <w:rPr>
          <w:rFonts w:cs="Arial"/>
        </w:rPr>
      </w:pPr>
      <w:r w:rsidRPr="002A75F2">
        <w:rPr>
          <w:rFonts w:cs="Arial"/>
          <w:b/>
        </w:rPr>
        <w:t xml:space="preserve">Ecological </w:t>
      </w:r>
      <w:r w:rsidR="00D16E05" w:rsidRPr="002A75F2">
        <w:rPr>
          <w:rFonts w:cs="Arial"/>
          <w:b/>
        </w:rPr>
        <w:t>c</w:t>
      </w:r>
      <w:r w:rsidRPr="002A75F2">
        <w:rPr>
          <w:rFonts w:cs="Arial"/>
          <w:b/>
        </w:rPr>
        <w:t xml:space="preserve">onceptual </w:t>
      </w:r>
      <w:r w:rsidR="00D16E05" w:rsidRPr="002A75F2">
        <w:rPr>
          <w:rFonts w:cs="Arial"/>
          <w:b/>
        </w:rPr>
        <w:t>s</w:t>
      </w:r>
      <w:r w:rsidRPr="002A75F2">
        <w:rPr>
          <w:rFonts w:cs="Arial"/>
          <w:b/>
        </w:rPr>
        <w:t xml:space="preserve">ite </w:t>
      </w:r>
      <w:r w:rsidR="00D16E05" w:rsidRPr="002A75F2">
        <w:rPr>
          <w:rFonts w:cs="Arial"/>
          <w:b/>
        </w:rPr>
        <w:t>m</w:t>
      </w:r>
      <w:r w:rsidRPr="002A75F2">
        <w:rPr>
          <w:rFonts w:cs="Arial"/>
          <w:b/>
        </w:rPr>
        <w:t>odel:</w:t>
      </w:r>
      <w:r w:rsidRPr="002A75F2">
        <w:rPr>
          <w:rFonts w:cs="Arial"/>
        </w:rPr>
        <w:t xml:space="preserve"> A diagram with explanatory text that provides information for all contaminants of concern that exceed the applicable site condition standard including (</w:t>
      </w:r>
      <w:proofErr w:type="spellStart"/>
      <w:r w:rsidRPr="002A75F2">
        <w:rPr>
          <w:rFonts w:cs="Arial"/>
        </w:rPr>
        <w:t>i</w:t>
      </w:r>
      <w:proofErr w:type="spellEnd"/>
      <w:r w:rsidRPr="002A75F2">
        <w:rPr>
          <w:rFonts w:cs="Arial"/>
        </w:rPr>
        <w:t xml:space="preserve">) the release mechanisms, (ii) contaminant transport pathway, (iii) the ecological receptors, (iv) receptor exposure points, and (v) routes of exposure and explains how the environmental characterization information from the phase two ESA </w:t>
      </w:r>
      <w:r w:rsidRPr="002A75F2">
        <w:rPr>
          <w:rFonts w:cs="Arial"/>
        </w:rPr>
        <w:lastRenderedPageBreak/>
        <w:t xml:space="preserve">(including the </w:t>
      </w:r>
      <w:r w:rsidR="00A149F1" w:rsidRPr="002A75F2">
        <w:rPr>
          <w:rFonts w:cs="Arial"/>
        </w:rPr>
        <w:t>phase two conceptual site model</w:t>
      </w:r>
      <w:r w:rsidRPr="002A75F2">
        <w:rPr>
          <w:rFonts w:cs="Arial"/>
        </w:rPr>
        <w:t>) was incorporated and relied upon in the preparation of the risk assessment.</w:t>
      </w:r>
    </w:p>
    <w:p w14:paraId="6C1AA39D" w14:textId="0E5223F5" w:rsidR="00A6568B" w:rsidRPr="002A75F2" w:rsidRDefault="00A6568B" w:rsidP="00442CAF">
      <w:pPr>
        <w:pStyle w:val="Glossaryitem"/>
        <w:rPr>
          <w:rFonts w:cs="Arial"/>
        </w:rPr>
      </w:pPr>
      <w:r w:rsidRPr="002A75F2">
        <w:rPr>
          <w:rFonts w:cs="Arial"/>
          <w:b/>
        </w:rPr>
        <w:t>Ecological receptor:</w:t>
      </w:r>
      <w:r w:rsidR="00A355BA" w:rsidRPr="002A75F2">
        <w:rPr>
          <w:rFonts w:cs="Arial"/>
        </w:rPr>
        <w:t xml:space="preserve"> </w:t>
      </w:r>
      <w:r w:rsidR="00963F22" w:rsidRPr="002A75F2">
        <w:rPr>
          <w:rFonts w:cs="Arial"/>
        </w:rPr>
        <w:t>A</w:t>
      </w:r>
      <w:r w:rsidRPr="002A75F2">
        <w:rPr>
          <w:rFonts w:cs="Arial"/>
        </w:rPr>
        <w:t xml:space="preserve"> non-human organism identified as potentially experiencing adverse impacts from exposure to a contaminant, either directly through contact or indirectly through food chain transfer.</w:t>
      </w:r>
    </w:p>
    <w:p w14:paraId="5503C0B6" w14:textId="70D8DC93" w:rsidR="00434906" w:rsidRPr="002A75F2" w:rsidRDefault="00434906" w:rsidP="00442CAF">
      <w:pPr>
        <w:pStyle w:val="Glossaryitem"/>
        <w:rPr>
          <w:rFonts w:cs="Arial"/>
        </w:rPr>
      </w:pPr>
      <w:r w:rsidRPr="002A75F2">
        <w:rPr>
          <w:rFonts w:cs="Arial"/>
          <w:b/>
        </w:rPr>
        <w:t xml:space="preserve">Ecological </w:t>
      </w:r>
      <w:r w:rsidR="00D16E05" w:rsidRPr="002A75F2">
        <w:rPr>
          <w:rFonts w:cs="Arial"/>
          <w:b/>
        </w:rPr>
        <w:t>r</w:t>
      </w:r>
      <w:r w:rsidRPr="002A75F2">
        <w:rPr>
          <w:rFonts w:cs="Arial"/>
          <w:b/>
        </w:rPr>
        <w:t xml:space="preserve">isk </w:t>
      </w:r>
      <w:r w:rsidR="00D16E05" w:rsidRPr="002A75F2">
        <w:rPr>
          <w:rFonts w:cs="Arial"/>
          <w:b/>
        </w:rPr>
        <w:t>a</w:t>
      </w:r>
      <w:r w:rsidRPr="002A75F2">
        <w:rPr>
          <w:rFonts w:cs="Arial"/>
          <w:b/>
        </w:rPr>
        <w:t>ssessment (ERA):</w:t>
      </w:r>
      <w:r w:rsidRPr="002A75F2">
        <w:rPr>
          <w:rFonts w:cs="Arial"/>
        </w:rPr>
        <w:t xml:space="preserve"> </w:t>
      </w:r>
      <w:r w:rsidR="00B7500F" w:rsidRPr="002A75F2">
        <w:rPr>
          <w:rFonts w:cs="Arial"/>
        </w:rPr>
        <w:t>A</w:t>
      </w:r>
      <w:r w:rsidRPr="002A75F2">
        <w:rPr>
          <w:rFonts w:cs="Arial"/>
        </w:rPr>
        <w:t xml:space="preserve"> component of a risk assessment that </w:t>
      </w:r>
      <w:r w:rsidR="00B7500F" w:rsidRPr="002A75F2">
        <w:rPr>
          <w:rFonts w:cs="Arial"/>
        </w:rPr>
        <w:t xml:space="preserve">characterizes the nature and magnitude of risks to the environment from </w:t>
      </w:r>
      <w:r w:rsidRPr="002A75F2">
        <w:rPr>
          <w:rFonts w:cs="Arial"/>
        </w:rPr>
        <w:t>exposure to contaminants</w:t>
      </w:r>
      <w:r w:rsidR="003037EE" w:rsidRPr="002A75F2">
        <w:rPr>
          <w:rFonts w:cs="Arial"/>
        </w:rPr>
        <w:t xml:space="preserve"> of concern</w:t>
      </w:r>
      <w:r w:rsidRPr="002A75F2">
        <w:rPr>
          <w:rFonts w:cs="Arial"/>
        </w:rPr>
        <w:t xml:space="preserve">. </w:t>
      </w:r>
    </w:p>
    <w:p w14:paraId="0C04D791" w14:textId="6F361937" w:rsidR="002D56A3" w:rsidRPr="002A75F2" w:rsidRDefault="00EA04AC" w:rsidP="00442CAF">
      <w:pPr>
        <w:pStyle w:val="Glossaryitem"/>
        <w:rPr>
          <w:rFonts w:cs="Arial"/>
        </w:rPr>
      </w:pPr>
      <w:r w:rsidRPr="002A75F2">
        <w:rPr>
          <w:rFonts w:cs="Arial"/>
          <w:b/>
        </w:rPr>
        <w:t>Environmental</w:t>
      </w:r>
      <w:r w:rsidR="002D56A3" w:rsidRPr="002A75F2">
        <w:rPr>
          <w:rFonts w:cs="Arial"/>
          <w:b/>
        </w:rPr>
        <w:t xml:space="preserve"> Registry</w:t>
      </w:r>
      <w:r w:rsidR="00B7500F" w:rsidRPr="002A75F2">
        <w:rPr>
          <w:rFonts w:cs="Arial"/>
          <w:b/>
        </w:rPr>
        <w:t xml:space="preserve"> of Ontario (ERO)</w:t>
      </w:r>
      <w:r w:rsidR="002D56A3" w:rsidRPr="002A75F2">
        <w:rPr>
          <w:rFonts w:cs="Arial"/>
          <w:b/>
        </w:rPr>
        <w:t>:</w:t>
      </w:r>
      <w:bookmarkStart w:id="12" w:name="_Hlk35357068"/>
      <w:r w:rsidR="00D4507B" w:rsidRPr="002A75F2">
        <w:rPr>
          <w:rFonts w:cs="Arial"/>
        </w:rPr>
        <w:t xml:space="preserve"> </w:t>
      </w:r>
      <w:r w:rsidR="00B7500F" w:rsidRPr="002A75F2">
        <w:rPr>
          <w:rFonts w:cs="Arial"/>
        </w:rPr>
        <w:t xml:space="preserve">A </w:t>
      </w:r>
      <w:r w:rsidR="002D56A3" w:rsidRPr="002A75F2">
        <w:rPr>
          <w:rFonts w:cs="Arial"/>
        </w:rPr>
        <w:t xml:space="preserve">public registry under the </w:t>
      </w:r>
      <w:r w:rsidR="002D56A3" w:rsidRPr="002A75F2">
        <w:rPr>
          <w:rFonts w:cs="Arial"/>
          <w:i/>
        </w:rPr>
        <w:t>Environmental Bill of Rights</w:t>
      </w:r>
      <w:bookmarkEnd w:id="12"/>
      <w:r w:rsidR="00070277" w:rsidRPr="002A75F2">
        <w:rPr>
          <w:rFonts w:cs="Arial"/>
          <w:i/>
        </w:rPr>
        <w:t>, 1993</w:t>
      </w:r>
      <w:r w:rsidR="002D56A3" w:rsidRPr="002A75F2">
        <w:rPr>
          <w:rFonts w:cs="Arial"/>
        </w:rPr>
        <w:t xml:space="preserve"> where </w:t>
      </w:r>
      <w:r w:rsidR="00070277" w:rsidRPr="002A75F2">
        <w:rPr>
          <w:rFonts w:cs="Arial"/>
        </w:rPr>
        <w:t xml:space="preserve">certain </w:t>
      </w:r>
      <w:r w:rsidR="002D56A3" w:rsidRPr="002A75F2">
        <w:rPr>
          <w:rFonts w:cs="Arial"/>
        </w:rPr>
        <w:t>CPUs are posted for public comment</w:t>
      </w:r>
      <w:r w:rsidR="004D5680" w:rsidRPr="002A75F2">
        <w:rPr>
          <w:rFonts w:cs="Arial"/>
        </w:rPr>
        <w:t>.</w:t>
      </w:r>
    </w:p>
    <w:p w14:paraId="30CE9A29" w14:textId="11208EB1" w:rsidR="00B7500F" w:rsidRPr="002A75F2" w:rsidRDefault="00B7500F" w:rsidP="00442CAF">
      <w:pPr>
        <w:pStyle w:val="Glossaryitem"/>
        <w:rPr>
          <w:rFonts w:cs="Arial"/>
        </w:rPr>
      </w:pPr>
      <w:r w:rsidRPr="002A75F2">
        <w:rPr>
          <w:rFonts w:cs="Arial"/>
          <w:b/>
        </w:rPr>
        <w:t xml:space="preserve">Environmental </w:t>
      </w:r>
      <w:r w:rsidR="00D16E05" w:rsidRPr="002A75F2">
        <w:rPr>
          <w:rFonts w:cs="Arial"/>
          <w:b/>
        </w:rPr>
        <w:t>s</w:t>
      </w:r>
      <w:r w:rsidRPr="002A75F2">
        <w:rPr>
          <w:rFonts w:cs="Arial"/>
          <w:b/>
        </w:rPr>
        <w:t xml:space="preserve">ite </w:t>
      </w:r>
      <w:r w:rsidR="00D16E05" w:rsidRPr="002A75F2">
        <w:rPr>
          <w:rFonts w:cs="Arial"/>
          <w:b/>
        </w:rPr>
        <w:t>a</w:t>
      </w:r>
      <w:r w:rsidRPr="002A75F2">
        <w:rPr>
          <w:rFonts w:cs="Arial"/>
          <w:b/>
        </w:rPr>
        <w:t>ssessment (ESA)</w:t>
      </w:r>
      <w:r w:rsidR="00D4507B" w:rsidRPr="002A75F2">
        <w:rPr>
          <w:rFonts w:cs="Arial"/>
          <w:b/>
        </w:rPr>
        <w:t>:</w:t>
      </w:r>
      <w:r w:rsidR="00D4507B" w:rsidRPr="002A75F2">
        <w:rPr>
          <w:rFonts w:cs="Arial"/>
        </w:rPr>
        <w:t xml:space="preserve"> </w:t>
      </w:r>
      <w:r w:rsidRPr="002A75F2">
        <w:rPr>
          <w:rFonts w:cs="Arial"/>
        </w:rPr>
        <w:t>An environmental investigation that characterizes the environmental condition of a property.</w:t>
      </w:r>
      <w:r w:rsidR="00EC2D07" w:rsidRPr="002A75F2">
        <w:rPr>
          <w:rFonts w:cs="Arial"/>
        </w:rPr>
        <w:t xml:space="preserve"> </w:t>
      </w:r>
      <w:r w:rsidR="003037EE" w:rsidRPr="002A75F2">
        <w:rPr>
          <w:rFonts w:cs="Arial"/>
        </w:rPr>
        <w:t xml:space="preserve">Can include </w:t>
      </w:r>
      <w:r w:rsidR="00AA30C6" w:rsidRPr="002A75F2">
        <w:rPr>
          <w:rFonts w:cs="Arial"/>
        </w:rPr>
        <w:t>a phase one</w:t>
      </w:r>
      <w:r w:rsidR="003037EE" w:rsidRPr="002A75F2">
        <w:rPr>
          <w:rFonts w:cs="Arial"/>
        </w:rPr>
        <w:t xml:space="preserve"> ESA and phase </w:t>
      </w:r>
      <w:r w:rsidR="00AA30C6" w:rsidRPr="002A75F2">
        <w:rPr>
          <w:rFonts w:cs="Arial"/>
        </w:rPr>
        <w:t xml:space="preserve">two ESA under </w:t>
      </w:r>
      <w:r w:rsidR="000C34A8" w:rsidRPr="002A75F2">
        <w:rPr>
          <w:rFonts w:cs="Arial"/>
        </w:rPr>
        <w:t>Ontario Regulation 153/04</w:t>
      </w:r>
      <w:r w:rsidR="00AA30C6" w:rsidRPr="002A75F2">
        <w:rPr>
          <w:rFonts w:cs="Arial"/>
        </w:rPr>
        <w:t>.</w:t>
      </w:r>
    </w:p>
    <w:p w14:paraId="00FCF17D" w14:textId="742FED18" w:rsidR="001B4935" w:rsidRPr="002A75F2" w:rsidRDefault="00EA04AC" w:rsidP="00442CAF">
      <w:pPr>
        <w:pStyle w:val="Glossaryitem"/>
        <w:rPr>
          <w:rFonts w:cs="Arial"/>
        </w:rPr>
      </w:pPr>
      <w:r w:rsidRPr="002A75F2">
        <w:rPr>
          <w:rFonts w:cs="Arial"/>
          <w:b/>
        </w:rPr>
        <w:t>Environmental</w:t>
      </w:r>
      <w:r w:rsidR="001B4935" w:rsidRPr="002A75F2">
        <w:rPr>
          <w:rFonts w:cs="Arial"/>
          <w:b/>
        </w:rPr>
        <w:t xml:space="preserve"> Site Registry:</w:t>
      </w:r>
      <w:r w:rsidR="001B4935" w:rsidRPr="002A75F2">
        <w:rPr>
          <w:rFonts w:cs="Arial"/>
        </w:rPr>
        <w:t xml:space="preserve"> </w:t>
      </w:r>
      <w:r w:rsidR="00AA30C6" w:rsidRPr="002A75F2">
        <w:rPr>
          <w:rFonts w:cs="Arial"/>
        </w:rPr>
        <w:t xml:space="preserve">A </w:t>
      </w:r>
      <w:r w:rsidR="001B4935" w:rsidRPr="002A75F2">
        <w:rPr>
          <w:rFonts w:cs="Arial"/>
        </w:rPr>
        <w:t xml:space="preserve">public registry </w:t>
      </w:r>
      <w:r w:rsidR="00AA30C6" w:rsidRPr="002A75F2">
        <w:rPr>
          <w:rFonts w:cs="Arial"/>
        </w:rPr>
        <w:t xml:space="preserve">under the </w:t>
      </w:r>
      <w:r w:rsidR="00AA30C6" w:rsidRPr="002A75F2">
        <w:rPr>
          <w:rFonts w:cs="Arial"/>
          <w:i/>
        </w:rPr>
        <w:t>Environmental Protection Act</w:t>
      </w:r>
      <w:r w:rsidR="00AA30C6" w:rsidRPr="002A75F2">
        <w:rPr>
          <w:rFonts w:cs="Arial"/>
        </w:rPr>
        <w:t xml:space="preserve"> </w:t>
      </w:r>
      <w:r w:rsidR="001B4935" w:rsidRPr="002A75F2">
        <w:rPr>
          <w:rFonts w:cs="Arial"/>
        </w:rPr>
        <w:t>where RSCs are filed</w:t>
      </w:r>
      <w:r w:rsidR="004D5680" w:rsidRPr="002A75F2">
        <w:rPr>
          <w:rFonts w:cs="Arial"/>
        </w:rPr>
        <w:t>.</w:t>
      </w:r>
    </w:p>
    <w:p w14:paraId="02C8ECAE" w14:textId="3691256A" w:rsidR="00AA30C6" w:rsidRPr="002A75F2" w:rsidRDefault="00AA30C6" w:rsidP="00442CAF">
      <w:pPr>
        <w:pStyle w:val="Glossaryitem"/>
        <w:rPr>
          <w:rFonts w:cs="Arial"/>
        </w:rPr>
      </w:pPr>
      <w:r w:rsidRPr="002A75F2">
        <w:rPr>
          <w:rFonts w:cs="Arial"/>
          <w:b/>
        </w:rPr>
        <w:t xml:space="preserve">Human </w:t>
      </w:r>
      <w:r w:rsidR="00D16E05" w:rsidRPr="002A75F2">
        <w:rPr>
          <w:rFonts w:cs="Arial"/>
          <w:b/>
        </w:rPr>
        <w:t>h</w:t>
      </w:r>
      <w:r w:rsidRPr="002A75F2">
        <w:rPr>
          <w:rFonts w:cs="Arial"/>
          <w:b/>
        </w:rPr>
        <w:t xml:space="preserve">ealth </w:t>
      </w:r>
      <w:r w:rsidR="00D16E05" w:rsidRPr="002A75F2">
        <w:rPr>
          <w:rFonts w:cs="Arial"/>
          <w:b/>
        </w:rPr>
        <w:t>c</w:t>
      </w:r>
      <w:r w:rsidRPr="002A75F2">
        <w:rPr>
          <w:rFonts w:cs="Arial"/>
          <w:b/>
        </w:rPr>
        <w:t xml:space="preserve">onceptual </w:t>
      </w:r>
      <w:r w:rsidR="00D16E05" w:rsidRPr="002A75F2">
        <w:rPr>
          <w:rFonts w:cs="Arial"/>
          <w:b/>
        </w:rPr>
        <w:t>s</w:t>
      </w:r>
      <w:r w:rsidRPr="002A75F2">
        <w:rPr>
          <w:rFonts w:cs="Arial"/>
          <w:b/>
        </w:rPr>
        <w:t xml:space="preserve">ite </w:t>
      </w:r>
      <w:r w:rsidR="00D16E05" w:rsidRPr="002A75F2">
        <w:rPr>
          <w:rFonts w:cs="Arial"/>
          <w:b/>
        </w:rPr>
        <w:t>m</w:t>
      </w:r>
      <w:r w:rsidRPr="002A75F2">
        <w:rPr>
          <w:rFonts w:cs="Arial"/>
          <w:b/>
        </w:rPr>
        <w:t>odel:</w:t>
      </w:r>
      <w:r w:rsidRPr="002A75F2">
        <w:rPr>
          <w:rFonts w:cs="Arial"/>
        </w:rPr>
        <w:t xml:space="preserve"> A diagram with explanatory text that provides information for all contaminants of concern that exceed the</w:t>
      </w:r>
      <w:r w:rsidR="00324627" w:rsidRPr="002A75F2">
        <w:rPr>
          <w:rFonts w:cs="Arial"/>
        </w:rPr>
        <w:t>ir</w:t>
      </w:r>
      <w:r w:rsidRPr="002A75F2">
        <w:rPr>
          <w:rFonts w:cs="Arial"/>
        </w:rPr>
        <w:t xml:space="preserve"> applicable site condition standard including (</w:t>
      </w:r>
      <w:proofErr w:type="spellStart"/>
      <w:r w:rsidRPr="002A75F2">
        <w:rPr>
          <w:rFonts w:cs="Arial"/>
        </w:rPr>
        <w:t>i</w:t>
      </w:r>
      <w:proofErr w:type="spellEnd"/>
      <w:r w:rsidRPr="002A75F2">
        <w:rPr>
          <w:rFonts w:cs="Arial"/>
        </w:rPr>
        <w:t xml:space="preserve">) the release mechanisms, (ii) contaminant transport pathway, (iii) the human receptors, (iv) receptor exposure points, and (v) routes of exposure and explains how the environmental characterization information from the phase two ESA (including the </w:t>
      </w:r>
      <w:r w:rsidR="00A149F1" w:rsidRPr="002A75F2">
        <w:rPr>
          <w:rFonts w:cs="Arial"/>
        </w:rPr>
        <w:t>phase two conceptual site model</w:t>
      </w:r>
      <w:r w:rsidRPr="002A75F2">
        <w:rPr>
          <w:rFonts w:cs="Arial"/>
        </w:rPr>
        <w:t>) was incorporated and was relied upon in the preparation of the risk assessment.</w:t>
      </w:r>
    </w:p>
    <w:p w14:paraId="712C7F63" w14:textId="34B5B9D8" w:rsidR="00434906" w:rsidRPr="002A75F2" w:rsidRDefault="00434906" w:rsidP="00442CAF">
      <w:pPr>
        <w:pStyle w:val="Glossaryitem"/>
        <w:rPr>
          <w:rFonts w:cs="Arial"/>
        </w:rPr>
      </w:pPr>
      <w:r w:rsidRPr="002A75F2">
        <w:rPr>
          <w:rFonts w:cs="Arial"/>
          <w:b/>
        </w:rPr>
        <w:t xml:space="preserve">Human </w:t>
      </w:r>
      <w:r w:rsidR="00D16E05" w:rsidRPr="002A75F2">
        <w:rPr>
          <w:rFonts w:cs="Arial"/>
          <w:b/>
        </w:rPr>
        <w:t>h</w:t>
      </w:r>
      <w:r w:rsidRPr="002A75F2">
        <w:rPr>
          <w:rFonts w:cs="Arial"/>
          <w:b/>
        </w:rPr>
        <w:t xml:space="preserve">ealth </w:t>
      </w:r>
      <w:r w:rsidR="00D16E05" w:rsidRPr="002A75F2">
        <w:rPr>
          <w:rFonts w:cs="Arial"/>
          <w:b/>
        </w:rPr>
        <w:t>r</w:t>
      </w:r>
      <w:r w:rsidRPr="002A75F2">
        <w:rPr>
          <w:rFonts w:cs="Arial"/>
          <w:b/>
        </w:rPr>
        <w:t xml:space="preserve">isk </w:t>
      </w:r>
      <w:r w:rsidR="00D16E05" w:rsidRPr="002A75F2">
        <w:rPr>
          <w:rFonts w:cs="Arial"/>
          <w:b/>
        </w:rPr>
        <w:t>a</w:t>
      </w:r>
      <w:r w:rsidRPr="002A75F2">
        <w:rPr>
          <w:rFonts w:cs="Arial"/>
          <w:b/>
        </w:rPr>
        <w:t>ssessment (HHRA):</w:t>
      </w:r>
      <w:r w:rsidR="00D4507B" w:rsidRPr="002A75F2">
        <w:rPr>
          <w:rFonts w:cs="Arial"/>
        </w:rPr>
        <w:t xml:space="preserve"> </w:t>
      </w:r>
      <w:r w:rsidR="003037EE" w:rsidRPr="002A75F2">
        <w:rPr>
          <w:rFonts w:cs="Arial"/>
        </w:rPr>
        <w:t>A</w:t>
      </w:r>
      <w:r w:rsidRPr="002A75F2">
        <w:rPr>
          <w:rFonts w:cs="Arial"/>
        </w:rPr>
        <w:t xml:space="preserve"> component of a risk assessment that characterizes the nature and magnitude of risks to human health from exposure to contaminants</w:t>
      </w:r>
      <w:r w:rsidR="003037EE" w:rsidRPr="002A75F2">
        <w:rPr>
          <w:rFonts w:cs="Arial"/>
        </w:rPr>
        <w:t xml:space="preserve"> of concern</w:t>
      </w:r>
      <w:r w:rsidRPr="002A75F2">
        <w:rPr>
          <w:rFonts w:cs="Arial"/>
        </w:rPr>
        <w:t>.</w:t>
      </w:r>
    </w:p>
    <w:p w14:paraId="531FFCCC" w14:textId="3C515F58" w:rsidR="009A43C2" w:rsidRPr="002A75F2" w:rsidRDefault="009A43C2" w:rsidP="00442CAF">
      <w:pPr>
        <w:pStyle w:val="Glossaryitem"/>
        <w:rPr>
          <w:rFonts w:cs="Arial"/>
        </w:rPr>
      </w:pPr>
      <w:r w:rsidRPr="002A75F2">
        <w:rPr>
          <w:rFonts w:cs="Arial"/>
          <w:b/>
        </w:rPr>
        <w:t xml:space="preserve">Modified </w:t>
      </w:r>
      <w:r w:rsidR="009B45E0" w:rsidRPr="002A75F2">
        <w:rPr>
          <w:rFonts w:cs="Arial"/>
          <w:b/>
        </w:rPr>
        <w:t>g</w:t>
      </w:r>
      <w:r w:rsidRPr="002A75F2">
        <w:rPr>
          <w:rFonts w:cs="Arial"/>
          <w:b/>
        </w:rPr>
        <w:t xml:space="preserve">eneric </w:t>
      </w:r>
      <w:r w:rsidR="009B45E0" w:rsidRPr="002A75F2">
        <w:rPr>
          <w:rFonts w:cs="Arial"/>
          <w:b/>
        </w:rPr>
        <w:t>r</w:t>
      </w:r>
      <w:r w:rsidRPr="002A75F2">
        <w:rPr>
          <w:rFonts w:cs="Arial"/>
          <w:b/>
        </w:rPr>
        <w:t xml:space="preserve">isk </w:t>
      </w:r>
      <w:r w:rsidR="009B45E0" w:rsidRPr="002A75F2">
        <w:rPr>
          <w:rFonts w:cs="Arial"/>
          <w:b/>
        </w:rPr>
        <w:t>a</w:t>
      </w:r>
      <w:r w:rsidRPr="002A75F2">
        <w:rPr>
          <w:rFonts w:cs="Arial"/>
          <w:b/>
        </w:rPr>
        <w:t>ssessment (MGRA)</w:t>
      </w:r>
      <w:r w:rsidR="009C2B31" w:rsidRPr="002A75F2">
        <w:rPr>
          <w:rFonts w:cs="Arial"/>
          <w:b/>
        </w:rPr>
        <w:t>:</w:t>
      </w:r>
      <w:r w:rsidR="00D4507B" w:rsidRPr="002A75F2">
        <w:rPr>
          <w:rFonts w:cs="Arial"/>
          <w:b/>
        </w:rPr>
        <w:t xml:space="preserve"> </w:t>
      </w:r>
      <w:r w:rsidR="003037EE" w:rsidRPr="002A75F2">
        <w:rPr>
          <w:rFonts w:cs="Arial"/>
        </w:rPr>
        <w:t>A</w:t>
      </w:r>
      <w:r w:rsidR="008067F1" w:rsidRPr="002A75F2">
        <w:rPr>
          <w:rFonts w:cs="Arial"/>
        </w:rPr>
        <w:t xml:space="preserve"> risk assessment </w:t>
      </w:r>
      <w:r w:rsidR="003F53F4" w:rsidRPr="002A75F2">
        <w:rPr>
          <w:rFonts w:cs="Arial"/>
        </w:rPr>
        <w:t xml:space="preserve">that makes use of the </w:t>
      </w:r>
      <w:r w:rsidR="003037EE" w:rsidRPr="002A75F2">
        <w:rPr>
          <w:rFonts w:cs="Arial"/>
        </w:rPr>
        <w:t>a</w:t>
      </w:r>
      <w:r w:rsidR="003F53F4" w:rsidRPr="002A75F2">
        <w:rPr>
          <w:rFonts w:cs="Arial"/>
        </w:rPr>
        <w:t xml:space="preserve">pproved </w:t>
      </w:r>
      <w:r w:rsidR="003037EE" w:rsidRPr="002A75F2">
        <w:rPr>
          <w:rFonts w:cs="Arial"/>
        </w:rPr>
        <w:t>m</w:t>
      </w:r>
      <w:r w:rsidR="003F53F4" w:rsidRPr="002A75F2">
        <w:rPr>
          <w:rFonts w:cs="Arial"/>
        </w:rPr>
        <w:t xml:space="preserve">odel and is </w:t>
      </w:r>
      <w:r w:rsidR="008067F1" w:rsidRPr="002A75F2">
        <w:rPr>
          <w:rFonts w:cs="Arial"/>
        </w:rPr>
        <w:t xml:space="preserve">completed in accordance with </w:t>
      </w:r>
      <w:r w:rsidR="00070277" w:rsidRPr="002A75F2">
        <w:rPr>
          <w:rFonts w:cs="Arial"/>
        </w:rPr>
        <w:t>sub</w:t>
      </w:r>
      <w:r w:rsidR="008067F1" w:rsidRPr="002A75F2">
        <w:rPr>
          <w:rFonts w:cs="Arial"/>
        </w:rPr>
        <w:t xml:space="preserve">section 7 (3) of Schedule C of </w:t>
      </w:r>
      <w:r w:rsidR="000C34A8" w:rsidRPr="002A75F2">
        <w:rPr>
          <w:rFonts w:cs="Arial"/>
        </w:rPr>
        <w:t>Ontario Regulation 153/04</w:t>
      </w:r>
      <w:r w:rsidR="008067F1" w:rsidRPr="002A75F2">
        <w:rPr>
          <w:rFonts w:cs="Arial"/>
        </w:rPr>
        <w:t>.</w:t>
      </w:r>
      <w:r w:rsidR="005F561D" w:rsidRPr="002A75F2">
        <w:rPr>
          <w:rFonts w:cs="Arial"/>
        </w:rPr>
        <w:t xml:space="preserve"> Also referred to as Tier 2 risk assessment.</w:t>
      </w:r>
    </w:p>
    <w:p w14:paraId="0D320B22" w14:textId="7787BFD2" w:rsidR="00C45E74" w:rsidRPr="002A75F2" w:rsidRDefault="00C45E74" w:rsidP="00442CAF">
      <w:pPr>
        <w:pStyle w:val="Glossaryitem"/>
        <w:rPr>
          <w:rFonts w:cs="Arial"/>
        </w:rPr>
      </w:pPr>
      <w:r w:rsidRPr="002A75F2">
        <w:rPr>
          <w:rFonts w:cs="Arial"/>
          <w:b/>
        </w:rPr>
        <w:t>Natural environment:</w:t>
      </w:r>
      <w:r w:rsidR="00D4507B" w:rsidRPr="002A75F2">
        <w:rPr>
          <w:rFonts w:cs="Arial"/>
          <w:b/>
        </w:rPr>
        <w:t xml:space="preserve"> </w:t>
      </w:r>
      <w:r w:rsidR="00F12711" w:rsidRPr="002A75F2">
        <w:rPr>
          <w:rFonts w:cs="Arial"/>
        </w:rPr>
        <w:t>T</w:t>
      </w:r>
      <w:r w:rsidRPr="002A75F2">
        <w:rPr>
          <w:rFonts w:cs="Arial"/>
        </w:rPr>
        <w:t>he air, land and water, or any combination or part thereof, of the Province of Ontario</w:t>
      </w:r>
      <w:r w:rsidR="00350C20" w:rsidRPr="002A75F2">
        <w:rPr>
          <w:rFonts w:cs="Arial"/>
        </w:rPr>
        <w:t>, as d</w:t>
      </w:r>
      <w:r w:rsidR="00F12711" w:rsidRPr="002A75F2">
        <w:rPr>
          <w:rFonts w:cs="Arial"/>
        </w:rPr>
        <w:t xml:space="preserve">efined in the </w:t>
      </w:r>
      <w:r w:rsidR="0039059C" w:rsidRPr="002A75F2">
        <w:rPr>
          <w:rFonts w:cs="Arial"/>
        </w:rPr>
        <w:t>EPA</w:t>
      </w:r>
      <w:r w:rsidR="00F12711" w:rsidRPr="002A75F2">
        <w:rPr>
          <w:rFonts w:cs="Arial"/>
        </w:rPr>
        <w:t xml:space="preserve">. </w:t>
      </w:r>
    </w:p>
    <w:p w14:paraId="53E1D5D7" w14:textId="77777777" w:rsidR="00434906" w:rsidRPr="002A75F2" w:rsidRDefault="00434906" w:rsidP="00442CAF">
      <w:pPr>
        <w:pStyle w:val="Glossaryitem"/>
        <w:rPr>
          <w:rFonts w:cs="Arial"/>
        </w:rPr>
      </w:pPr>
      <w:r w:rsidRPr="002A75F2">
        <w:rPr>
          <w:rFonts w:cs="Arial"/>
          <w:b/>
        </w:rPr>
        <w:t>On-site:</w:t>
      </w:r>
      <w:r w:rsidRPr="002A75F2">
        <w:rPr>
          <w:rFonts w:cs="Arial"/>
        </w:rPr>
        <w:tab/>
      </w:r>
      <w:r w:rsidR="0039059C" w:rsidRPr="002A75F2">
        <w:rPr>
          <w:rFonts w:cs="Arial"/>
        </w:rPr>
        <w:t>O</w:t>
      </w:r>
      <w:r w:rsidRPr="002A75F2">
        <w:rPr>
          <w:rFonts w:cs="Arial"/>
        </w:rPr>
        <w:t>n the RA propert</w:t>
      </w:r>
      <w:r w:rsidR="0039059C" w:rsidRPr="002A75F2">
        <w:rPr>
          <w:rFonts w:cs="Arial"/>
        </w:rPr>
        <w:t>y</w:t>
      </w:r>
      <w:r w:rsidRPr="002A75F2">
        <w:rPr>
          <w:rFonts w:cs="Arial"/>
        </w:rPr>
        <w:t>.</w:t>
      </w:r>
    </w:p>
    <w:p w14:paraId="19D585AE" w14:textId="77777777" w:rsidR="00434906" w:rsidRPr="002A75F2" w:rsidRDefault="00434906" w:rsidP="00442CAF">
      <w:pPr>
        <w:pStyle w:val="Glossaryitem"/>
        <w:rPr>
          <w:rFonts w:cs="Arial"/>
        </w:rPr>
      </w:pPr>
      <w:r w:rsidRPr="002A75F2">
        <w:rPr>
          <w:rFonts w:cs="Arial"/>
          <w:b/>
        </w:rPr>
        <w:t>Off-site:</w:t>
      </w:r>
      <w:r w:rsidRPr="002A75F2">
        <w:rPr>
          <w:rFonts w:cs="Arial"/>
        </w:rPr>
        <w:tab/>
      </w:r>
      <w:r w:rsidR="0039059C" w:rsidRPr="002A75F2">
        <w:rPr>
          <w:rFonts w:cs="Arial"/>
        </w:rPr>
        <w:t>O</w:t>
      </w:r>
      <w:r w:rsidRPr="002A75F2">
        <w:rPr>
          <w:rFonts w:cs="Arial"/>
        </w:rPr>
        <w:t xml:space="preserve">ff the RA property. </w:t>
      </w:r>
    </w:p>
    <w:p w14:paraId="2F761F41" w14:textId="39512AF0" w:rsidR="00F43219" w:rsidRPr="002A75F2" w:rsidRDefault="00F43219" w:rsidP="00442CAF">
      <w:pPr>
        <w:pStyle w:val="Glossaryitem"/>
        <w:rPr>
          <w:rFonts w:cs="Arial"/>
        </w:rPr>
      </w:pPr>
      <w:r w:rsidRPr="002A75F2">
        <w:rPr>
          <w:rFonts w:cs="Arial"/>
          <w:b/>
        </w:rPr>
        <w:t xml:space="preserve">Phase </w:t>
      </w:r>
      <w:r w:rsidR="00F64BFD" w:rsidRPr="002A75F2">
        <w:rPr>
          <w:rFonts w:cs="Arial"/>
          <w:b/>
        </w:rPr>
        <w:t>o</w:t>
      </w:r>
      <w:r w:rsidRPr="002A75F2">
        <w:rPr>
          <w:rFonts w:cs="Arial"/>
          <w:b/>
        </w:rPr>
        <w:t>ne ESA</w:t>
      </w:r>
      <w:r w:rsidR="009C2B31" w:rsidRPr="002A75F2">
        <w:rPr>
          <w:rFonts w:cs="Arial"/>
          <w:b/>
        </w:rPr>
        <w:t>:</w:t>
      </w:r>
      <w:r w:rsidRPr="002A75F2">
        <w:rPr>
          <w:rFonts w:cs="Arial"/>
        </w:rPr>
        <w:tab/>
      </w:r>
      <w:r w:rsidR="009C3740" w:rsidRPr="002A75F2">
        <w:rPr>
          <w:rFonts w:cs="Arial"/>
        </w:rPr>
        <w:t xml:space="preserve">A phase one ESA is conducted “to determine the likelihood that one or more contaminants have affected all or part of the property” (refer to Definitions in Part XV.1 of the EPA). The specific requirements for </w:t>
      </w:r>
      <w:r w:rsidR="009C3740" w:rsidRPr="002A75F2">
        <w:rPr>
          <w:rFonts w:cs="Arial"/>
        </w:rPr>
        <w:lastRenderedPageBreak/>
        <w:t xml:space="preserve">carrying out a phase one ESA are set out in Part VII and Schedule D of </w:t>
      </w:r>
      <w:r w:rsidR="000C34A8" w:rsidRPr="002A75F2">
        <w:rPr>
          <w:rFonts w:cs="Arial"/>
        </w:rPr>
        <w:t>Ontario Regulation 153/04</w:t>
      </w:r>
      <w:r w:rsidR="009C3740" w:rsidRPr="002A75F2">
        <w:rPr>
          <w:rFonts w:cs="Arial"/>
        </w:rPr>
        <w:t>.</w:t>
      </w:r>
      <w:r w:rsidR="00F12711" w:rsidRPr="002A75F2">
        <w:rPr>
          <w:rFonts w:cs="Arial"/>
        </w:rPr>
        <w:t xml:space="preserve"> Phase one ESAs </w:t>
      </w:r>
      <w:r w:rsidR="00494AB7" w:rsidRPr="002A75F2">
        <w:rPr>
          <w:rFonts w:cs="Arial"/>
        </w:rPr>
        <w:t>include</w:t>
      </w:r>
      <w:r w:rsidR="00F12711" w:rsidRPr="002A75F2">
        <w:rPr>
          <w:rFonts w:cs="Arial"/>
        </w:rPr>
        <w:t xml:space="preserve"> identifying any past or present </w:t>
      </w:r>
      <w:r w:rsidR="00494AB7" w:rsidRPr="002A75F2">
        <w:rPr>
          <w:rFonts w:cs="Arial"/>
        </w:rPr>
        <w:t xml:space="preserve">uses or </w:t>
      </w:r>
      <w:r w:rsidR="00F12711" w:rsidRPr="002A75F2">
        <w:rPr>
          <w:rFonts w:cs="Arial"/>
        </w:rPr>
        <w:t>activities that may have resulted in contamina</w:t>
      </w:r>
      <w:r w:rsidR="00494AB7" w:rsidRPr="002A75F2">
        <w:rPr>
          <w:rFonts w:cs="Arial"/>
        </w:rPr>
        <w:t xml:space="preserve">nts </w:t>
      </w:r>
      <w:r w:rsidR="00F12711" w:rsidRPr="002A75F2">
        <w:rPr>
          <w:rFonts w:cs="Arial"/>
        </w:rPr>
        <w:t>on the property and</w:t>
      </w:r>
      <w:r w:rsidR="00494AB7" w:rsidRPr="002A75F2">
        <w:rPr>
          <w:rFonts w:cs="Arial"/>
        </w:rPr>
        <w:t xml:space="preserve"> </w:t>
      </w:r>
      <w:r w:rsidR="00F12711" w:rsidRPr="002A75F2">
        <w:rPr>
          <w:rFonts w:cs="Arial"/>
        </w:rPr>
        <w:t xml:space="preserve">identifying any areas </w:t>
      </w:r>
      <w:r w:rsidR="00494AB7" w:rsidRPr="002A75F2">
        <w:rPr>
          <w:rFonts w:cs="Arial"/>
        </w:rPr>
        <w:t xml:space="preserve">on, in or under the property </w:t>
      </w:r>
      <w:r w:rsidR="00F12711" w:rsidRPr="002A75F2">
        <w:rPr>
          <w:rFonts w:cs="Arial"/>
        </w:rPr>
        <w:t>where contamina</w:t>
      </w:r>
      <w:r w:rsidR="00494AB7" w:rsidRPr="002A75F2">
        <w:rPr>
          <w:rFonts w:cs="Arial"/>
        </w:rPr>
        <w:t xml:space="preserve">nts are </w:t>
      </w:r>
      <w:r w:rsidR="00F12711" w:rsidRPr="002A75F2">
        <w:rPr>
          <w:rFonts w:cs="Arial"/>
        </w:rPr>
        <w:t xml:space="preserve">potentially </w:t>
      </w:r>
      <w:r w:rsidR="00494AB7" w:rsidRPr="002A75F2">
        <w:rPr>
          <w:rFonts w:cs="Arial"/>
        </w:rPr>
        <w:t>present</w:t>
      </w:r>
      <w:r w:rsidR="00F12711" w:rsidRPr="002A75F2">
        <w:rPr>
          <w:rFonts w:cs="Arial"/>
        </w:rPr>
        <w:t>.</w:t>
      </w:r>
    </w:p>
    <w:p w14:paraId="6199DF8C" w14:textId="2D83EDD5" w:rsidR="00345E8B" w:rsidRPr="002A75F2" w:rsidRDefault="00345E8B" w:rsidP="00442CAF">
      <w:pPr>
        <w:pStyle w:val="Glossaryitem"/>
        <w:rPr>
          <w:rFonts w:cs="Arial"/>
        </w:rPr>
      </w:pPr>
      <w:r w:rsidRPr="002A75F2">
        <w:rPr>
          <w:rFonts w:cs="Arial"/>
          <w:b/>
        </w:rPr>
        <w:t xml:space="preserve">Phase </w:t>
      </w:r>
      <w:r w:rsidR="00D16E05" w:rsidRPr="002A75F2">
        <w:rPr>
          <w:rFonts w:cs="Arial"/>
          <w:b/>
        </w:rPr>
        <w:t>t</w:t>
      </w:r>
      <w:r w:rsidRPr="002A75F2">
        <w:rPr>
          <w:rFonts w:cs="Arial"/>
          <w:b/>
        </w:rPr>
        <w:t xml:space="preserve">wo </w:t>
      </w:r>
      <w:r w:rsidR="00D16E05" w:rsidRPr="002A75F2">
        <w:rPr>
          <w:rFonts w:cs="Arial"/>
          <w:b/>
        </w:rPr>
        <w:t>c</w:t>
      </w:r>
      <w:r w:rsidRPr="002A75F2">
        <w:rPr>
          <w:rFonts w:cs="Arial"/>
          <w:b/>
        </w:rPr>
        <w:t xml:space="preserve">onceptual </w:t>
      </w:r>
      <w:r w:rsidR="00D16E05" w:rsidRPr="002A75F2">
        <w:rPr>
          <w:rFonts w:cs="Arial"/>
          <w:b/>
        </w:rPr>
        <w:t>s</w:t>
      </w:r>
      <w:r w:rsidRPr="002A75F2">
        <w:rPr>
          <w:rFonts w:cs="Arial"/>
          <w:b/>
        </w:rPr>
        <w:t xml:space="preserve">ite </w:t>
      </w:r>
      <w:r w:rsidR="00D16E05" w:rsidRPr="002A75F2">
        <w:rPr>
          <w:rFonts w:cs="Arial"/>
          <w:b/>
        </w:rPr>
        <w:t>m</w:t>
      </w:r>
      <w:r w:rsidRPr="002A75F2">
        <w:rPr>
          <w:rFonts w:cs="Arial"/>
          <w:b/>
        </w:rPr>
        <w:t>odel:</w:t>
      </w:r>
      <w:r w:rsidR="00CC0893" w:rsidRPr="002A75F2">
        <w:rPr>
          <w:rFonts w:cs="Arial"/>
        </w:rPr>
        <w:t xml:space="preserve"> </w:t>
      </w:r>
      <w:r w:rsidR="00F12711" w:rsidRPr="002A75F2">
        <w:rPr>
          <w:rFonts w:cs="Arial"/>
        </w:rPr>
        <w:t>Describes the environmental condition of a property by summarizing the presence, location and concentration of any contaminants of concern in soil, groundwater and/or sediment as determined by the phase two ESA.</w:t>
      </w:r>
    </w:p>
    <w:p w14:paraId="6721DD04" w14:textId="7D88E557" w:rsidR="00F43219" w:rsidRPr="002A75F2" w:rsidRDefault="00F43219" w:rsidP="00442CAF">
      <w:pPr>
        <w:pStyle w:val="Glossaryitem"/>
        <w:rPr>
          <w:rFonts w:cs="Arial"/>
        </w:rPr>
      </w:pPr>
      <w:r w:rsidRPr="002A75F2">
        <w:rPr>
          <w:rFonts w:cs="Arial"/>
          <w:b/>
        </w:rPr>
        <w:t xml:space="preserve">Phase </w:t>
      </w:r>
      <w:r w:rsidR="00F64BFD" w:rsidRPr="002A75F2">
        <w:rPr>
          <w:rFonts w:cs="Arial"/>
          <w:b/>
        </w:rPr>
        <w:t>t</w:t>
      </w:r>
      <w:r w:rsidRPr="002A75F2">
        <w:rPr>
          <w:rFonts w:cs="Arial"/>
          <w:b/>
        </w:rPr>
        <w:t>wo ESA</w:t>
      </w:r>
      <w:r w:rsidR="009C2B31" w:rsidRPr="002A75F2">
        <w:rPr>
          <w:rFonts w:cs="Arial"/>
          <w:b/>
        </w:rPr>
        <w:t>:</w:t>
      </w:r>
      <w:r w:rsidRPr="002A75F2">
        <w:rPr>
          <w:rFonts w:cs="Arial"/>
        </w:rPr>
        <w:tab/>
      </w:r>
      <w:r w:rsidR="00F12711" w:rsidRPr="002A75F2">
        <w:rPr>
          <w:rFonts w:cs="Arial"/>
        </w:rPr>
        <w:t>A</w:t>
      </w:r>
      <w:r w:rsidR="009C3740" w:rsidRPr="002A75F2">
        <w:rPr>
          <w:rFonts w:cs="Arial"/>
        </w:rPr>
        <w:t xml:space="preserve"> phase two ESA is conducted “to determine the location and concentration of one or more contaminants in the natural environment” (refer to “Definitions” in Part XV.1 of the EPA). The specific requirements for carrying out a phase two ESA are set out in Part VIII and Schedule E of </w:t>
      </w:r>
      <w:r w:rsidR="000C34A8" w:rsidRPr="002A75F2">
        <w:rPr>
          <w:rFonts w:cs="Arial"/>
        </w:rPr>
        <w:t>Ontario Regulation 153/04</w:t>
      </w:r>
      <w:r w:rsidR="009C3740" w:rsidRPr="002A75F2">
        <w:rPr>
          <w:rFonts w:cs="Arial"/>
        </w:rPr>
        <w:t>.</w:t>
      </w:r>
      <w:r w:rsidR="00F12711" w:rsidRPr="002A75F2">
        <w:rPr>
          <w:rFonts w:cs="Arial"/>
        </w:rPr>
        <w:t xml:space="preserve"> Phase two ESAs </w:t>
      </w:r>
      <w:r w:rsidR="00494AB7" w:rsidRPr="002A75F2">
        <w:rPr>
          <w:rFonts w:cs="Arial"/>
        </w:rPr>
        <w:t>include</w:t>
      </w:r>
      <w:r w:rsidR="00F12711" w:rsidRPr="002A75F2">
        <w:rPr>
          <w:rFonts w:cs="Arial"/>
        </w:rPr>
        <w:t xml:space="preserve"> a physical site investigation (e.g. undertaking sampling and analysis of soil, </w:t>
      </w:r>
      <w:r w:rsidR="009563DD" w:rsidRPr="002A75F2">
        <w:rPr>
          <w:rFonts w:cs="Arial"/>
        </w:rPr>
        <w:t xml:space="preserve">groundwater </w:t>
      </w:r>
      <w:r w:rsidR="00F12711" w:rsidRPr="002A75F2">
        <w:rPr>
          <w:rFonts w:cs="Arial"/>
        </w:rPr>
        <w:t>and/or</w:t>
      </w:r>
      <w:r w:rsidR="009563DD" w:rsidRPr="002A75F2">
        <w:rPr>
          <w:rFonts w:cs="Arial"/>
        </w:rPr>
        <w:t xml:space="preserve"> sediment</w:t>
      </w:r>
      <w:r w:rsidR="00F12711" w:rsidRPr="002A75F2">
        <w:rPr>
          <w:rFonts w:cs="Arial"/>
        </w:rPr>
        <w:t>) to determine the presence, location, and concentration of any contaminants of concern.</w:t>
      </w:r>
    </w:p>
    <w:p w14:paraId="1928D685" w14:textId="1E74101A" w:rsidR="00F43219" w:rsidRPr="002A75F2" w:rsidRDefault="00F43219" w:rsidP="00442CAF">
      <w:pPr>
        <w:pStyle w:val="Glossaryitem"/>
        <w:rPr>
          <w:rFonts w:cs="Arial"/>
        </w:rPr>
      </w:pPr>
      <w:r w:rsidRPr="002A75F2">
        <w:rPr>
          <w:rFonts w:cs="Arial"/>
          <w:b/>
        </w:rPr>
        <w:t>Pre-</w:t>
      </w:r>
      <w:r w:rsidR="00BA67AD" w:rsidRPr="002A75F2">
        <w:rPr>
          <w:rFonts w:cs="Arial"/>
          <w:b/>
        </w:rPr>
        <w:t>s</w:t>
      </w:r>
      <w:r w:rsidRPr="002A75F2">
        <w:rPr>
          <w:rFonts w:cs="Arial"/>
          <w:b/>
        </w:rPr>
        <w:t xml:space="preserve">ubmission </w:t>
      </w:r>
      <w:r w:rsidR="00BA67AD" w:rsidRPr="002A75F2">
        <w:rPr>
          <w:rFonts w:cs="Arial"/>
          <w:b/>
        </w:rPr>
        <w:t>f</w:t>
      </w:r>
      <w:r w:rsidRPr="002A75F2">
        <w:rPr>
          <w:rFonts w:cs="Arial"/>
          <w:b/>
        </w:rPr>
        <w:t>orm (PSF)</w:t>
      </w:r>
      <w:r w:rsidR="009C2B31" w:rsidRPr="002A75F2">
        <w:rPr>
          <w:rFonts w:cs="Arial"/>
          <w:b/>
        </w:rPr>
        <w:t>:</w:t>
      </w:r>
      <w:r w:rsidR="00D4507B" w:rsidRPr="002A75F2">
        <w:rPr>
          <w:rFonts w:cs="Arial"/>
        </w:rPr>
        <w:t xml:space="preserve"> </w:t>
      </w:r>
      <w:r w:rsidR="009A4DC9" w:rsidRPr="002A75F2">
        <w:rPr>
          <w:rFonts w:cs="Arial"/>
        </w:rPr>
        <w:t>A Ministry</w:t>
      </w:r>
      <w:r w:rsidRPr="002A75F2">
        <w:rPr>
          <w:rFonts w:cs="Arial"/>
        </w:rPr>
        <w:t xml:space="preserve"> form that includes a description of the RA </w:t>
      </w:r>
      <w:r w:rsidR="00494AB7" w:rsidRPr="002A75F2">
        <w:rPr>
          <w:rFonts w:cs="Arial"/>
        </w:rPr>
        <w:t>p</w:t>
      </w:r>
      <w:r w:rsidRPr="002A75F2">
        <w:rPr>
          <w:rFonts w:cs="Arial"/>
        </w:rPr>
        <w:t>roperty and property ownership, lists the contaminants of concern, potential receptors; transport and exposure pathways described in the conceptual site model and provides a proposal for proceeding with the risk assessment.</w:t>
      </w:r>
      <w:r w:rsidR="005362BD" w:rsidRPr="002A75F2">
        <w:rPr>
          <w:rFonts w:cs="Arial"/>
        </w:rPr>
        <w:t xml:space="preserve"> </w:t>
      </w:r>
      <w:r w:rsidR="00494AB7" w:rsidRPr="002A75F2">
        <w:rPr>
          <w:rFonts w:cs="Arial"/>
        </w:rPr>
        <w:t xml:space="preserve">The PSF must contain the information specified in subsections 3 (5) to 3 (11) of Schedule C of </w:t>
      </w:r>
      <w:r w:rsidR="000C34A8" w:rsidRPr="002A75F2">
        <w:rPr>
          <w:rFonts w:cs="Arial"/>
        </w:rPr>
        <w:t>Ontario Regulation 153/04</w:t>
      </w:r>
      <w:r w:rsidR="00494AB7" w:rsidRPr="002A75F2">
        <w:rPr>
          <w:rFonts w:cs="Arial"/>
        </w:rPr>
        <w:t>, and any other information required by the Director</w:t>
      </w:r>
      <w:r w:rsidRPr="002A75F2">
        <w:rPr>
          <w:rFonts w:cs="Arial"/>
        </w:rPr>
        <w:t>.</w:t>
      </w:r>
    </w:p>
    <w:p w14:paraId="4EBA6DA7" w14:textId="6D11E952" w:rsidR="003F6A93" w:rsidRPr="002A75F2" w:rsidRDefault="003F6A93" w:rsidP="00442CAF">
      <w:pPr>
        <w:pStyle w:val="Glossaryitem"/>
        <w:rPr>
          <w:rFonts w:cs="Arial"/>
        </w:rPr>
      </w:pPr>
      <w:r w:rsidRPr="002A75F2">
        <w:rPr>
          <w:rFonts w:cs="Arial"/>
          <w:b/>
        </w:rPr>
        <w:t xml:space="preserve">Property </w:t>
      </w:r>
      <w:r w:rsidR="00D16E05" w:rsidRPr="002A75F2">
        <w:rPr>
          <w:rFonts w:cs="Arial"/>
          <w:b/>
        </w:rPr>
        <w:t>s</w:t>
      </w:r>
      <w:r w:rsidRPr="002A75F2">
        <w:rPr>
          <w:rFonts w:cs="Arial"/>
          <w:b/>
        </w:rPr>
        <w:t xml:space="preserve">pecific </w:t>
      </w:r>
      <w:r w:rsidR="00D16E05" w:rsidRPr="002A75F2">
        <w:rPr>
          <w:rFonts w:cs="Arial"/>
          <w:b/>
        </w:rPr>
        <w:t>s</w:t>
      </w:r>
      <w:r w:rsidRPr="002A75F2">
        <w:rPr>
          <w:rFonts w:cs="Arial"/>
          <w:b/>
        </w:rPr>
        <w:t>tandard (PSS):</w:t>
      </w:r>
      <w:r w:rsidR="00D4507B" w:rsidRPr="002A75F2">
        <w:rPr>
          <w:rFonts w:cs="Arial"/>
        </w:rPr>
        <w:t xml:space="preserve"> </w:t>
      </w:r>
      <w:r w:rsidR="00FD455B" w:rsidRPr="002A75F2">
        <w:rPr>
          <w:rFonts w:cs="Arial"/>
        </w:rPr>
        <w:t>A</w:t>
      </w:r>
      <w:r w:rsidRPr="002A75F2">
        <w:rPr>
          <w:rFonts w:cs="Arial"/>
        </w:rPr>
        <w:t xml:space="preserve"> soil, groundwater or sediment standard specified in a risk assessment which has been conducted according to </w:t>
      </w:r>
      <w:r w:rsidR="000C34A8" w:rsidRPr="002A75F2">
        <w:rPr>
          <w:rFonts w:cs="Arial"/>
        </w:rPr>
        <w:t>Ontario Regulation 153/04</w:t>
      </w:r>
      <w:r w:rsidR="009B1697" w:rsidRPr="002A75F2">
        <w:rPr>
          <w:rFonts w:cs="Arial"/>
        </w:rPr>
        <w:t xml:space="preserve"> </w:t>
      </w:r>
      <w:r w:rsidRPr="002A75F2">
        <w:rPr>
          <w:rFonts w:cs="Arial"/>
        </w:rPr>
        <w:t>and accepted by the Director under Section 168.5 of the EPA.</w:t>
      </w:r>
    </w:p>
    <w:p w14:paraId="610D887E" w14:textId="6384A3AD" w:rsidR="00496965" w:rsidRPr="002A75F2" w:rsidRDefault="00496965" w:rsidP="00442CAF">
      <w:pPr>
        <w:pStyle w:val="Glossaryitem"/>
        <w:rPr>
          <w:rFonts w:cs="Arial"/>
        </w:rPr>
      </w:pPr>
      <w:r w:rsidRPr="002A75F2">
        <w:rPr>
          <w:rFonts w:cs="Arial"/>
          <w:b/>
        </w:rPr>
        <w:t>Q</w:t>
      </w:r>
      <w:r w:rsidR="00F64BFD" w:rsidRPr="002A75F2">
        <w:rPr>
          <w:rFonts w:cs="Arial"/>
          <w:b/>
        </w:rPr>
        <w:t xml:space="preserve">ualified </w:t>
      </w:r>
      <w:r w:rsidR="00D16E05" w:rsidRPr="002A75F2">
        <w:rPr>
          <w:rFonts w:cs="Arial"/>
          <w:b/>
        </w:rPr>
        <w:t>p</w:t>
      </w:r>
      <w:r w:rsidR="00F64BFD" w:rsidRPr="002A75F2">
        <w:rPr>
          <w:rFonts w:cs="Arial"/>
          <w:b/>
        </w:rPr>
        <w:t>erson (QP)</w:t>
      </w:r>
      <w:r w:rsidRPr="002A75F2">
        <w:rPr>
          <w:rFonts w:cs="Arial"/>
          <w:b/>
        </w:rPr>
        <w:t>:</w:t>
      </w:r>
      <w:r w:rsidR="00D4507B" w:rsidRPr="002A75F2">
        <w:rPr>
          <w:rFonts w:cs="Arial"/>
        </w:rPr>
        <w:t xml:space="preserve"> </w:t>
      </w:r>
      <w:r w:rsidR="00FD455B" w:rsidRPr="002A75F2">
        <w:rPr>
          <w:rFonts w:cs="Arial"/>
        </w:rPr>
        <w:t xml:space="preserve">A </w:t>
      </w:r>
      <w:r w:rsidRPr="002A75F2">
        <w:rPr>
          <w:rFonts w:cs="Arial"/>
        </w:rPr>
        <w:t>qualified person</w:t>
      </w:r>
      <w:r w:rsidR="00FD455B" w:rsidRPr="002A75F2">
        <w:rPr>
          <w:rFonts w:cs="Arial"/>
        </w:rPr>
        <w:t xml:space="preserve"> for environmental site assessment or risk assessment</w:t>
      </w:r>
      <w:r w:rsidRPr="002A75F2">
        <w:rPr>
          <w:rFonts w:cs="Arial"/>
        </w:rPr>
        <w:t xml:space="preserve">, as defined in either section 5 or 6 of </w:t>
      </w:r>
      <w:r w:rsidR="000C34A8" w:rsidRPr="002A75F2">
        <w:rPr>
          <w:rFonts w:cs="Arial"/>
        </w:rPr>
        <w:t>Ontario Regulation 153/04</w:t>
      </w:r>
      <w:r w:rsidRPr="002A75F2">
        <w:rPr>
          <w:rFonts w:cs="Arial"/>
        </w:rPr>
        <w:t xml:space="preserve">. </w:t>
      </w:r>
    </w:p>
    <w:p w14:paraId="5F3A2808" w14:textId="41165A58" w:rsidR="00496965" w:rsidRPr="002A75F2" w:rsidRDefault="00496965" w:rsidP="00442CAF">
      <w:pPr>
        <w:pStyle w:val="Glossaryitem"/>
        <w:rPr>
          <w:rFonts w:cs="Arial"/>
        </w:rPr>
      </w:pPr>
      <w:r w:rsidRPr="002A75F2">
        <w:rPr>
          <w:rFonts w:cs="Arial"/>
          <w:b/>
        </w:rPr>
        <w:t>QP</w:t>
      </w:r>
      <w:r w:rsidRPr="002A75F2">
        <w:rPr>
          <w:rFonts w:cs="Arial"/>
          <w:b/>
          <w:vertAlign w:val="subscript"/>
        </w:rPr>
        <w:t>ESA</w:t>
      </w:r>
      <w:r w:rsidRPr="002A75F2">
        <w:rPr>
          <w:rFonts w:cs="Arial"/>
          <w:b/>
        </w:rPr>
        <w:t xml:space="preserve"> :</w:t>
      </w:r>
      <w:r w:rsidRPr="002A75F2">
        <w:rPr>
          <w:rFonts w:cs="Arial"/>
        </w:rPr>
        <w:tab/>
      </w:r>
      <w:r w:rsidR="00FD455B" w:rsidRPr="002A75F2">
        <w:rPr>
          <w:rFonts w:cs="Arial"/>
        </w:rPr>
        <w:t xml:space="preserve">A </w:t>
      </w:r>
      <w:r w:rsidRPr="002A75F2">
        <w:rPr>
          <w:rFonts w:cs="Arial"/>
        </w:rPr>
        <w:t xml:space="preserve">qualified person who is responsible for </w:t>
      </w:r>
      <w:r w:rsidR="00FD455B" w:rsidRPr="002A75F2">
        <w:rPr>
          <w:rFonts w:cs="Arial"/>
        </w:rPr>
        <w:t xml:space="preserve">conducting or </w:t>
      </w:r>
      <w:r w:rsidRPr="002A75F2">
        <w:rPr>
          <w:rFonts w:cs="Arial"/>
        </w:rPr>
        <w:t>supervisi</w:t>
      </w:r>
      <w:r w:rsidR="00FD455B" w:rsidRPr="002A75F2">
        <w:rPr>
          <w:rFonts w:cs="Arial"/>
        </w:rPr>
        <w:t xml:space="preserve">ng </w:t>
      </w:r>
      <w:r w:rsidRPr="002A75F2">
        <w:rPr>
          <w:rFonts w:cs="Arial"/>
        </w:rPr>
        <w:t xml:space="preserve">the environmental site assessment for the purposes of section 168.1 of the EPA as set out in section 5 of </w:t>
      </w:r>
      <w:r w:rsidR="000C34A8" w:rsidRPr="002A75F2">
        <w:rPr>
          <w:rFonts w:cs="Arial"/>
        </w:rPr>
        <w:t>Ontario Regulation 153/04</w:t>
      </w:r>
      <w:r w:rsidRPr="002A75F2">
        <w:rPr>
          <w:rFonts w:cs="Arial"/>
        </w:rPr>
        <w:t>.</w:t>
      </w:r>
    </w:p>
    <w:p w14:paraId="551EA813" w14:textId="21ECE375" w:rsidR="00496965" w:rsidRPr="002A75F2" w:rsidRDefault="00496965" w:rsidP="00442CAF">
      <w:pPr>
        <w:pStyle w:val="Glossaryitem"/>
        <w:rPr>
          <w:rFonts w:cs="Arial"/>
        </w:rPr>
      </w:pPr>
      <w:r w:rsidRPr="002A75F2">
        <w:rPr>
          <w:rFonts w:cs="Arial"/>
          <w:b/>
        </w:rPr>
        <w:t>QP</w:t>
      </w:r>
      <w:r w:rsidRPr="002A75F2">
        <w:rPr>
          <w:rFonts w:cs="Arial"/>
          <w:b/>
          <w:vertAlign w:val="subscript"/>
        </w:rPr>
        <w:t>RA</w:t>
      </w:r>
      <w:r w:rsidRPr="002A75F2">
        <w:rPr>
          <w:rFonts w:cs="Arial"/>
          <w:b/>
        </w:rPr>
        <w:t xml:space="preserve"> :</w:t>
      </w:r>
      <w:r w:rsidRPr="002A75F2">
        <w:rPr>
          <w:rFonts w:cs="Arial"/>
          <w:b/>
        </w:rPr>
        <w:tab/>
      </w:r>
      <w:r w:rsidR="00FD455B" w:rsidRPr="002A75F2">
        <w:rPr>
          <w:rFonts w:cs="Arial"/>
        </w:rPr>
        <w:t xml:space="preserve">A </w:t>
      </w:r>
      <w:r w:rsidRPr="002A75F2">
        <w:rPr>
          <w:rFonts w:cs="Arial"/>
        </w:rPr>
        <w:t xml:space="preserve">qualified person who is responsible for conducting or supervising the risk assessment for the purposes of section 168.1 of the EPA as set out in section 6 of </w:t>
      </w:r>
      <w:r w:rsidR="000C34A8" w:rsidRPr="002A75F2">
        <w:rPr>
          <w:rFonts w:cs="Arial"/>
        </w:rPr>
        <w:t>Ontario Regulation 153/04</w:t>
      </w:r>
      <w:r w:rsidRPr="002A75F2">
        <w:rPr>
          <w:rFonts w:cs="Arial"/>
        </w:rPr>
        <w:t>.</w:t>
      </w:r>
    </w:p>
    <w:p w14:paraId="1422D3B2" w14:textId="62615B8D" w:rsidR="0051168C" w:rsidRPr="002A75F2" w:rsidRDefault="0051168C" w:rsidP="00442CAF">
      <w:pPr>
        <w:pStyle w:val="Glossaryitem"/>
        <w:rPr>
          <w:rFonts w:cs="Arial"/>
        </w:rPr>
      </w:pPr>
      <w:r w:rsidRPr="002A75F2">
        <w:rPr>
          <w:rFonts w:cs="Arial"/>
          <w:b/>
        </w:rPr>
        <w:t xml:space="preserve">Record of </w:t>
      </w:r>
      <w:r w:rsidR="00BA67AD" w:rsidRPr="002A75F2">
        <w:rPr>
          <w:rFonts w:cs="Arial"/>
          <w:b/>
        </w:rPr>
        <w:t>s</w:t>
      </w:r>
      <w:r w:rsidRPr="002A75F2">
        <w:rPr>
          <w:rFonts w:cs="Arial"/>
          <w:b/>
        </w:rPr>
        <w:t xml:space="preserve">ite </w:t>
      </w:r>
      <w:r w:rsidR="00BA67AD" w:rsidRPr="002A75F2">
        <w:rPr>
          <w:rFonts w:cs="Arial"/>
          <w:b/>
        </w:rPr>
        <w:t>c</w:t>
      </w:r>
      <w:r w:rsidRPr="002A75F2">
        <w:rPr>
          <w:rFonts w:cs="Arial"/>
          <w:b/>
        </w:rPr>
        <w:t>ondition</w:t>
      </w:r>
      <w:r w:rsidR="00324C12" w:rsidRPr="002A75F2">
        <w:rPr>
          <w:rFonts w:cs="Arial"/>
          <w:b/>
        </w:rPr>
        <w:t xml:space="preserve"> (RSC)</w:t>
      </w:r>
      <w:r w:rsidR="009C2B31" w:rsidRPr="002A75F2">
        <w:rPr>
          <w:rFonts w:cs="Arial"/>
          <w:b/>
        </w:rPr>
        <w:t>:</w:t>
      </w:r>
      <w:r w:rsidR="00D4507B" w:rsidRPr="002A75F2">
        <w:rPr>
          <w:rFonts w:cs="Arial"/>
        </w:rPr>
        <w:t xml:space="preserve"> </w:t>
      </w:r>
      <w:r w:rsidR="00494AB7" w:rsidRPr="002A75F2">
        <w:rPr>
          <w:rFonts w:cs="Arial"/>
        </w:rPr>
        <w:t>A</w:t>
      </w:r>
      <w:r w:rsidR="00957F70" w:rsidRPr="002A75F2">
        <w:rPr>
          <w:rFonts w:cs="Arial"/>
        </w:rPr>
        <w:t>n</w:t>
      </w:r>
      <w:r w:rsidR="00494AB7" w:rsidRPr="002A75F2">
        <w:rPr>
          <w:rFonts w:cs="Arial"/>
        </w:rPr>
        <w:t xml:space="preserve"> RSC is a document which summarizes the environmental condition of a property as determined by a QP by </w:t>
      </w:r>
      <w:r w:rsidR="00494AB7" w:rsidRPr="002A75F2">
        <w:rPr>
          <w:rFonts w:cs="Arial"/>
        </w:rPr>
        <w:lastRenderedPageBreak/>
        <w:t xml:space="preserve">conducting a phase one ESA, a phase two ESA (if required) and confirmatory sampling (if remediation has been undertaken). Under Part XV.1 of the </w:t>
      </w:r>
      <w:r w:rsidR="00494AB7" w:rsidRPr="002A75F2">
        <w:rPr>
          <w:rFonts w:cs="Arial"/>
          <w:i/>
        </w:rPr>
        <w:t>Environmental Protection Act</w:t>
      </w:r>
      <w:r w:rsidR="00494AB7" w:rsidRPr="002A75F2">
        <w:rPr>
          <w:rFonts w:cs="Arial"/>
        </w:rPr>
        <w:t>, a</w:t>
      </w:r>
      <w:r w:rsidR="00957F70" w:rsidRPr="002A75F2">
        <w:rPr>
          <w:rFonts w:cs="Arial"/>
        </w:rPr>
        <w:t>n</w:t>
      </w:r>
      <w:r w:rsidR="00494AB7" w:rsidRPr="002A75F2">
        <w:rPr>
          <w:rFonts w:cs="Arial"/>
        </w:rPr>
        <w:t xml:space="preserve"> RSC must be submitted and filed in the Registry if a property owner wishes to change the use of a property in certain ways and/or obtain protection from potential future environmental orders for the property as specified in Part XV.1.</w:t>
      </w:r>
    </w:p>
    <w:p w14:paraId="172011A2" w14:textId="713EE5D1" w:rsidR="00C77C7F" w:rsidRPr="002A75F2" w:rsidRDefault="00C77C7F" w:rsidP="00442CAF">
      <w:pPr>
        <w:pStyle w:val="Glossaryitem"/>
        <w:rPr>
          <w:rFonts w:cs="Arial"/>
        </w:rPr>
      </w:pPr>
      <w:r w:rsidRPr="002A75F2">
        <w:rPr>
          <w:rFonts w:cs="Arial"/>
          <w:b/>
        </w:rPr>
        <w:t>Remediation:</w:t>
      </w:r>
      <w:r w:rsidRPr="002A75F2">
        <w:rPr>
          <w:rFonts w:cs="Arial"/>
        </w:rPr>
        <w:t xml:space="preserve"> </w:t>
      </w:r>
      <w:r w:rsidRPr="002A75F2">
        <w:rPr>
          <w:rFonts w:cs="Arial"/>
        </w:rPr>
        <w:tab/>
      </w:r>
      <w:r w:rsidR="00F83035" w:rsidRPr="002A75F2">
        <w:rPr>
          <w:rFonts w:cs="Arial"/>
        </w:rPr>
        <w:t>A</w:t>
      </w:r>
      <w:r w:rsidRPr="002A75F2">
        <w:rPr>
          <w:rFonts w:cs="Arial"/>
        </w:rPr>
        <w:t>ction taken to reduce the concentration of contaminants on, in or under a property.</w:t>
      </w:r>
    </w:p>
    <w:p w14:paraId="065782A5" w14:textId="4E13A27B" w:rsidR="001F00CB" w:rsidRPr="002A75F2" w:rsidRDefault="001F00CB" w:rsidP="00442CAF">
      <w:pPr>
        <w:pStyle w:val="Glossaryitem"/>
        <w:rPr>
          <w:rFonts w:cs="Arial"/>
        </w:rPr>
      </w:pPr>
      <w:r w:rsidRPr="002A75F2">
        <w:rPr>
          <w:rFonts w:cs="Arial"/>
          <w:b/>
        </w:rPr>
        <w:t xml:space="preserve">Risk </w:t>
      </w:r>
      <w:r w:rsidR="00D16E05" w:rsidRPr="002A75F2">
        <w:rPr>
          <w:rFonts w:cs="Arial"/>
          <w:b/>
        </w:rPr>
        <w:t>a</w:t>
      </w:r>
      <w:r w:rsidRPr="002A75F2">
        <w:rPr>
          <w:rFonts w:cs="Arial"/>
          <w:b/>
        </w:rPr>
        <w:t>ssessment property (RA property):</w:t>
      </w:r>
      <w:r w:rsidR="00A355BA" w:rsidRPr="002A75F2">
        <w:rPr>
          <w:rFonts w:cs="Arial"/>
        </w:rPr>
        <w:t xml:space="preserve"> </w:t>
      </w:r>
      <w:r w:rsidR="00345658" w:rsidRPr="002A75F2">
        <w:rPr>
          <w:rFonts w:cs="Arial"/>
        </w:rPr>
        <w:t>A</w:t>
      </w:r>
      <w:r w:rsidRPr="002A75F2">
        <w:rPr>
          <w:rFonts w:cs="Arial"/>
        </w:rPr>
        <w:t xml:space="preserve"> property that is the subject of a risk assessment. Defined in section 1 (Definitions) of </w:t>
      </w:r>
      <w:r w:rsidR="000C34A8" w:rsidRPr="002A75F2">
        <w:rPr>
          <w:rFonts w:cs="Arial"/>
        </w:rPr>
        <w:t>Ontario Regulation 153/04</w:t>
      </w:r>
      <w:r w:rsidRPr="002A75F2">
        <w:rPr>
          <w:rFonts w:cs="Arial"/>
        </w:rPr>
        <w:t>.</w:t>
      </w:r>
    </w:p>
    <w:p w14:paraId="3578D554" w14:textId="624D1ACE" w:rsidR="00D4507B" w:rsidRPr="002A75F2" w:rsidRDefault="00D4507B" w:rsidP="00442CAF">
      <w:pPr>
        <w:pStyle w:val="Glossaryitem"/>
        <w:rPr>
          <w:rFonts w:cs="Arial"/>
        </w:rPr>
      </w:pPr>
      <w:r w:rsidRPr="002A75F2">
        <w:rPr>
          <w:rFonts w:cs="Arial"/>
          <w:b/>
        </w:rPr>
        <w:t xml:space="preserve">Risk </w:t>
      </w:r>
      <w:r w:rsidR="00D16E05" w:rsidRPr="002A75F2">
        <w:rPr>
          <w:rFonts w:cs="Arial"/>
          <w:b/>
        </w:rPr>
        <w:t>a</w:t>
      </w:r>
      <w:r w:rsidRPr="002A75F2">
        <w:rPr>
          <w:rFonts w:cs="Arial"/>
          <w:b/>
        </w:rPr>
        <w:t>ssessment report (RA report):</w:t>
      </w:r>
      <w:r w:rsidRPr="002A75F2">
        <w:rPr>
          <w:rFonts w:cs="Arial"/>
        </w:rPr>
        <w:t xml:space="preserve"> Written risk assessment report that includes a description of the assessments of risk, following the conduct of an HHRA and ERA, as described section 3 of Schedule C of </w:t>
      </w:r>
      <w:r w:rsidR="000C34A8" w:rsidRPr="002A75F2">
        <w:rPr>
          <w:rFonts w:cs="Arial"/>
        </w:rPr>
        <w:t>Ontario Regulation 153/04</w:t>
      </w:r>
      <w:r w:rsidRPr="002A75F2">
        <w:rPr>
          <w:rFonts w:cs="Arial"/>
        </w:rPr>
        <w:t xml:space="preserve">. RA report mandatory requirements are specified in section 4 of Schedule C of </w:t>
      </w:r>
      <w:r w:rsidR="000C34A8" w:rsidRPr="002A75F2">
        <w:rPr>
          <w:rFonts w:cs="Arial"/>
        </w:rPr>
        <w:t>Ontario Regulation 153/04</w:t>
      </w:r>
      <w:r w:rsidRPr="002A75F2">
        <w:rPr>
          <w:rFonts w:cs="Arial"/>
        </w:rPr>
        <w:t>.</w:t>
      </w:r>
    </w:p>
    <w:p w14:paraId="44512FA5" w14:textId="5915802E" w:rsidR="005F561D" w:rsidRPr="002A75F2" w:rsidRDefault="005F561D" w:rsidP="00442CAF">
      <w:pPr>
        <w:pStyle w:val="Glossaryitem"/>
        <w:rPr>
          <w:rFonts w:cs="Arial"/>
        </w:rPr>
      </w:pPr>
      <w:r w:rsidRPr="002A75F2">
        <w:rPr>
          <w:rFonts w:cs="Arial"/>
          <w:b/>
        </w:rPr>
        <w:t xml:space="preserve">Risk </w:t>
      </w:r>
      <w:r w:rsidR="00D16E05" w:rsidRPr="002A75F2">
        <w:rPr>
          <w:rFonts w:cs="Arial"/>
          <w:b/>
        </w:rPr>
        <w:t>m</w:t>
      </w:r>
      <w:r w:rsidRPr="002A75F2">
        <w:rPr>
          <w:rFonts w:cs="Arial"/>
          <w:b/>
        </w:rPr>
        <w:t xml:space="preserve">anagement </w:t>
      </w:r>
      <w:r w:rsidR="00D16E05" w:rsidRPr="002A75F2">
        <w:rPr>
          <w:rFonts w:cs="Arial"/>
          <w:b/>
        </w:rPr>
        <w:t>m</w:t>
      </w:r>
      <w:r w:rsidRPr="002A75F2">
        <w:rPr>
          <w:rFonts w:cs="Arial"/>
          <w:b/>
        </w:rPr>
        <w:t>easure:</w:t>
      </w:r>
      <w:r w:rsidR="00D4507B" w:rsidRPr="002A75F2">
        <w:rPr>
          <w:rFonts w:cs="Arial"/>
        </w:rPr>
        <w:t xml:space="preserve"> </w:t>
      </w:r>
      <w:r w:rsidR="005D09F9" w:rsidRPr="002A75F2">
        <w:rPr>
          <w:rFonts w:cs="Arial"/>
        </w:rPr>
        <w:t xml:space="preserve">Measure on the RA property that is designed to prevent, eliminate or ameliorate any adverse effects on or off the RA property. </w:t>
      </w:r>
      <w:r w:rsidR="002B4755" w:rsidRPr="002A75F2">
        <w:rPr>
          <w:rFonts w:cs="Arial"/>
        </w:rPr>
        <w:t>Risk management measures</w:t>
      </w:r>
      <w:r w:rsidR="005D09F9" w:rsidRPr="002A75F2">
        <w:rPr>
          <w:rFonts w:cs="Arial"/>
        </w:rPr>
        <w:t xml:space="preserve"> form part of the </w:t>
      </w:r>
      <w:r w:rsidR="002B4755" w:rsidRPr="002A75F2">
        <w:rPr>
          <w:rFonts w:cs="Arial"/>
        </w:rPr>
        <w:t>risk assessment</w:t>
      </w:r>
      <w:r w:rsidR="005D09F9" w:rsidRPr="002A75F2">
        <w:rPr>
          <w:rFonts w:cs="Arial"/>
        </w:rPr>
        <w:t>’s risk management plan, and are intended to control or reduce the level of risk estimated by the risk assessment</w:t>
      </w:r>
      <w:r w:rsidRPr="002A75F2">
        <w:rPr>
          <w:rFonts w:cs="Arial"/>
        </w:rPr>
        <w:t>.</w:t>
      </w:r>
    </w:p>
    <w:p w14:paraId="799DA4D4" w14:textId="430A2DAC" w:rsidR="00997350" w:rsidRPr="002A75F2" w:rsidRDefault="00560381" w:rsidP="00442CAF">
      <w:pPr>
        <w:pStyle w:val="Glossaryitem"/>
        <w:rPr>
          <w:rFonts w:cs="Arial"/>
        </w:rPr>
      </w:pPr>
      <w:r w:rsidRPr="002A75F2">
        <w:rPr>
          <w:rFonts w:cs="Arial"/>
          <w:b/>
        </w:rPr>
        <w:t xml:space="preserve">Site </w:t>
      </w:r>
      <w:r w:rsidR="005B614D" w:rsidRPr="002A75F2">
        <w:rPr>
          <w:rFonts w:cs="Arial"/>
          <w:b/>
        </w:rPr>
        <w:t>c</w:t>
      </w:r>
      <w:r w:rsidRPr="002A75F2">
        <w:rPr>
          <w:rFonts w:cs="Arial"/>
          <w:b/>
        </w:rPr>
        <w:t xml:space="preserve">ondition </w:t>
      </w:r>
      <w:r w:rsidR="005B614D" w:rsidRPr="002A75F2">
        <w:rPr>
          <w:rFonts w:cs="Arial"/>
          <w:b/>
        </w:rPr>
        <w:t>s</w:t>
      </w:r>
      <w:r w:rsidRPr="002A75F2">
        <w:rPr>
          <w:rFonts w:cs="Arial"/>
          <w:b/>
        </w:rPr>
        <w:t xml:space="preserve">tandards </w:t>
      </w:r>
      <w:r w:rsidR="00791043" w:rsidRPr="002A75F2">
        <w:rPr>
          <w:rFonts w:cs="Arial"/>
          <w:b/>
        </w:rPr>
        <w:t>(SCS)</w:t>
      </w:r>
      <w:r w:rsidR="009C2B31" w:rsidRPr="002A75F2">
        <w:rPr>
          <w:rFonts w:cs="Arial"/>
          <w:b/>
        </w:rPr>
        <w:t>:</w:t>
      </w:r>
      <w:r w:rsidR="00D4507B" w:rsidRPr="002A75F2">
        <w:rPr>
          <w:rFonts w:cs="Arial"/>
        </w:rPr>
        <w:t xml:space="preserve"> </w:t>
      </w:r>
      <w:r w:rsidR="00F83035" w:rsidRPr="002A75F2">
        <w:rPr>
          <w:rFonts w:cs="Arial"/>
        </w:rPr>
        <w:t>S</w:t>
      </w:r>
      <w:r w:rsidRPr="002A75F2">
        <w:rPr>
          <w:rFonts w:cs="Arial"/>
        </w:rPr>
        <w:t xml:space="preserve">ite condition standards as defined in </w:t>
      </w:r>
      <w:r w:rsidR="000C34A8" w:rsidRPr="002A75F2">
        <w:rPr>
          <w:rFonts w:cs="Arial"/>
        </w:rPr>
        <w:t xml:space="preserve">Ontario Regulation 153/04 </w:t>
      </w:r>
      <w:r w:rsidRPr="002A75F2">
        <w:rPr>
          <w:rFonts w:cs="Arial"/>
        </w:rPr>
        <w:t>and included in the document</w:t>
      </w:r>
      <w:r w:rsidR="006464F1" w:rsidRPr="002A75F2">
        <w:rPr>
          <w:rFonts w:cs="Arial"/>
        </w:rPr>
        <w:t xml:space="preserve"> </w:t>
      </w:r>
      <w:r w:rsidR="00791043" w:rsidRPr="002A75F2">
        <w:rPr>
          <w:rFonts w:cs="Arial"/>
        </w:rPr>
        <w:t>“</w:t>
      </w:r>
      <w:r w:rsidRPr="002A75F2">
        <w:rPr>
          <w:rFonts w:cs="Arial"/>
        </w:rPr>
        <w:t>Soil, Ground Water and Sediment Standards for Use Under Part XV.1 of the Environmental Protection Act</w:t>
      </w:r>
      <w:r w:rsidR="00791043" w:rsidRPr="002A75F2">
        <w:rPr>
          <w:rFonts w:cs="Arial"/>
        </w:rPr>
        <w:t xml:space="preserve">” </w:t>
      </w:r>
      <w:r w:rsidR="006464F1" w:rsidRPr="002A75F2">
        <w:rPr>
          <w:rFonts w:cs="Arial"/>
        </w:rPr>
        <w:t>published by the Ministry and dated April 15, 2011</w:t>
      </w:r>
      <w:r w:rsidRPr="002A75F2">
        <w:rPr>
          <w:rFonts w:cs="Arial"/>
        </w:rPr>
        <w:t>.</w:t>
      </w:r>
      <w:r w:rsidR="005362BD" w:rsidRPr="002A75F2">
        <w:rPr>
          <w:rFonts w:cs="Arial"/>
        </w:rPr>
        <w:t xml:space="preserve"> </w:t>
      </w:r>
      <w:r w:rsidR="005F561D" w:rsidRPr="002A75F2">
        <w:rPr>
          <w:rFonts w:cs="Arial"/>
        </w:rPr>
        <w:t>Also referred to as generic standards.</w:t>
      </w:r>
    </w:p>
    <w:p w14:paraId="2FC95BB1" w14:textId="449FE854" w:rsidR="00997350" w:rsidRPr="008D65C3" w:rsidRDefault="00997350" w:rsidP="00442CAF">
      <w:pPr>
        <w:pStyle w:val="Glossaryitem"/>
        <w:rPr>
          <w:rFonts w:cs="Arial"/>
        </w:rPr>
      </w:pPr>
      <w:r w:rsidRPr="002A75F2">
        <w:rPr>
          <w:rFonts w:cs="Arial"/>
          <w:b/>
        </w:rPr>
        <w:t xml:space="preserve">Valued </w:t>
      </w:r>
      <w:r w:rsidR="00661AF9" w:rsidRPr="002A75F2">
        <w:rPr>
          <w:rFonts w:cs="Arial"/>
          <w:b/>
        </w:rPr>
        <w:t>e</w:t>
      </w:r>
      <w:r w:rsidRPr="002A75F2">
        <w:rPr>
          <w:rFonts w:cs="Arial"/>
          <w:b/>
        </w:rPr>
        <w:t xml:space="preserve">cosystem </w:t>
      </w:r>
      <w:r w:rsidR="00661AF9" w:rsidRPr="002A75F2">
        <w:rPr>
          <w:rFonts w:cs="Arial"/>
          <w:b/>
        </w:rPr>
        <w:t>c</w:t>
      </w:r>
      <w:r w:rsidRPr="002A75F2">
        <w:rPr>
          <w:rFonts w:cs="Arial"/>
          <w:b/>
        </w:rPr>
        <w:t>omponents (VECs):</w:t>
      </w:r>
      <w:r w:rsidR="00D4507B" w:rsidRPr="002A75F2">
        <w:rPr>
          <w:rFonts w:cs="Arial"/>
        </w:rPr>
        <w:t xml:space="preserve"> </w:t>
      </w:r>
      <w:r w:rsidR="00F83035" w:rsidRPr="002A75F2">
        <w:rPr>
          <w:rFonts w:cs="Arial"/>
        </w:rPr>
        <w:t>S</w:t>
      </w:r>
      <w:r w:rsidRPr="002A75F2">
        <w:rPr>
          <w:rFonts w:cs="Arial"/>
        </w:rPr>
        <w:t>pecific ecological receptors (</w:t>
      </w:r>
      <w:r w:rsidR="00F83035" w:rsidRPr="002A75F2">
        <w:rPr>
          <w:rFonts w:cs="Arial"/>
        </w:rPr>
        <w:t xml:space="preserve">e.g. individual organism, </w:t>
      </w:r>
      <w:r w:rsidRPr="002A75F2">
        <w:rPr>
          <w:rFonts w:cs="Arial"/>
        </w:rPr>
        <w:t>species</w:t>
      </w:r>
      <w:r w:rsidR="00F83035" w:rsidRPr="002A75F2">
        <w:rPr>
          <w:rFonts w:cs="Arial"/>
        </w:rPr>
        <w:t xml:space="preserve">, population, community, specific </w:t>
      </w:r>
      <w:r w:rsidRPr="002A75F2">
        <w:rPr>
          <w:rFonts w:cs="Arial"/>
        </w:rPr>
        <w:t xml:space="preserve">habitat) that have been determined to be of ecological importance at the </w:t>
      </w:r>
      <w:r w:rsidR="005D09F9" w:rsidRPr="002A75F2">
        <w:rPr>
          <w:rFonts w:cs="Arial"/>
        </w:rPr>
        <w:t xml:space="preserve">RA property </w:t>
      </w:r>
      <w:r w:rsidRPr="002A75F2">
        <w:rPr>
          <w:rFonts w:cs="Arial"/>
        </w:rPr>
        <w:t>considering the current and proposed land use</w:t>
      </w:r>
      <w:r w:rsidR="00515C36" w:rsidRPr="002A75F2">
        <w:rPr>
          <w:rFonts w:cs="Arial"/>
        </w:rPr>
        <w:t>.</w:t>
      </w:r>
    </w:p>
    <w:p w14:paraId="5ACF66BF" w14:textId="77777777" w:rsidR="00997350" w:rsidRPr="008D65C3" w:rsidRDefault="00997350" w:rsidP="002E7F31">
      <w:pPr>
        <w:pStyle w:val="Glossaryitem"/>
        <w:rPr>
          <w:rFonts w:cs="Arial"/>
        </w:rPr>
      </w:pPr>
    </w:p>
    <w:p w14:paraId="61A5983C" w14:textId="77777777" w:rsidR="00C64A7E" w:rsidRPr="008D65C3" w:rsidRDefault="00DC3674" w:rsidP="002D7DFD">
      <w:pPr>
        <w:pStyle w:val="Glossaryitem"/>
        <w:tabs>
          <w:tab w:val="clear" w:pos="360"/>
        </w:tabs>
        <w:ind w:left="0" w:firstLine="0"/>
        <w:rPr>
          <w:rFonts w:cs="Arial"/>
        </w:rPr>
      </w:pPr>
      <w:r w:rsidRPr="008D65C3">
        <w:rPr>
          <w:rFonts w:cs="Arial"/>
        </w:rPr>
        <w:br/>
      </w:r>
      <w:r w:rsidR="00C64A7E" w:rsidRPr="008D65C3">
        <w:rPr>
          <w:rFonts w:cs="Arial"/>
        </w:rPr>
        <w:br/>
      </w:r>
      <w:r w:rsidR="00C64A7E" w:rsidRPr="008D65C3">
        <w:rPr>
          <w:rFonts w:cs="Arial"/>
          <w:b/>
        </w:rPr>
        <w:br/>
      </w:r>
    </w:p>
    <w:p w14:paraId="28CE1063" w14:textId="77777777" w:rsidR="00356BD9" w:rsidRPr="008D65C3" w:rsidRDefault="00356BD9" w:rsidP="00C64A7E">
      <w:pPr>
        <w:pStyle w:val="Glossaryitem"/>
        <w:tabs>
          <w:tab w:val="clear" w:pos="360"/>
        </w:tabs>
        <w:ind w:left="0" w:firstLine="0"/>
        <w:rPr>
          <w:rFonts w:cs="Arial"/>
        </w:rPr>
      </w:pPr>
    </w:p>
    <w:p w14:paraId="04577099" w14:textId="77777777" w:rsidR="00356BD9" w:rsidRPr="008D65C3" w:rsidRDefault="00356BD9" w:rsidP="00C64A7E">
      <w:pPr>
        <w:pStyle w:val="Glossaryitem"/>
        <w:tabs>
          <w:tab w:val="clear" w:pos="360"/>
        </w:tabs>
        <w:ind w:left="0" w:firstLine="0"/>
        <w:rPr>
          <w:rFonts w:cs="Arial"/>
        </w:rPr>
      </w:pPr>
    </w:p>
    <w:p w14:paraId="29874DC3" w14:textId="77777777" w:rsidR="00356BD9" w:rsidRPr="008D65C3" w:rsidRDefault="00356BD9" w:rsidP="00356BD9">
      <w:pPr>
        <w:pStyle w:val="Introduction"/>
        <w:jc w:val="left"/>
        <w:rPr>
          <w:rFonts w:cs="Arial"/>
        </w:rPr>
        <w:sectPr w:rsidR="00356BD9" w:rsidRPr="008D65C3" w:rsidSect="00C3563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634" w:footer="1440" w:gutter="0"/>
          <w:pgNumType w:fmt="lowerRoman" w:start="1"/>
          <w:cols w:space="720"/>
          <w:titlePg/>
          <w:docGrid w:linePitch="326"/>
        </w:sectPr>
      </w:pPr>
    </w:p>
    <w:p w14:paraId="46BF03D0" w14:textId="454E498D" w:rsidR="00B736F9" w:rsidRPr="008D65C3" w:rsidRDefault="00A46E8A" w:rsidP="0053573D">
      <w:pPr>
        <w:pStyle w:val="Heading1"/>
      </w:pPr>
      <w:bookmarkStart w:id="13" w:name="_Toc78162186"/>
      <w:bookmarkStart w:id="14" w:name="_Toc79571572"/>
      <w:bookmarkStart w:id="15" w:name="_Toc91393525"/>
      <w:bookmarkStart w:id="16" w:name="_Toc112727391"/>
      <w:bookmarkStart w:id="17" w:name="_Toc41905638"/>
      <w:bookmarkEnd w:id="7"/>
      <w:r w:rsidRPr="008D65C3">
        <w:lastRenderedPageBreak/>
        <w:t xml:space="preserve">Initiating </w:t>
      </w:r>
      <w:r w:rsidR="00391A0F" w:rsidRPr="008D65C3">
        <w:t>t</w:t>
      </w:r>
      <w:r w:rsidRPr="008D65C3">
        <w:t>he Risk Assessment</w:t>
      </w:r>
      <w:bookmarkEnd w:id="8"/>
      <w:bookmarkEnd w:id="9"/>
      <w:bookmarkEnd w:id="13"/>
      <w:bookmarkEnd w:id="14"/>
      <w:bookmarkEnd w:id="15"/>
      <w:bookmarkEnd w:id="16"/>
      <w:bookmarkEnd w:id="17"/>
    </w:p>
    <w:p w14:paraId="29021177" w14:textId="77777777" w:rsidR="00B34DE4" w:rsidRPr="008D65C3" w:rsidRDefault="00B34DE4" w:rsidP="00E51B05">
      <w:pPr>
        <w:pStyle w:val="Heading2"/>
        <w:rPr>
          <w:rFonts w:cs="Arial"/>
        </w:rPr>
      </w:pPr>
      <w:bookmarkStart w:id="18" w:name="_Background_to_Risk_Assessment"/>
      <w:bookmarkStart w:id="19" w:name="_Toc41905639"/>
      <w:bookmarkStart w:id="20" w:name="_Toc74119380"/>
      <w:bookmarkStart w:id="21" w:name="_Toc74450875"/>
      <w:bookmarkStart w:id="22" w:name="_Toc78162187"/>
      <w:bookmarkStart w:id="23" w:name="_Toc79571573"/>
      <w:bookmarkStart w:id="24" w:name="_Toc91393526"/>
      <w:bookmarkStart w:id="25" w:name="_Toc112727392"/>
      <w:bookmarkEnd w:id="18"/>
      <w:r w:rsidRPr="008D65C3">
        <w:rPr>
          <w:rFonts w:cs="Arial"/>
        </w:rPr>
        <w:t>Introduction</w:t>
      </w:r>
      <w:bookmarkEnd w:id="19"/>
    </w:p>
    <w:p w14:paraId="4F64BFF9" w14:textId="3F3843DC" w:rsidR="00E55E7D" w:rsidRPr="002A75F2" w:rsidRDefault="003D5220" w:rsidP="003D5220">
      <w:pPr>
        <w:rPr>
          <w:rFonts w:cs="Arial"/>
          <w:lang w:val="en-GB"/>
        </w:rPr>
      </w:pPr>
      <w:r w:rsidRPr="008D65C3">
        <w:rPr>
          <w:rFonts w:cs="Arial"/>
          <w:lang w:val="en-GB"/>
        </w:rPr>
        <w:t xml:space="preserve">This </w:t>
      </w:r>
      <w:r w:rsidRPr="002A75F2">
        <w:rPr>
          <w:rFonts w:cs="Arial"/>
          <w:lang w:val="en-GB"/>
        </w:rPr>
        <w:t xml:space="preserve">Procedures document contains plain language guidance on how to conduct risk assessment work and </w:t>
      </w:r>
      <w:r w:rsidR="009B1697" w:rsidRPr="002A75F2">
        <w:rPr>
          <w:rFonts w:cs="Arial"/>
          <w:lang w:val="en-GB"/>
        </w:rPr>
        <w:t xml:space="preserve">prepare </w:t>
      </w:r>
      <w:r w:rsidRPr="002A75F2">
        <w:rPr>
          <w:rFonts w:cs="Arial"/>
          <w:lang w:val="en-GB"/>
        </w:rPr>
        <w:t xml:space="preserve">a risk assessment report </w:t>
      </w:r>
      <w:r w:rsidR="007C3247" w:rsidRPr="002A75F2">
        <w:rPr>
          <w:rFonts w:cs="Arial"/>
          <w:lang w:val="en-GB"/>
        </w:rPr>
        <w:t>(RA report)</w:t>
      </w:r>
      <w:r w:rsidR="003A2390" w:rsidRPr="002A75F2">
        <w:rPr>
          <w:rFonts w:cs="Arial"/>
          <w:lang w:val="en-GB"/>
        </w:rPr>
        <w:t xml:space="preserve"> </w:t>
      </w:r>
      <w:r w:rsidRPr="002A75F2">
        <w:rPr>
          <w:rFonts w:cs="Arial"/>
          <w:lang w:val="en-GB"/>
        </w:rPr>
        <w:t>for submission to the Ministry of the Environment</w:t>
      </w:r>
      <w:r w:rsidR="001B6B25" w:rsidRPr="002A75F2">
        <w:rPr>
          <w:rFonts w:cs="Arial"/>
          <w:lang w:val="en-GB"/>
        </w:rPr>
        <w:t xml:space="preserve">, Conservation and Parks </w:t>
      </w:r>
      <w:r w:rsidRPr="002A75F2">
        <w:rPr>
          <w:rFonts w:cs="Arial"/>
          <w:lang w:val="en-GB"/>
        </w:rPr>
        <w:t xml:space="preserve">(the </w:t>
      </w:r>
      <w:r w:rsidR="002D7DFD" w:rsidRPr="002A75F2">
        <w:rPr>
          <w:rFonts w:cs="Arial"/>
          <w:lang w:val="en-GB"/>
        </w:rPr>
        <w:t>M</w:t>
      </w:r>
      <w:r w:rsidRPr="002A75F2">
        <w:rPr>
          <w:rFonts w:cs="Arial"/>
          <w:lang w:val="en-GB"/>
        </w:rPr>
        <w:t xml:space="preserve">inistry) under section 168.5 of the </w:t>
      </w:r>
      <w:r w:rsidRPr="002A75F2">
        <w:rPr>
          <w:rFonts w:cs="Arial"/>
          <w:i/>
          <w:lang w:val="en-GB"/>
        </w:rPr>
        <w:t>Environmental Protection Act</w:t>
      </w:r>
      <w:r w:rsidRPr="002A75F2">
        <w:rPr>
          <w:rFonts w:cs="Arial"/>
          <w:lang w:val="en-GB"/>
        </w:rPr>
        <w:t xml:space="preserve"> (EPA) and Schedule C </w:t>
      </w:r>
      <w:r w:rsidR="006B5E7E" w:rsidRPr="002A75F2">
        <w:rPr>
          <w:rFonts w:cs="Arial"/>
          <w:lang w:val="en-GB"/>
        </w:rPr>
        <w:t>of O</w:t>
      </w:r>
      <w:r w:rsidR="005C42D6" w:rsidRPr="002A75F2">
        <w:rPr>
          <w:rFonts w:cs="Arial"/>
          <w:lang w:val="en-GB"/>
        </w:rPr>
        <w:t xml:space="preserve">ntario </w:t>
      </w:r>
      <w:r w:rsidR="006B5E7E" w:rsidRPr="002A75F2">
        <w:rPr>
          <w:rFonts w:cs="Arial"/>
          <w:lang w:val="en-GB"/>
        </w:rPr>
        <w:t>Reg</w:t>
      </w:r>
      <w:r w:rsidR="005C42D6" w:rsidRPr="002A75F2">
        <w:rPr>
          <w:rFonts w:cs="Arial"/>
          <w:lang w:val="en-GB"/>
        </w:rPr>
        <w:t>ulation</w:t>
      </w:r>
      <w:r w:rsidR="006B5E7E" w:rsidRPr="002A75F2">
        <w:rPr>
          <w:rFonts w:cs="Arial"/>
          <w:lang w:val="en-GB"/>
        </w:rPr>
        <w:t xml:space="preserve"> 153/04 </w:t>
      </w:r>
      <w:r w:rsidRPr="002A75F2">
        <w:rPr>
          <w:rFonts w:cs="Arial"/>
          <w:lang w:val="en-GB"/>
        </w:rPr>
        <w:t xml:space="preserve">(the Regulation). The Regulation governs the preparation of </w:t>
      </w:r>
      <w:r w:rsidR="0019227A" w:rsidRPr="002A75F2">
        <w:rPr>
          <w:rFonts w:cs="Arial"/>
          <w:lang w:val="en-GB"/>
        </w:rPr>
        <w:t xml:space="preserve">a </w:t>
      </w:r>
      <w:r w:rsidRPr="002A75F2">
        <w:rPr>
          <w:rFonts w:cs="Arial"/>
          <w:lang w:val="en-GB"/>
        </w:rPr>
        <w:t>risk assessment in Ontario for chemical contaminants in</w:t>
      </w:r>
      <w:r w:rsidR="0019227A" w:rsidRPr="002A75F2">
        <w:rPr>
          <w:rFonts w:cs="Arial"/>
          <w:lang w:val="en-GB"/>
        </w:rPr>
        <w:t xml:space="preserve"> soil, groundwater and sediment to</w:t>
      </w:r>
      <w:r w:rsidRPr="002A75F2">
        <w:rPr>
          <w:rFonts w:cs="Arial"/>
          <w:lang w:val="en-GB"/>
        </w:rPr>
        <w:t xml:space="preserve"> support the submission of a </w:t>
      </w:r>
      <w:r w:rsidR="00B373D7" w:rsidRPr="002A75F2">
        <w:rPr>
          <w:rFonts w:cs="Arial"/>
          <w:lang w:val="en-GB"/>
        </w:rPr>
        <w:t>r</w:t>
      </w:r>
      <w:r w:rsidRPr="002A75F2">
        <w:rPr>
          <w:rFonts w:cs="Arial"/>
          <w:lang w:val="en-GB"/>
        </w:rPr>
        <w:t xml:space="preserve">ecord of </w:t>
      </w:r>
      <w:r w:rsidR="00B373D7" w:rsidRPr="002A75F2">
        <w:rPr>
          <w:rFonts w:cs="Arial"/>
          <w:lang w:val="en-GB"/>
        </w:rPr>
        <w:t>s</w:t>
      </w:r>
      <w:r w:rsidRPr="002A75F2">
        <w:rPr>
          <w:rFonts w:cs="Arial"/>
          <w:lang w:val="en-GB"/>
        </w:rPr>
        <w:t xml:space="preserve">ite </w:t>
      </w:r>
      <w:r w:rsidR="00B373D7" w:rsidRPr="002A75F2">
        <w:rPr>
          <w:rFonts w:cs="Arial"/>
          <w:lang w:val="en-GB"/>
        </w:rPr>
        <w:t>c</w:t>
      </w:r>
      <w:r w:rsidRPr="002A75F2">
        <w:rPr>
          <w:rFonts w:cs="Arial"/>
          <w:lang w:val="en-GB"/>
        </w:rPr>
        <w:t>ondition (RSC) for a</w:t>
      </w:r>
      <w:r w:rsidR="007C0F5A" w:rsidRPr="002A75F2">
        <w:rPr>
          <w:rFonts w:cs="Arial"/>
          <w:lang w:val="en-GB"/>
        </w:rPr>
        <w:t xml:space="preserve"> </w:t>
      </w:r>
      <w:r w:rsidRPr="002A75F2">
        <w:rPr>
          <w:rFonts w:cs="Arial"/>
          <w:lang w:val="en-GB"/>
        </w:rPr>
        <w:t xml:space="preserve">property. </w:t>
      </w:r>
      <w:r w:rsidR="003A2390" w:rsidRPr="002A75F2">
        <w:rPr>
          <w:rFonts w:cs="Arial"/>
          <w:lang w:val="en-GB"/>
        </w:rPr>
        <w:t>RA reports</w:t>
      </w:r>
      <w:r w:rsidRPr="002A75F2">
        <w:rPr>
          <w:rFonts w:cs="Arial"/>
          <w:lang w:val="en-GB"/>
        </w:rPr>
        <w:t xml:space="preserve"> must comply with the mandatory requirements specified in Schedule C (including Table 1 of Schedule C). </w:t>
      </w:r>
      <w:r w:rsidR="0019227A" w:rsidRPr="002A75F2">
        <w:rPr>
          <w:rFonts w:cs="Arial"/>
          <w:lang w:val="en-GB"/>
        </w:rPr>
        <w:t>In this document, r</w:t>
      </w:r>
      <w:r w:rsidRPr="002A75F2">
        <w:rPr>
          <w:rFonts w:cs="Arial"/>
          <w:lang w:val="en-GB"/>
        </w:rPr>
        <w:t>eferences to the Regulation and the EPA</w:t>
      </w:r>
      <w:r w:rsidR="0019227A" w:rsidRPr="002A75F2">
        <w:rPr>
          <w:rFonts w:cs="Arial"/>
          <w:lang w:val="en-GB"/>
        </w:rPr>
        <w:t xml:space="preserve">, including </w:t>
      </w:r>
      <w:r w:rsidR="008146FD" w:rsidRPr="002A75F2">
        <w:rPr>
          <w:rFonts w:cs="Arial"/>
          <w:lang w:val="en-GB"/>
        </w:rPr>
        <w:t>portions reproduced exactly</w:t>
      </w:r>
      <w:r w:rsidRPr="002A75F2">
        <w:rPr>
          <w:rFonts w:cs="Arial"/>
          <w:lang w:val="en-GB"/>
        </w:rPr>
        <w:t xml:space="preserve"> from Schedule C</w:t>
      </w:r>
      <w:r w:rsidR="0019227A" w:rsidRPr="002A75F2">
        <w:rPr>
          <w:rFonts w:cs="Arial"/>
          <w:lang w:val="en-GB"/>
        </w:rPr>
        <w:t>,</w:t>
      </w:r>
      <w:r w:rsidRPr="002A75F2">
        <w:rPr>
          <w:rFonts w:cs="Arial"/>
          <w:lang w:val="en-GB"/>
        </w:rPr>
        <w:t xml:space="preserve"> are provided </w:t>
      </w:r>
      <w:r w:rsidR="00E55E7D" w:rsidRPr="002A75F2">
        <w:rPr>
          <w:rFonts w:cs="Arial"/>
          <w:lang w:val="en-GB"/>
        </w:rPr>
        <w:t>to</w:t>
      </w:r>
      <w:r w:rsidRPr="002A75F2">
        <w:rPr>
          <w:rFonts w:cs="Arial"/>
          <w:lang w:val="en-GB"/>
        </w:rPr>
        <w:t xml:space="preserve"> identify the mandatory requirements for all </w:t>
      </w:r>
      <w:r w:rsidR="003A2390" w:rsidRPr="002A75F2">
        <w:rPr>
          <w:rFonts w:cs="Arial"/>
          <w:lang w:val="en-GB"/>
        </w:rPr>
        <w:t>RA</w:t>
      </w:r>
      <w:r w:rsidRPr="002A75F2">
        <w:rPr>
          <w:rFonts w:cs="Arial"/>
          <w:lang w:val="en-GB"/>
        </w:rPr>
        <w:t xml:space="preserve"> reports and </w:t>
      </w:r>
      <w:r w:rsidR="00E55E7D" w:rsidRPr="002A75F2">
        <w:rPr>
          <w:rFonts w:cs="Arial"/>
          <w:lang w:val="en-GB"/>
        </w:rPr>
        <w:t xml:space="preserve">also to </w:t>
      </w:r>
      <w:r w:rsidRPr="002A75F2">
        <w:rPr>
          <w:rFonts w:cs="Arial"/>
          <w:lang w:val="en-GB"/>
        </w:rPr>
        <w:t xml:space="preserve">identify the characteristics of risk assessments that may use alternate procedures and be subject to alternate review timelines. However, </w:t>
      </w:r>
      <w:r w:rsidR="008146FD" w:rsidRPr="002A75F2">
        <w:rPr>
          <w:rFonts w:cs="Arial"/>
          <w:lang w:val="en-GB"/>
        </w:rPr>
        <w:t xml:space="preserve">it is important that </w:t>
      </w:r>
      <w:r w:rsidR="00E55E7D" w:rsidRPr="002A75F2">
        <w:rPr>
          <w:rFonts w:cs="Arial"/>
          <w:lang w:val="en-GB"/>
        </w:rPr>
        <w:t>property owners and qualified persons</w:t>
      </w:r>
      <w:r w:rsidR="009C3DA4" w:rsidRPr="002A75F2">
        <w:rPr>
          <w:rFonts w:cs="Arial"/>
          <w:lang w:val="en-GB"/>
        </w:rPr>
        <w:t xml:space="preserve"> (QPs)</w:t>
      </w:r>
      <w:r w:rsidRPr="002A75F2">
        <w:rPr>
          <w:rFonts w:cs="Arial"/>
          <w:lang w:val="en-GB"/>
        </w:rPr>
        <w:t xml:space="preserve"> </w:t>
      </w:r>
      <w:r w:rsidR="008146FD" w:rsidRPr="002A75F2">
        <w:rPr>
          <w:rFonts w:cs="Arial"/>
          <w:lang w:val="en-GB"/>
        </w:rPr>
        <w:t xml:space="preserve">consult the actual </w:t>
      </w:r>
      <w:r w:rsidRPr="002A75F2">
        <w:rPr>
          <w:rFonts w:cs="Arial"/>
          <w:lang w:val="en-GB"/>
        </w:rPr>
        <w:t>legislation and regulations</w:t>
      </w:r>
      <w:r w:rsidR="008146FD" w:rsidRPr="002A75F2">
        <w:rPr>
          <w:rFonts w:cs="Arial"/>
          <w:lang w:val="en-GB"/>
        </w:rPr>
        <w:t>, as amended, and seek the advice of a lawyer as appropriate.</w:t>
      </w:r>
    </w:p>
    <w:p w14:paraId="672580B5" w14:textId="2E268E11" w:rsidR="003D5220" w:rsidRPr="002A75F2" w:rsidRDefault="003D5220" w:rsidP="003D5220">
      <w:pPr>
        <w:rPr>
          <w:rFonts w:cs="Arial"/>
          <w:lang w:val="en-GB"/>
        </w:rPr>
      </w:pPr>
      <w:r w:rsidRPr="002A75F2">
        <w:rPr>
          <w:rFonts w:cs="Arial"/>
          <w:lang w:val="en-GB"/>
        </w:rPr>
        <w:t xml:space="preserve">Where </w:t>
      </w:r>
      <w:r w:rsidR="00E55E7D" w:rsidRPr="002A75F2">
        <w:rPr>
          <w:rFonts w:cs="Arial"/>
          <w:lang w:val="en-GB"/>
        </w:rPr>
        <w:t>this</w:t>
      </w:r>
      <w:r w:rsidRPr="002A75F2">
        <w:rPr>
          <w:rFonts w:cs="Arial"/>
          <w:lang w:val="en-GB"/>
        </w:rPr>
        <w:t xml:space="preserve"> document refers to mandatory requirements for </w:t>
      </w:r>
      <w:r w:rsidR="003A2390" w:rsidRPr="002A75F2">
        <w:rPr>
          <w:rFonts w:cs="Arial"/>
          <w:lang w:val="en-GB"/>
        </w:rPr>
        <w:t>RA</w:t>
      </w:r>
      <w:r w:rsidRPr="002A75F2">
        <w:rPr>
          <w:rFonts w:cs="Arial"/>
          <w:lang w:val="en-GB"/>
        </w:rPr>
        <w:t xml:space="preserve"> reports, as set out in </w:t>
      </w:r>
      <w:r w:rsidR="007C0F5A" w:rsidRPr="002A75F2">
        <w:rPr>
          <w:rFonts w:cs="Arial"/>
          <w:lang w:val="en-GB"/>
        </w:rPr>
        <w:t>the R</w:t>
      </w:r>
      <w:r w:rsidRPr="002A75F2">
        <w:rPr>
          <w:rFonts w:cs="Arial"/>
          <w:lang w:val="en-GB"/>
        </w:rPr>
        <w:t xml:space="preserve">egulation, these actions are signified by the word “must”. Failure to meet these mandatory requirements means that the risk assessment will be considered by the </w:t>
      </w:r>
      <w:r w:rsidR="002D7DFD" w:rsidRPr="002A75F2">
        <w:rPr>
          <w:rFonts w:cs="Arial"/>
          <w:lang w:val="en-GB"/>
        </w:rPr>
        <w:t>M</w:t>
      </w:r>
      <w:r w:rsidRPr="002A75F2">
        <w:rPr>
          <w:rFonts w:cs="Arial"/>
          <w:lang w:val="en-GB"/>
        </w:rPr>
        <w:t xml:space="preserve">inistry </w:t>
      </w:r>
      <w:r w:rsidR="00E55E7D" w:rsidRPr="002A75F2">
        <w:rPr>
          <w:rFonts w:cs="Arial"/>
          <w:lang w:val="en-GB"/>
        </w:rPr>
        <w:t>to be incomplete and not in</w:t>
      </w:r>
      <w:r w:rsidRPr="002A75F2">
        <w:rPr>
          <w:rFonts w:cs="Arial"/>
          <w:lang w:val="en-GB"/>
        </w:rPr>
        <w:t xml:space="preserve"> accordance with the Regulation. Where the guidance document indicates that something “should” be done, this </w:t>
      </w:r>
      <w:r w:rsidR="00E55E7D" w:rsidRPr="002A75F2">
        <w:rPr>
          <w:rFonts w:cs="Arial"/>
          <w:lang w:val="en-GB"/>
        </w:rPr>
        <w:t xml:space="preserve">should be interpreted as </w:t>
      </w:r>
      <w:r w:rsidRPr="002A75F2">
        <w:rPr>
          <w:rFonts w:cs="Arial"/>
          <w:lang w:val="en-GB"/>
        </w:rPr>
        <w:t xml:space="preserve">an expression of what the </w:t>
      </w:r>
      <w:r w:rsidR="002D7DFD" w:rsidRPr="002A75F2">
        <w:rPr>
          <w:rFonts w:cs="Arial"/>
          <w:lang w:val="en-GB"/>
        </w:rPr>
        <w:t>M</w:t>
      </w:r>
      <w:r w:rsidRPr="002A75F2">
        <w:rPr>
          <w:rFonts w:cs="Arial"/>
          <w:lang w:val="en-GB"/>
        </w:rPr>
        <w:t xml:space="preserve">inistry considers to be a best practice. </w:t>
      </w:r>
      <w:r w:rsidR="0072248D" w:rsidRPr="002A75F2">
        <w:rPr>
          <w:rFonts w:cs="Arial"/>
          <w:lang w:val="en-GB"/>
        </w:rPr>
        <w:t xml:space="preserve">Additional updates on best practices </w:t>
      </w:r>
      <w:r w:rsidR="00717A6E" w:rsidRPr="002A75F2">
        <w:rPr>
          <w:rFonts w:cs="Arial"/>
          <w:lang w:val="en-GB"/>
        </w:rPr>
        <w:t xml:space="preserve">may </w:t>
      </w:r>
      <w:r w:rsidR="0072248D" w:rsidRPr="002A75F2">
        <w:rPr>
          <w:rFonts w:cs="Arial"/>
          <w:lang w:val="en-GB"/>
        </w:rPr>
        <w:t xml:space="preserve">also </w:t>
      </w:r>
      <w:r w:rsidR="00717A6E" w:rsidRPr="002A75F2">
        <w:rPr>
          <w:rFonts w:cs="Arial"/>
          <w:lang w:val="en-GB"/>
        </w:rPr>
        <w:t xml:space="preserve">be </w:t>
      </w:r>
      <w:r w:rsidR="0072248D" w:rsidRPr="002A75F2">
        <w:rPr>
          <w:rFonts w:cs="Arial"/>
          <w:lang w:val="en-GB"/>
        </w:rPr>
        <w:t xml:space="preserve">provided from time to time by the </w:t>
      </w:r>
      <w:r w:rsidR="00717A6E" w:rsidRPr="002A75F2">
        <w:rPr>
          <w:rFonts w:cs="Arial"/>
          <w:lang w:val="en-GB"/>
        </w:rPr>
        <w:t>M</w:t>
      </w:r>
      <w:r w:rsidR="0072248D" w:rsidRPr="002A75F2">
        <w:rPr>
          <w:rFonts w:cs="Arial"/>
          <w:lang w:val="en-GB"/>
        </w:rPr>
        <w:t xml:space="preserve">inistry </w:t>
      </w:r>
      <w:r w:rsidR="00717A6E" w:rsidRPr="002A75F2">
        <w:rPr>
          <w:rFonts w:cs="Arial"/>
          <w:lang w:val="en-GB"/>
        </w:rPr>
        <w:t>(e.g. on the Min</w:t>
      </w:r>
      <w:r w:rsidR="00E07841" w:rsidRPr="002A75F2">
        <w:rPr>
          <w:rFonts w:cs="Arial"/>
          <w:lang w:val="en-GB"/>
        </w:rPr>
        <w:t>i</w:t>
      </w:r>
      <w:r w:rsidR="00717A6E" w:rsidRPr="002A75F2">
        <w:rPr>
          <w:rFonts w:cs="Arial"/>
          <w:lang w:val="en-GB"/>
        </w:rPr>
        <w:t xml:space="preserve">stry’s brownfields website or </w:t>
      </w:r>
      <w:r w:rsidR="0072248D" w:rsidRPr="002A75F2">
        <w:rPr>
          <w:rFonts w:cs="Arial"/>
          <w:lang w:val="en-GB"/>
        </w:rPr>
        <w:t>through email update</w:t>
      </w:r>
      <w:r w:rsidR="00717A6E" w:rsidRPr="002A75F2">
        <w:rPr>
          <w:rFonts w:cs="Arial"/>
          <w:lang w:val="en-GB"/>
        </w:rPr>
        <w:t>s)</w:t>
      </w:r>
      <w:r w:rsidR="0072248D" w:rsidRPr="002A75F2">
        <w:rPr>
          <w:rFonts w:cs="Arial"/>
          <w:lang w:val="en-GB"/>
        </w:rPr>
        <w:t>.</w:t>
      </w:r>
      <w:r w:rsidR="00717A6E" w:rsidRPr="002A75F2">
        <w:rPr>
          <w:rFonts w:cs="Arial"/>
          <w:lang w:val="en-GB"/>
        </w:rPr>
        <w:t xml:space="preserve"> </w:t>
      </w:r>
      <w:r w:rsidRPr="002A75F2">
        <w:rPr>
          <w:rFonts w:cs="Arial"/>
          <w:lang w:val="en-GB"/>
        </w:rPr>
        <w:t xml:space="preserve">If the best practice is not undertaken, it is advisable that the reasons why the best practice was not followed be </w:t>
      </w:r>
      <w:r w:rsidR="00717A6E" w:rsidRPr="002A75F2">
        <w:rPr>
          <w:rFonts w:cs="Arial"/>
          <w:lang w:val="en-GB"/>
        </w:rPr>
        <w:t>documented</w:t>
      </w:r>
      <w:r w:rsidRPr="002A75F2">
        <w:rPr>
          <w:rFonts w:cs="Arial"/>
          <w:lang w:val="en-GB"/>
        </w:rPr>
        <w:t xml:space="preserve"> in the </w:t>
      </w:r>
      <w:r w:rsidR="003A2390" w:rsidRPr="002A75F2">
        <w:rPr>
          <w:rFonts w:cs="Arial"/>
          <w:lang w:val="en-GB"/>
        </w:rPr>
        <w:t>RA</w:t>
      </w:r>
      <w:r w:rsidRPr="002A75F2">
        <w:rPr>
          <w:rFonts w:cs="Arial"/>
          <w:lang w:val="en-GB"/>
        </w:rPr>
        <w:t xml:space="preserve"> report. </w:t>
      </w:r>
      <w:r w:rsidR="00147634" w:rsidRPr="002A75F2">
        <w:rPr>
          <w:rFonts w:cs="Arial"/>
          <w:lang w:val="en-GB"/>
        </w:rPr>
        <w:t>In deciding whether to accept a risk assessment under section 168.5 of the EPA, one of the factors the Director might consider is whether, and to what extent, best practices have been followed</w:t>
      </w:r>
      <w:r w:rsidRPr="002A75F2">
        <w:rPr>
          <w:rFonts w:cs="Arial"/>
          <w:lang w:val="en-GB"/>
        </w:rPr>
        <w:t>.</w:t>
      </w:r>
    </w:p>
    <w:p w14:paraId="24C78403" w14:textId="592DAD71" w:rsidR="003D5220" w:rsidRPr="002A75F2" w:rsidRDefault="00147634" w:rsidP="003D5220">
      <w:pPr>
        <w:rPr>
          <w:rFonts w:cs="Arial"/>
          <w:lang w:val="en-GB"/>
        </w:rPr>
      </w:pPr>
      <w:r w:rsidRPr="002A75F2">
        <w:rPr>
          <w:rFonts w:cs="Arial"/>
          <w:lang w:val="en-GB"/>
        </w:rPr>
        <w:t>Note that t</w:t>
      </w:r>
      <w:r w:rsidR="003D5220" w:rsidRPr="002A75F2">
        <w:rPr>
          <w:rFonts w:cs="Arial"/>
          <w:lang w:val="en-GB"/>
        </w:rPr>
        <w:t xml:space="preserve">his Procedures document </w:t>
      </w:r>
      <w:r w:rsidRPr="002A75F2">
        <w:rPr>
          <w:rFonts w:cs="Arial"/>
          <w:lang w:val="en-GB"/>
        </w:rPr>
        <w:t xml:space="preserve">does not provide </w:t>
      </w:r>
      <w:r w:rsidR="003D5220" w:rsidRPr="002A75F2">
        <w:rPr>
          <w:rFonts w:cs="Arial"/>
          <w:lang w:val="en-GB"/>
        </w:rPr>
        <w:t xml:space="preserve">a comprehensive description of </w:t>
      </w:r>
      <w:r w:rsidR="00717A6E" w:rsidRPr="002A75F2">
        <w:rPr>
          <w:rFonts w:cs="Arial"/>
          <w:lang w:val="en-GB"/>
        </w:rPr>
        <w:t xml:space="preserve">all possible </w:t>
      </w:r>
      <w:r w:rsidR="003D5220" w:rsidRPr="002A75F2">
        <w:rPr>
          <w:rFonts w:cs="Arial"/>
          <w:lang w:val="en-GB"/>
        </w:rPr>
        <w:t>risk assessment approach</w:t>
      </w:r>
      <w:r w:rsidR="00717A6E" w:rsidRPr="002A75F2">
        <w:rPr>
          <w:rFonts w:cs="Arial"/>
          <w:lang w:val="en-GB"/>
        </w:rPr>
        <w:t>es</w:t>
      </w:r>
      <w:r w:rsidR="003D5220" w:rsidRPr="002A75F2">
        <w:rPr>
          <w:rFonts w:cs="Arial"/>
          <w:lang w:val="en-GB"/>
        </w:rPr>
        <w:t xml:space="preserve"> </w:t>
      </w:r>
      <w:r w:rsidR="00717A6E" w:rsidRPr="002A75F2">
        <w:rPr>
          <w:rFonts w:cs="Arial"/>
          <w:lang w:val="en-GB"/>
        </w:rPr>
        <w:t xml:space="preserve">that may be </w:t>
      </w:r>
      <w:r w:rsidR="003D5220" w:rsidRPr="002A75F2">
        <w:rPr>
          <w:rFonts w:cs="Arial"/>
          <w:lang w:val="en-GB"/>
        </w:rPr>
        <w:t>required for every potential contaminant situation or site condition. Since site conditions differ at each property and decisions may have to be made that are unique to existing circumstances, some risk assessment options are provided. However in all cases, sound scientific judgment should be exercised throughout the risk assessment.</w:t>
      </w:r>
    </w:p>
    <w:p w14:paraId="15201BEB" w14:textId="31E1B284" w:rsidR="003D5220" w:rsidRPr="002A75F2" w:rsidRDefault="0047679A" w:rsidP="003D5220">
      <w:pPr>
        <w:rPr>
          <w:rFonts w:cs="Arial"/>
          <w:lang w:val="en-GB"/>
        </w:rPr>
      </w:pPr>
      <w:r w:rsidRPr="002A75F2">
        <w:rPr>
          <w:rFonts w:cs="Arial"/>
          <w:lang w:val="en-GB"/>
        </w:rPr>
        <w:t>Additional resources for conducting human health and ecological risk assessments should be considered when site contamination or site conditions indicate additional assessment is required or for guidance on specific assessment techniques.</w:t>
      </w:r>
      <w:r w:rsidR="00396010" w:rsidRPr="002A75F2">
        <w:rPr>
          <w:rFonts w:cs="Arial"/>
          <w:lang w:val="en-GB"/>
        </w:rPr>
        <w:t xml:space="preserve"> </w:t>
      </w:r>
      <w:r w:rsidRPr="002A75F2">
        <w:rPr>
          <w:rFonts w:cs="Arial"/>
          <w:lang w:val="en-GB"/>
        </w:rPr>
        <w:t xml:space="preserve">For example, </w:t>
      </w:r>
      <w:r w:rsidR="003D5220" w:rsidRPr="002A75F2">
        <w:rPr>
          <w:rFonts w:cs="Arial"/>
          <w:lang w:val="en-GB"/>
        </w:rPr>
        <w:t>this Procedures document does not provide details for biological or hydrogeological monitoring, or epidemiological studies</w:t>
      </w:r>
      <w:r w:rsidRPr="002A75F2">
        <w:rPr>
          <w:rFonts w:cs="Arial"/>
          <w:lang w:val="en-GB"/>
        </w:rPr>
        <w:t xml:space="preserve">. It is specific to contaminated sites in a brownfields scenario and does not </w:t>
      </w:r>
      <w:r w:rsidR="003D5220" w:rsidRPr="002A75F2">
        <w:rPr>
          <w:rFonts w:cs="Arial"/>
          <w:lang w:val="en-GB"/>
        </w:rPr>
        <w:t>address all activities required for the design of community-based or area-wide risk assessment studies.</w:t>
      </w:r>
    </w:p>
    <w:p w14:paraId="0BDBBC06" w14:textId="3A8A52FC" w:rsidR="00D80442" w:rsidRPr="002A75F2" w:rsidRDefault="003D5220" w:rsidP="003D5220">
      <w:pPr>
        <w:rPr>
          <w:rFonts w:cs="Arial"/>
          <w:lang w:val="en-GB"/>
        </w:rPr>
      </w:pPr>
      <w:r w:rsidRPr="002A75F2">
        <w:rPr>
          <w:rFonts w:cs="Arial"/>
          <w:lang w:val="en-GB"/>
        </w:rPr>
        <w:lastRenderedPageBreak/>
        <w:t xml:space="preserve">This Procedures document is intended for use by experienced risk </w:t>
      </w:r>
      <w:r w:rsidR="006F208B" w:rsidRPr="002A75F2">
        <w:rPr>
          <w:rFonts w:cs="Arial"/>
          <w:lang w:val="en-GB"/>
        </w:rPr>
        <w:t xml:space="preserve">assessment </w:t>
      </w:r>
      <w:r w:rsidR="00EA04AC" w:rsidRPr="002A75F2">
        <w:rPr>
          <w:rFonts w:cs="Arial"/>
          <w:lang w:val="en-GB"/>
        </w:rPr>
        <w:t>practitioners</w:t>
      </w:r>
      <w:r w:rsidR="006F208B" w:rsidRPr="002A75F2">
        <w:rPr>
          <w:rFonts w:cs="Arial"/>
          <w:lang w:val="en-GB"/>
        </w:rPr>
        <w:t>,</w:t>
      </w:r>
      <w:r w:rsidRPr="002A75F2">
        <w:rPr>
          <w:rFonts w:cs="Arial"/>
          <w:lang w:val="en-GB"/>
        </w:rPr>
        <w:t xml:space="preserve"> in conjunction with best professional judgment</w:t>
      </w:r>
      <w:r w:rsidR="006F208B" w:rsidRPr="002A75F2">
        <w:rPr>
          <w:rFonts w:cs="Arial"/>
          <w:lang w:val="en-GB"/>
        </w:rPr>
        <w:t xml:space="preserve"> and current science</w:t>
      </w:r>
      <w:r w:rsidRPr="002A75F2">
        <w:rPr>
          <w:rFonts w:cs="Arial"/>
          <w:lang w:val="en-GB"/>
        </w:rPr>
        <w:t>. Additional information sources are provided at the end of this Procedures document for reference purposes.</w:t>
      </w:r>
    </w:p>
    <w:p w14:paraId="07C8E7C2" w14:textId="679E7000" w:rsidR="00D80442" w:rsidRPr="002A75F2" w:rsidRDefault="00D80442" w:rsidP="003D5220">
      <w:pPr>
        <w:rPr>
          <w:rFonts w:cs="Arial"/>
          <w:lang w:val="en-GB"/>
        </w:rPr>
      </w:pPr>
      <w:r w:rsidRPr="002A75F2">
        <w:rPr>
          <w:rFonts w:cs="Arial"/>
          <w:lang w:val="en-GB"/>
        </w:rPr>
        <w:t xml:space="preserve">Note that this Procedures document was first published by the </w:t>
      </w:r>
      <w:r w:rsidR="00EA04AC" w:rsidRPr="002A75F2">
        <w:rPr>
          <w:rFonts w:cs="Arial"/>
          <w:lang w:val="en-GB"/>
        </w:rPr>
        <w:t>Ministry</w:t>
      </w:r>
      <w:r w:rsidRPr="002A75F2">
        <w:rPr>
          <w:rFonts w:cs="Arial"/>
          <w:lang w:val="en-GB"/>
        </w:rPr>
        <w:t xml:space="preserve"> in 2005, to accompany the then newly enacted Regulation (</w:t>
      </w:r>
      <w:r w:rsidR="0040006F" w:rsidRPr="002A75F2">
        <w:rPr>
          <w:rFonts w:cs="Arial"/>
          <w:lang w:val="en-GB"/>
        </w:rPr>
        <w:t xml:space="preserve">which </w:t>
      </w:r>
      <w:r w:rsidRPr="002A75F2">
        <w:rPr>
          <w:rFonts w:cs="Arial"/>
          <w:lang w:val="en-GB"/>
        </w:rPr>
        <w:t xml:space="preserve">came into force </w:t>
      </w:r>
      <w:r w:rsidR="0040006F" w:rsidRPr="002A75F2">
        <w:rPr>
          <w:rFonts w:cs="Arial"/>
          <w:lang w:val="en-GB"/>
        </w:rPr>
        <w:t xml:space="preserve">on </w:t>
      </w:r>
      <w:r w:rsidRPr="002A75F2">
        <w:rPr>
          <w:rFonts w:cs="Arial"/>
          <w:lang w:val="en-GB"/>
        </w:rPr>
        <w:t xml:space="preserve">October </w:t>
      </w:r>
      <w:r w:rsidR="0040006F" w:rsidRPr="002A75F2">
        <w:rPr>
          <w:rFonts w:cs="Arial"/>
          <w:lang w:val="en-GB"/>
        </w:rPr>
        <w:t xml:space="preserve">1, </w:t>
      </w:r>
      <w:r w:rsidRPr="002A75F2">
        <w:rPr>
          <w:rFonts w:cs="Arial"/>
          <w:lang w:val="en-GB"/>
        </w:rPr>
        <w:t>2004).</w:t>
      </w:r>
      <w:r w:rsidR="00F83035" w:rsidRPr="002A75F2">
        <w:rPr>
          <w:rFonts w:cs="Arial"/>
          <w:lang w:val="en-GB"/>
        </w:rPr>
        <w:t xml:space="preserve"> </w:t>
      </w:r>
      <w:r w:rsidR="001D3388" w:rsidRPr="002A75F2">
        <w:rPr>
          <w:rFonts w:cs="Arial"/>
          <w:lang w:val="en-GB"/>
        </w:rPr>
        <w:t>T</w:t>
      </w:r>
      <w:r w:rsidRPr="002A75F2">
        <w:rPr>
          <w:rFonts w:cs="Arial"/>
          <w:lang w:val="en-GB"/>
        </w:rPr>
        <w:t xml:space="preserve">he Regulation </w:t>
      </w:r>
      <w:r w:rsidR="001D3388" w:rsidRPr="002A75F2">
        <w:rPr>
          <w:rFonts w:cs="Arial"/>
          <w:lang w:val="en-GB"/>
        </w:rPr>
        <w:t xml:space="preserve">has since </w:t>
      </w:r>
      <w:r w:rsidR="00147634" w:rsidRPr="002A75F2">
        <w:rPr>
          <w:rFonts w:cs="Arial"/>
          <w:lang w:val="en-GB"/>
        </w:rPr>
        <w:t>been amended several times</w:t>
      </w:r>
      <w:r w:rsidRPr="002A75F2">
        <w:rPr>
          <w:rFonts w:cs="Arial"/>
          <w:lang w:val="en-GB"/>
        </w:rPr>
        <w:t xml:space="preserve">, most notably in July 2011 </w:t>
      </w:r>
      <w:r w:rsidR="00A55B09" w:rsidRPr="002A75F2">
        <w:rPr>
          <w:rFonts w:cs="Arial"/>
          <w:lang w:val="en-GB"/>
        </w:rPr>
        <w:t>(</w:t>
      </w:r>
      <w:r w:rsidR="001D3388" w:rsidRPr="002A75F2">
        <w:rPr>
          <w:rFonts w:cs="Arial"/>
          <w:lang w:val="en-GB"/>
        </w:rPr>
        <w:t xml:space="preserve">updated ESA </w:t>
      </w:r>
      <w:r w:rsidR="00BC3C75" w:rsidRPr="002A75F2">
        <w:rPr>
          <w:rFonts w:cs="Arial"/>
          <w:lang w:val="en-GB"/>
        </w:rPr>
        <w:t xml:space="preserve">phase one and two </w:t>
      </w:r>
      <w:r w:rsidR="001D3388" w:rsidRPr="002A75F2">
        <w:rPr>
          <w:rFonts w:cs="Arial"/>
          <w:lang w:val="en-GB"/>
        </w:rPr>
        <w:t>requiremen</w:t>
      </w:r>
      <w:r w:rsidR="00BC3C75" w:rsidRPr="002A75F2">
        <w:rPr>
          <w:rFonts w:cs="Arial"/>
          <w:lang w:val="en-GB"/>
        </w:rPr>
        <w:t>t</w:t>
      </w:r>
      <w:r w:rsidR="001D3388" w:rsidRPr="002A75F2">
        <w:rPr>
          <w:rFonts w:cs="Arial"/>
          <w:lang w:val="en-GB"/>
        </w:rPr>
        <w:t>s, u</w:t>
      </w:r>
      <w:r w:rsidR="00BC3C75" w:rsidRPr="002A75F2">
        <w:rPr>
          <w:rFonts w:cs="Arial"/>
          <w:lang w:val="en-GB"/>
        </w:rPr>
        <w:t>p</w:t>
      </w:r>
      <w:r w:rsidR="001D3388" w:rsidRPr="002A75F2">
        <w:rPr>
          <w:rFonts w:cs="Arial"/>
          <w:lang w:val="en-GB"/>
        </w:rPr>
        <w:t xml:space="preserve">dated </w:t>
      </w:r>
      <w:r w:rsidR="00BC3C75" w:rsidRPr="002A75F2">
        <w:rPr>
          <w:rFonts w:cs="Arial"/>
          <w:lang w:val="en-GB"/>
        </w:rPr>
        <w:t xml:space="preserve">generic </w:t>
      </w:r>
      <w:r w:rsidR="001D3388" w:rsidRPr="002A75F2">
        <w:rPr>
          <w:rFonts w:cs="Arial"/>
          <w:lang w:val="en-GB"/>
        </w:rPr>
        <w:t xml:space="preserve">site condition standards, release of the </w:t>
      </w:r>
      <w:r w:rsidR="00BC3C75" w:rsidRPr="002A75F2">
        <w:rPr>
          <w:rFonts w:cs="Arial"/>
          <w:lang w:val="en-GB"/>
        </w:rPr>
        <w:t>approved model</w:t>
      </w:r>
      <w:r w:rsidR="001D3388" w:rsidRPr="002A75F2">
        <w:rPr>
          <w:rFonts w:cs="Arial"/>
          <w:lang w:val="en-GB"/>
        </w:rPr>
        <w:t xml:space="preserve">) and </w:t>
      </w:r>
      <w:r w:rsidRPr="002A75F2">
        <w:rPr>
          <w:rFonts w:cs="Arial"/>
          <w:lang w:val="en-GB"/>
        </w:rPr>
        <w:t>Decemb</w:t>
      </w:r>
      <w:r w:rsidR="001D3388" w:rsidRPr="002A75F2">
        <w:rPr>
          <w:rFonts w:cs="Arial"/>
          <w:lang w:val="en-GB"/>
        </w:rPr>
        <w:t>e</w:t>
      </w:r>
      <w:r w:rsidRPr="002A75F2">
        <w:rPr>
          <w:rFonts w:cs="Arial"/>
          <w:lang w:val="en-GB"/>
        </w:rPr>
        <w:t>r 2019</w:t>
      </w:r>
      <w:r w:rsidR="00A55B09" w:rsidRPr="002A75F2">
        <w:rPr>
          <w:rFonts w:cs="Arial"/>
          <w:lang w:val="en-GB"/>
        </w:rPr>
        <w:t>; t</w:t>
      </w:r>
      <w:r w:rsidRPr="002A75F2">
        <w:rPr>
          <w:rFonts w:cs="Arial"/>
          <w:lang w:val="en-GB"/>
        </w:rPr>
        <w:t xml:space="preserve">his Procedures document has been updated </w:t>
      </w:r>
      <w:r w:rsidR="00A55B09" w:rsidRPr="002A75F2">
        <w:rPr>
          <w:rFonts w:cs="Arial"/>
          <w:lang w:val="en-GB"/>
        </w:rPr>
        <w:t xml:space="preserve">to account for these </w:t>
      </w:r>
      <w:r w:rsidR="00147634" w:rsidRPr="002A75F2">
        <w:rPr>
          <w:rFonts w:cs="Arial"/>
          <w:lang w:val="en-GB"/>
        </w:rPr>
        <w:t>amendments</w:t>
      </w:r>
      <w:r w:rsidR="00A55B09" w:rsidRPr="002A75F2">
        <w:rPr>
          <w:rFonts w:cs="Arial"/>
          <w:lang w:val="en-GB"/>
        </w:rPr>
        <w:t>.</w:t>
      </w:r>
    </w:p>
    <w:p w14:paraId="416FAC15" w14:textId="2BBDBDEC" w:rsidR="00B736F9" w:rsidRPr="002A75F2" w:rsidRDefault="00B736F9" w:rsidP="00E51B05">
      <w:pPr>
        <w:pStyle w:val="Heading2"/>
        <w:rPr>
          <w:rFonts w:cs="Arial"/>
        </w:rPr>
      </w:pPr>
      <w:bookmarkStart w:id="26" w:name="_Toc41905640"/>
      <w:r w:rsidRPr="002A75F2">
        <w:rPr>
          <w:rFonts w:cs="Arial"/>
        </w:rPr>
        <w:t>Background to Risk Assessment</w:t>
      </w:r>
      <w:bookmarkEnd w:id="20"/>
      <w:bookmarkEnd w:id="21"/>
      <w:bookmarkEnd w:id="22"/>
      <w:bookmarkEnd w:id="23"/>
      <w:bookmarkEnd w:id="24"/>
      <w:bookmarkEnd w:id="25"/>
      <w:bookmarkEnd w:id="26"/>
    </w:p>
    <w:p w14:paraId="74297AB7" w14:textId="3F066208" w:rsidR="00506B29" w:rsidRPr="002A75F2" w:rsidRDefault="00B736F9" w:rsidP="00840964">
      <w:pPr>
        <w:rPr>
          <w:rFonts w:cs="Arial"/>
        </w:rPr>
      </w:pPr>
      <w:r w:rsidRPr="002A75F2">
        <w:rPr>
          <w:rFonts w:cs="Arial"/>
        </w:rPr>
        <w:t xml:space="preserve">Risk, in the context of </w:t>
      </w:r>
      <w:r w:rsidR="005F7C16" w:rsidRPr="002A75F2">
        <w:rPr>
          <w:rFonts w:cs="Arial"/>
        </w:rPr>
        <w:t xml:space="preserve">environmental </w:t>
      </w:r>
      <w:r w:rsidRPr="002A75F2">
        <w:rPr>
          <w:rFonts w:cs="Arial"/>
        </w:rPr>
        <w:t xml:space="preserve">risk assessment, is a measure of the probability that a hazard will cause harm to an individual, population or the natural environment under defined conditions of exposure to a contaminant. Risk assessment is </w:t>
      </w:r>
      <w:r w:rsidR="00024A01" w:rsidRPr="002A75F2">
        <w:rPr>
          <w:rFonts w:cs="Arial"/>
        </w:rPr>
        <w:t xml:space="preserve">the </w:t>
      </w:r>
      <w:r w:rsidRPr="002A75F2">
        <w:rPr>
          <w:rFonts w:cs="Arial"/>
        </w:rPr>
        <w:t>scientific process used to describe and estimate the likelihood of adverse health effects resulting from exposure of both human and ecological receptors to environmental contaminant</w:t>
      </w:r>
      <w:r w:rsidR="00024A01" w:rsidRPr="002A75F2">
        <w:rPr>
          <w:rFonts w:cs="Arial"/>
        </w:rPr>
        <w:t>(</w:t>
      </w:r>
      <w:r w:rsidRPr="002A75F2">
        <w:rPr>
          <w:rFonts w:cs="Arial"/>
        </w:rPr>
        <w:t>s</w:t>
      </w:r>
      <w:r w:rsidR="00024A01" w:rsidRPr="002A75F2">
        <w:rPr>
          <w:rFonts w:cs="Arial"/>
        </w:rPr>
        <w:t>)</w:t>
      </w:r>
      <w:r w:rsidRPr="002A75F2">
        <w:rPr>
          <w:rFonts w:cs="Arial"/>
        </w:rPr>
        <w:t>.</w:t>
      </w:r>
      <w:r w:rsidR="005362BD" w:rsidRPr="002A75F2">
        <w:rPr>
          <w:rFonts w:cs="Arial"/>
        </w:rPr>
        <w:t xml:space="preserve"> </w:t>
      </w:r>
      <w:r w:rsidR="007E4755" w:rsidRPr="002A75F2">
        <w:rPr>
          <w:rFonts w:cs="Arial"/>
        </w:rPr>
        <w:t>“R</w:t>
      </w:r>
      <w:r w:rsidR="00506B29" w:rsidRPr="002A75F2">
        <w:rPr>
          <w:rFonts w:cs="Arial"/>
        </w:rPr>
        <w:t>eceptor</w:t>
      </w:r>
      <w:r w:rsidR="007E4755" w:rsidRPr="002A75F2">
        <w:rPr>
          <w:rFonts w:cs="Arial"/>
        </w:rPr>
        <w:t>s” are used to describe who or what is exposed to contaminant(s) and can include people</w:t>
      </w:r>
      <w:r w:rsidR="00506B29" w:rsidRPr="002A75F2">
        <w:rPr>
          <w:rFonts w:cs="Arial"/>
        </w:rPr>
        <w:t xml:space="preserve">, </w:t>
      </w:r>
      <w:r w:rsidR="007E4755" w:rsidRPr="002A75F2">
        <w:rPr>
          <w:rFonts w:cs="Arial"/>
        </w:rPr>
        <w:t xml:space="preserve">organisms, </w:t>
      </w:r>
      <w:r w:rsidR="00506B29" w:rsidRPr="002A75F2">
        <w:rPr>
          <w:rFonts w:cs="Arial"/>
        </w:rPr>
        <w:t>population</w:t>
      </w:r>
      <w:r w:rsidR="007E4755" w:rsidRPr="002A75F2">
        <w:rPr>
          <w:rFonts w:cs="Arial"/>
        </w:rPr>
        <w:t>s, and/or the natural environment</w:t>
      </w:r>
      <w:r w:rsidR="00506B29" w:rsidRPr="002A75F2">
        <w:rPr>
          <w:rFonts w:cs="Arial"/>
        </w:rPr>
        <w:t>.</w:t>
      </w:r>
    </w:p>
    <w:p w14:paraId="7655BD8E" w14:textId="0D286E0D" w:rsidR="00B736F9" w:rsidRPr="002A75F2" w:rsidRDefault="00B736F9" w:rsidP="00840964">
      <w:pPr>
        <w:rPr>
          <w:rFonts w:cs="Arial"/>
        </w:rPr>
      </w:pPr>
      <w:r w:rsidRPr="002A75F2">
        <w:rPr>
          <w:rFonts w:cs="Arial"/>
        </w:rPr>
        <w:t xml:space="preserve">Human health risk assessment (HHRA) is the evaluation of the risk of adverse health effects, and the accompanying uncertainties, to </w:t>
      </w:r>
      <w:r w:rsidR="00024A01" w:rsidRPr="002A75F2">
        <w:rPr>
          <w:rFonts w:cs="Arial"/>
        </w:rPr>
        <w:t>people</w:t>
      </w:r>
      <w:r w:rsidRPr="002A75F2">
        <w:rPr>
          <w:rFonts w:cs="Arial"/>
        </w:rPr>
        <w:t xml:space="preserve"> </w:t>
      </w:r>
      <w:r w:rsidR="00024A01" w:rsidRPr="002A75F2">
        <w:rPr>
          <w:rFonts w:cs="Arial"/>
        </w:rPr>
        <w:t>as a result of</w:t>
      </w:r>
      <w:r w:rsidRPr="002A75F2">
        <w:rPr>
          <w:rFonts w:cs="Arial"/>
        </w:rPr>
        <w:t xml:space="preserve"> exposure to contaminant</w:t>
      </w:r>
      <w:r w:rsidR="00024A01" w:rsidRPr="002A75F2">
        <w:rPr>
          <w:rFonts w:cs="Arial"/>
        </w:rPr>
        <w:t>(s)</w:t>
      </w:r>
      <w:r w:rsidRPr="002A75F2">
        <w:rPr>
          <w:rFonts w:cs="Arial"/>
        </w:rPr>
        <w:t xml:space="preserve"> at a given property. </w:t>
      </w:r>
      <w:r w:rsidR="00024A01" w:rsidRPr="002A75F2">
        <w:rPr>
          <w:rFonts w:cs="Arial"/>
        </w:rPr>
        <w:t>Similarly, e</w:t>
      </w:r>
      <w:r w:rsidRPr="002A75F2">
        <w:rPr>
          <w:rFonts w:cs="Arial"/>
        </w:rPr>
        <w:t xml:space="preserve">cological risk assessment (ERA) is a process that evaluates the risk that adverse ecological effects may occur, or are occurring, as a result of exposure to contaminant(s). Both assessments take into consideration that many contaminants may be present simultaneously in several media such as </w:t>
      </w:r>
      <w:r w:rsidR="00024A01" w:rsidRPr="002A75F2">
        <w:rPr>
          <w:rFonts w:cs="Arial"/>
        </w:rPr>
        <w:t xml:space="preserve">soil, groundwater, sediment but also </w:t>
      </w:r>
      <w:r w:rsidRPr="002A75F2">
        <w:rPr>
          <w:rFonts w:cs="Arial"/>
        </w:rPr>
        <w:t xml:space="preserve">food, air, </w:t>
      </w:r>
      <w:r w:rsidR="00024A01" w:rsidRPr="002A75F2">
        <w:rPr>
          <w:rFonts w:cs="Arial"/>
        </w:rPr>
        <w:t xml:space="preserve">surface </w:t>
      </w:r>
      <w:r w:rsidRPr="002A75F2">
        <w:rPr>
          <w:rFonts w:cs="Arial"/>
        </w:rPr>
        <w:t>water, dust and/or consumer products, and that these contaminants reach receptors through multiple exposure pathways.</w:t>
      </w:r>
      <w:r w:rsidR="005362BD" w:rsidRPr="002A75F2">
        <w:rPr>
          <w:rFonts w:cs="Arial"/>
        </w:rPr>
        <w:t xml:space="preserve"> </w:t>
      </w:r>
      <w:r w:rsidR="00F34C22" w:rsidRPr="002A75F2">
        <w:rPr>
          <w:rFonts w:cs="Arial"/>
        </w:rPr>
        <w:t xml:space="preserve">An exposure pathway </w:t>
      </w:r>
      <w:r w:rsidR="0075394A" w:rsidRPr="002A75F2">
        <w:rPr>
          <w:rFonts w:cs="Arial"/>
        </w:rPr>
        <w:t>is</w:t>
      </w:r>
      <w:r w:rsidR="00F34C22" w:rsidRPr="002A75F2">
        <w:rPr>
          <w:rFonts w:cs="Arial"/>
        </w:rPr>
        <w:t xml:space="preserve"> the physical course or route a contaminant takes from its source to </w:t>
      </w:r>
      <w:r w:rsidR="0075394A" w:rsidRPr="002A75F2">
        <w:rPr>
          <w:rFonts w:cs="Arial"/>
        </w:rPr>
        <w:t>a</w:t>
      </w:r>
      <w:r w:rsidR="00F34C22" w:rsidRPr="002A75F2">
        <w:rPr>
          <w:rFonts w:cs="Arial"/>
        </w:rPr>
        <w:t xml:space="preserve"> receptor </w:t>
      </w:r>
      <w:r w:rsidR="0075394A" w:rsidRPr="002A75F2">
        <w:rPr>
          <w:rFonts w:cs="Arial"/>
        </w:rPr>
        <w:t>evaluated in the risk assessment</w:t>
      </w:r>
      <w:r w:rsidR="00F34C22" w:rsidRPr="002A75F2">
        <w:rPr>
          <w:rFonts w:cs="Arial"/>
        </w:rPr>
        <w:t>.</w:t>
      </w:r>
    </w:p>
    <w:p w14:paraId="5255F32F" w14:textId="26A42CD8" w:rsidR="00B736F9" w:rsidRPr="002A75F2" w:rsidRDefault="00B736F9" w:rsidP="00840964">
      <w:pPr>
        <w:rPr>
          <w:rFonts w:cs="Arial"/>
        </w:rPr>
      </w:pPr>
      <w:r w:rsidRPr="002A75F2">
        <w:rPr>
          <w:rFonts w:cs="Arial"/>
        </w:rPr>
        <w:t>Since property-specific characteristics are incorporated into</w:t>
      </w:r>
      <w:r w:rsidR="007E4755" w:rsidRPr="002A75F2">
        <w:rPr>
          <w:rFonts w:cs="Arial"/>
        </w:rPr>
        <w:t xml:space="preserve"> a</w:t>
      </w:r>
      <w:r w:rsidRPr="002A75F2">
        <w:rPr>
          <w:rFonts w:cs="Arial"/>
        </w:rPr>
        <w:t xml:space="preserve"> risk assessment</w:t>
      </w:r>
      <w:r w:rsidR="007E4755" w:rsidRPr="002A75F2">
        <w:rPr>
          <w:rFonts w:cs="Arial"/>
        </w:rPr>
        <w:t xml:space="preserve"> for a contaminated site</w:t>
      </w:r>
      <w:r w:rsidRPr="002A75F2">
        <w:rPr>
          <w:rFonts w:cs="Arial"/>
        </w:rPr>
        <w:t xml:space="preserve">, there can be numerical differences between the </w:t>
      </w:r>
      <w:r w:rsidR="00AE7D4F" w:rsidRPr="002A75F2">
        <w:rPr>
          <w:rFonts w:cs="Arial"/>
        </w:rPr>
        <w:t xml:space="preserve">Ministry’s </w:t>
      </w:r>
      <w:r w:rsidRPr="002A75F2">
        <w:rPr>
          <w:rFonts w:cs="Arial"/>
        </w:rPr>
        <w:t xml:space="preserve">published </w:t>
      </w:r>
      <w:r w:rsidR="00AE7D4F" w:rsidRPr="002A75F2">
        <w:rPr>
          <w:rFonts w:cs="Arial"/>
        </w:rPr>
        <w:t xml:space="preserve">generic </w:t>
      </w:r>
      <w:r w:rsidRPr="002A75F2">
        <w:rPr>
          <w:rFonts w:cs="Arial"/>
        </w:rPr>
        <w:t xml:space="preserve">site condition standards and the property specific standards developed through risk assessment. </w:t>
      </w:r>
      <w:r w:rsidR="00AE7D4F" w:rsidRPr="002A75F2">
        <w:rPr>
          <w:rFonts w:cs="Arial"/>
        </w:rPr>
        <w:t>While these property specific standards may be different (usually numerically higher) tha</w:t>
      </w:r>
      <w:r w:rsidR="00147634" w:rsidRPr="002A75F2">
        <w:rPr>
          <w:rFonts w:cs="Arial"/>
        </w:rPr>
        <w:t>n</w:t>
      </w:r>
      <w:r w:rsidR="00AE7D4F" w:rsidRPr="002A75F2">
        <w:rPr>
          <w:rFonts w:cs="Arial"/>
        </w:rPr>
        <w:t xml:space="preserve"> the generic standards, they are still expected to </w:t>
      </w:r>
      <w:r w:rsidR="00147634" w:rsidRPr="002A75F2">
        <w:rPr>
          <w:rFonts w:cs="Arial"/>
        </w:rPr>
        <w:t xml:space="preserve">provide </w:t>
      </w:r>
      <w:r w:rsidR="00AE7D4F" w:rsidRPr="002A75F2">
        <w:rPr>
          <w:rFonts w:cs="Arial"/>
        </w:rPr>
        <w:t xml:space="preserve">the same level of protection </w:t>
      </w:r>
      <w:r w:rsidR="00147634" w:rsidRPr="002A75F2">
        <w:rPr>
          <w:rFonts w:cs="Arial"/>
        </w:rPr>
        <w:t xml:space="preserve">to human health and the environment </w:t>
      </w:r>
      <w:r w:rsidR="00AE7D4F" w:rsidRPr="002A75F2">
        <w:rPr>
          <w:rFonts w:cs="Arial"/>
        </w:rPr>
        <w:t xml:space="preserve">as the generic standards. </w:t>
      </w:r>
      <w:r w:rsidRPr="002A75F2">
        <w:rPr>
          <w:rFonts w:cs="Arial"/>
        </w:rPr>
        <w:t xml:space="preserve">The main difference is that </w:t>
      </w:r>
      <w:r w:rsidR="00AE7D4F" w:rsidRPr="002A75F2">
        <w:rPr>
          <w:rFonts w:cs="Arial"/>
        </w:rPr>
        <w:t xml:space="preserve">the generic standards are designed to be applicable for most </w:t>
      </w:r>
      <w:r w:rsidR="00360917" w:rsidRPr="002A75F2">
        <w:rPr>
          <w:rFonts w:cs="Arial"/>
        </w:rPr>
        <w:t>b</w:t>
      </w:r>
      <w:r w:rsidR="00AE7D4F" w:rsidRPr="002A75F2">
        <w:rPr>
          <w:rFonts w:cs="Arial"/>
        </w:rPr>
        <w:t xml:space="preserve">rownfield properties across the Province while property specific standards are based on a specific property and can incorporate site-specific </w:t>
      </w:r>
      <w:r w:rsidRPr="002A75F2">
        <w:rPr>
          <w:rFonts w:cs="Arial"/>
        </w:rPr>
        <w:t xml:space="preserve">input </w:t>
      </w:r>
      <w:r w:rsidR="001D0E21" w:rsidRPr="002A75F2">
        <w:rPr>
          <w:rFonts w:cs="Arial"/>
        </w:rPr>
        <w:t xml:space="preserve">parameters </w:t>
      </w:r>
      <w:r w:rsidR="00AE7D4F" w:rsidRPr="002A75F2">
        <w:rPr>
          <w:rFonts w:cs="Arial"/>
        </w:rPr>
        <w:t>in</w:t>
      </w:r>
      <w:r w:rsidRPr="002A75F2">
        <w:rPr>
          <w:rFonts w:cs="Arial"/>
        </w:rPr>
        <w:t>to the risk assessment</w:t>
      </w:r>
      <w:r w:rsidR="00722714" w:rsidRPr="002A75F2">
        <w:rPr>
          <w:rFonts w:cs="Arial"/>
        </w:rPr>
        <w:t>.</w:t>
      </w:r>
      <w:r w:rsidRPr="002A75F2">
        <w:rPr>
          <w:rFonts w:cs="Arial"/>
        </w:rPr>
        <w:t xml:space="preserve"> </w:t>
      </w:r>
      <w:r w:rsidR="00AE7D4F" w:rsidRPr="002A75F2">
        <w:rPr>
          <w:rFonts w:cs="Arial"/>
        </w:rPr>
        <w:t>In addition, s</w:t>
      </w:r>
      <w:r w:rsidRPr="002A75F2">
        <w:rPr>
          <w:rFonts w:cs="Arial"/>
        </w:rPr>
        <w:t xml:space="preserve">ome of the conservative assumptions utilized in the setting of the generic </w:t>
      </w:r>
      <w:r w:rsidR="00C739D6" w:rsidRPr="002A75F2">
        <w:rPr>
          <w:rFonts w:cs="Arial"/>
        </w:rPr>
        <w:t>s</w:t>
      </w:r>
      <w:r w:rsidRPr="002A75F2">
        <w:rPr>
          <w:rFonts w:cs="Arial"/>
        </w:rPr>
        <w:t xml:space="preserve">ite </w:t>
      </w:r>
      <w:r w:rsidR="00C739D6" w:rsidRPr="002A75F2">
        <w:rPr>
          <w:rFonts w:cs="Arial"/>
        </w:rPr>
        <w:t>c</w:t>
      </w:r>
      <w:r w:rsidRPr="002A75F2">
        <w:rPr>
          <w:rFonts w:cs="Arial"/>
        </w:rPr>
        <w:t xml:space="preserve">ondition </w:t>
      </w:r>
      <w:r w:rsidR="00C739D6" w:rsidRPr="002A75F2">
        <w:rPr>
          <w:rFonts w:cs="Arial"/>
        </w:rPr>
        <w:t>s</w:t>
      </w:r>
      <w:r w:rsidRPr="002A75F2">
        <w:rPr>
          <w:rFonts w:cs="Arial"/>
        </w:rPr>
        <w:t>tandards</w:t>
      </w:r>
      <w:r w:rsidR="00F40213" w:rsidRPr="002A75F2">
        <w:rPr>
          <w:rFonts w:cs="Arial"/>
        </w:rPr>
        <w:t xml:space="preserve"> </w:t>
      </w:r>
      <w:r w:rsidR="00AE7D4F" w:rsidRPr="002A75F2">
        <w:rPr>
          <w:rFonts w:cs="Arial"/>
        </w:rPr>
        <w:t>may</w:t>
      </w:r>
      <w:r w:rsidRPr="002A75F2">
        <w:rPr>
          <w:rFonts w:cs="Arial"/>
        </w:rPr>
        <w:t xml:space="preserve"> </w:t>
      </w:r>
      <w:r w:rsidR="00722714" w:rsidRPr="002A75F2">
        <w:rPr>
          <w:rFonts w:cs="Arial"/>
        </w:rPr>
        <w:t xml:space="preserve">not </w:t>
      </w:r>
      <w:r w:rsidR="00AE7D4F" w:rsidRPr="002A75F2">
        <w:rPr>
          <w:rFonts w:cs="Arial"/>
        </w:rPr>
        <w:t xml:space="preserve">be </w:t>
      </w:r>
      <w:r w:rsidR="00722714" w:rsidRPr="002A75F2">
        <w:rPr>
          <w:rFonts w:cs="Arial"/>
        </w:rPr>
        <w:t xml:space="preserve">required </w:t>
      </w:r>
      <w:r w:rsidR="00AE7D4F" w:rsidRPr="002A75F2">
        <w:rPr>
          <w:rFonts w:cs="Arial"/>
        </w:rPr>
        <w:t xml:space="preserve">for a specific </w:t>
      </w:r>
      <w:r w:rsidR="009F59A9" w:rsidRPr="002A75F2">
        <w:rPr>
          <w:rFonts w:cs="Arial"/>
        </w:rPr>
        <w:t>b</w:t>
      </w:r>
      <w:r w:rsidR="00AE7D4F" w:rsidRPr="002A75F2">
        <w:rPr>
          <w:rFonts w:cs="Arial"/>
        </w:rPr>
        <w:t>rownfield property and site</w:t>
      </w:r>
      <w:r w:rsidRPr="002A75F2">
        <w:rPr>
          <w:rFonts w:cs="Arial"/>
        </w:rPr>
        <w:t xml:space="preserve">-specific </w:t>
      </w:r>
      <w:r w:rsidR="00AE7D4F" w:rsidRPr="002A75F2">
        <w:rPr>
          <w:rFonts w:cs="Arial"/>
        </w:rPr>
        <w:t>information can be used instead</w:t>
      </w:r>
      <w:r w:rsidRPr="002A75F2">
        <w:rPr>
          <w:rFonts w:cs="Arial"/>
        </w:rPr>
        <w:t>.</w:t>
      </w:r>
    </w:p>
    <w:p w14:paraId="465F42FE" w14:textId="6C90356C" w:rsidR="00B736F9" w:rsidRPr="002A75F2" w:rsidRDefault="00B736F9" w:rsidP="00840964">
      <w:pPr>
        <w:rPr>
          <w:rFonts w:cs="Arial"/>
        </w:rPr>
      </w:pPr>
      <w:r w:rsidRPr="002A75F2">
        <w:rPr>
          <w:rFonts w:cs="Arial"/>
        </w:rPr>
        <w:t xml:space="preserve">Risk assessment can often lead to recommendations to utilize risk management </w:t>
      </w:r>
      <w:r w:rsidR="00AE7D4F" w:rsidRPr="002A75F2">
        <w:rPr>
          <w:rFonts w:cs="Arial"/>
        </w:rPr>
        <w:t xml:space="preserve">measures in order </w:t>
      </w:r>
      <w:r w:rsidRPr="002A75F2">
        <w:rPr>
          <w:rFonts w:cs="Arial"/>
        </w:rPr>
        <w:t xml:space="preserve">to provide protection to human health and the environment. </w:t>
      </w:r>
      <w:r w:rsidR="0042532E" w:rsidRPr="002A75F2">
        <w:rPr>
          <w:rFonts w:cs="Arial"/>
        </w:rPr>
        <w:t>In th</w:t>
      </w:r>
      <w:r w:rsidR="001B15D1" w:rsidRPr="002A75F2">
        <w:rPr>
          <w:rFonts w:cs="Arial"/>
        </w:rPr>
        <w:t xml:space="preserve">ese </w:t>
      </w:r>
      <w:r w:rsidR="0042532E" w:rsidRPr="002A75F2">
        <w:rPr>
          <w:rFonts w:cs="Arial"/>
        </w:rPr>
        <w:t>situation</w:t>
      </w:r>
      <w:r w:rsidR="001B15D1" w:rsidRPr="002A75F2">
        <w:rPr>
          <w:rFonts w:cs="Arial"/>
        </w:rPr>
        <w:t>s</w:t>
      </w:r>
      <w:r w:rsidR="0042532E" w:rsidRPr="002A75F2">
        <w:rPr>
          <w:rFonts w:cs="Arial"/>
        </w:rPr>
        <w:t xml:space="preserve">, risk management measures must be maintained to achieve the same </w:t>
      </w:r>
      <w:r w:rsidR="001B15D1" w:rsidRPr="002A75F2">
        <w:rPr>
          <w:rFonts w:cs="Arial"/>
        </w:rPr>
        <w:t xml:space="preserve">level of protection as the generic </w:t>
      </w:r>
      <w:r w:rsidR="0042532E" w:rsidRPr="002A75F2">
        <w:rPr>
          <w:rFonts w:cs="Arial"/>
        </w:rPr>
        <w:t xml:space="preserve">standards. </w:t>
      </w:r>
      <w:r w:rsidRPr="002A75F2">
        <w:rPr>
          <w:rFonts w:cs="Arial"/>
        </w:rPr>
        <w:t xml:space="preserve">Risk management is a process which is distinct and separate from other </w:t>
      </w:r>
      <w:r w:rsidRPr="002A75F2">
        <w:rPr>
          <w:rFonts w:cs="Arial"/>
        </w:rPr>
        <w:lastRenderedPageBreak/>
        <w:t>components of risk assessment, by which measures to control or reduce the level of risk estimated by the risk assessment are developed and implemented. Risk management integrates the results from the other components of risk assessment with information about technical resources, socio-economic factors and control options in order to reach decisions about the best way to manage a property</w:t>
      </w:r>
      <w:r w:rsidR="001B15D1" w:rsidRPr="002A75F2">
        <w:rPr>
          <w:rFonts w:cs="Arial"/>
        </w:rPr>
        <w:t xml:space="preserve"> to protect human health and the environment</w:t>
      </w:r>
      <w:r w:rsidRPr="002A75F2">
        <w:rPr>
          <w:rFonts w:cs="Arial"/>
        </w:rPr>
        <w:t>. It is important that the HHRA and ERA components of risk assessment are clearly separated from the risk management component so that risk managers have scientifically based risk estimates upon which to base risk management decisions.</w:t>
      </w:r>
      <w:bookmarkStart w:id="27" w:name="_Toc74119381"/>
      <w:bookmarkStart w:id="28" w:name="_Toc74450876"/>
      <w:bookmarkStart w:id="29" w:name="_Toc78162188"/>
    </w:p>
    <w:p w14:paraId="4F99D9D9" w14:textId="0F02A315" w:rsidR="00B736F9" w:rsidRPr="002A75F2" w:rsidRDefault="003D5220" w:rsidP="0053573D">
      <w:pPr>
        <w:pStyle w:val="Heading2"/>
        <w:rPr>
          <w:rFonts w:cs="Arial"/>
        </w:rPr>
      </w:pPr>
      <w:bookmarkStart w:id="30" w:name="_When_to_Consider_Risk_Assessment"/>
      <w:bookmarkStart w:id="31" w:name="_Toc79571574"/>
      <w:bookmarkStart w:id="32" w:name="_Toc91393527"/>
      <w:bookmarkStart w:id="33" w:name="_Toc112727393"/>
      <w:bookmarkStart w:id="34" w:name="_Toc41905641"/>
      <w:bookmarkEnd w:id="30"/>
      <w:r w:rsidRPr="002A75F2">
        <w:rPr>
          <w:rFonts w:cs="Arial"/>
        </w:rPr>
        <w:t>Purpose of</w:t>
      </w:r>
      <w:r w:rsidR="00B736F9" w:rsidRPr="002A75F2">
        <w:rPr>
          <w:rFonts w:cs="Arial"/>
        </w:rPr>
        <w:t xml:space="preserve"> Risk Assessment</w:t>
      </w:r>
      <w:bookmarkEnd w:id="27"/>
      <w:bookmarkEnd w:id="28"/>
      <w:bookmarkEnd w:id="29"/>
      <w:bookmarkEnd w:id="31"/>
      <w:bookmarkEnd w:id="32"/>
      <w:bookmarkEnd w:id="33"/>
      <w:r w:rsidR="00846B9E" w:rsidRPr="002A75F2">
        <w:rPr>
          <w:rFonts w:cs="Arial"/>
        </w:rPr>
        <w:t xml:space="preserve"> </w:t>
      </w:r>
      <w:r w:rsidR="00636BFC" w:rsidRPr="002A75F2">
        <w:rPr>
          <w:rFonts w:cs="Arial"/>
        </w:rPr>
        <w:t>U</w:t>
      </w:r>
      <w:r w:rsidR="00846B9E" w:rsidRPr="002A75F2">
        <w:rPr>
          <w:rFonts w:cs="Arial"/>
        </w:rPr>
        <w:t>nder the Regulation</w:t>
      </w:r>
      <w:bookmarkEnd w:id="34"/>
    </w:p>
    <w:p w14:paraId="5C472FEC" w14:textId="516389B8" w:rsidR="00B736F9" w:rsidRPr="002A75F2" w:rsidRDefault="00B736F9" w:rsidP="00840964">
      <w:pPr>
        <w:rPr>
          <w:rFonts w:cs="Arial"/>
        </w:rPr>
      </w:pPr>
      <w:r w:rsidRPr="002A75F2">
        <w:rPr>
          <w:rFonts w:cs="Arial"/>
        </w:rPr>
        <w:t>For the purpose of this Procedure</w:t>
      </w:r>
      <w:r w:rsidR="0096574A" w:rsidRPr="002A75F2">
        <w:rPr>
          <w:rFonts w:cs="Arial"/>
        </w:rPr>
        <w:t>s</w:t>
      </w:r>
      <w:r w:rsidRPr="002A75F2">
        <w:rPr>
          <w:rFonts w:cs="Arial"/>
        </w:rPr>
        <w:t xml:space="preserve"> document, risk assessment is a process for estimating the likelihood of adverse effects that could arise from the presence of contaminants of concern (COCs) and exposure pathways to human and ecological receptors at a contaminated property. As such, information derived from conducting a risk assessment is used to determine the standard for each </w:t>
      </w:r>
      <w:smartTag w:uri="urn:schemas-microsoft-com:office:smarttags" w:element="stockticker">
        <w:r w:rsidRPr="002A75F2">
          <w:rPr>
            <w:rFonts w:cs="Arial"/>
          </w:rPr>
          <w:t>COC</w:t>
        </w:r>
      </w:smartTag>
      <w:r w:rsidRPr="002A75F2">
        <w:rPr>
          <w:rFonts w:cs="Arial"/>
        </w:rPr>
        <w:t xml:space="preserve"> that may be applied when </w:t>
      </w:r>
      <w:r w:rsidR="00147634" w:rsidRPr="002A75F2">
        <w:rPr>
          <w:rFonts w:cs="Arial"/>
        </w:rPr>
        <w:t xml:space="preserve">submitting </w:t>
      </w:r>
      <w:r w:rsidRPr="002A75F2">
        <w:rPr>
          <w:rFonts w:cs="Arial"/>
        </w:rPr>
        <w:t>a</w:t>
      </w:r>
      <w:r w:rsidR="00957636" w:rsidRPr="002A75F2">
        <w:rPr>
          <w:rFonts w:cs="Arial"/>
        </w:rPr>
        <w:t>n</w:t>
      </w:r>
      <w:r w:rsidRPr="002A75F2">
        <w:rPr>
          <w:rFonts w:cs="Arial"/>
        </w:rPr>
        <w:t xml:space="preserve"> </w:t>
      </w:r>
      <w:smartTag w:uri="urn:schemas-microsoft-com:office:smarttags" w:element="stockticker">
        <w:r w:rsidRPr="002A75F2">
          <w:rPr>
            <w:rFonts w:cs="Arial"/>
          </w:rPr>
          <w:t>RSC</w:t>
        </w:r>
      </w:smartTag>
      <w:r w:rsidRPr="002A75F2">
        <w:rPr>
          <w:rFonts w:cs="Arial"/>
        </w:rPr>
        <w:t xml:space="preserve"> for</w:t>
      </w:r>
      <w:r w:rsidR="00147634" w:rsidRPr="002A75F2">
        <w:rPr>
          <w:rFonts w:cs="Arial"/>
        </w:rPr>
        <w:t xml:space="preserve"> filing in respect of</w:t>
      </w:r>
      <w:r w:rsidRPr="002A75F2">
        <w:rPr>
          <w:rFonts w:cs="Arial"/>
        </w:rPr>
        <w:t xml:space="preserve"> a property under section 168.4 of the EPA</w:t>
      </w:r>
      <w:r w:rsidR="00EF4E2D" w:rsidRPr="002A75F2">
        <w:rPr>
          <w:rFonts w:cs="Arial"/>
        </w:rPr>
        <w:t>.</w:t>
      </w:r>
      <w:r w:rsidR="003D5220" w:rsidRPr="002A75F2">
        <w:rPr>
          <w:rFonts w:cs="Arial"/>
        </w:rPr>
        <w:t xml:space="preserve"> </w:t>
      </w:r>
      <w:r w:rsidR="00EF4E2D" w:rsidRPr="002A75F2">
        <w:rPr>
          <w:rFonts w:cs="Arial"/>
        </w:rPr>
        <w:t>The standards proposed in a risk assessment are</w:t>
      </w:r>
      <w:r w:rsidR="0042532E" w:rsidRPr="002A75F2">
        <w:rPr>
          <w:rFonts w:cs="Arial"/>
        </w:rPr>
        <w:t xml:space="preserve"> referred to as a property specific standard</w:t>
      </w:r>
      <w:r w:rsidRPr="002A75F2">
        <w:rPr>
          <w:rFonts w:cs="Arial"/>
        </w:rPr>
        <w:t>. The risk assessment process can also help risk managers evaluate and compare the effectiveness of remediation and risk management alternatives for a specific property.</w:t>
      </w:r>
    </w:p>
    <w:p w14:paraId="320665A0" w14:textId="72A72D09" w:rsidR="00B736F9" w:rsidRPr="002A75F2" w:rsidRDefault="00B736F9" w:rsidP="00840964">
      <w:pPr>
        <w:rPr>
          <w:rFonts w:cs="Arial"/>
        </w:rPr>
      </w:pPr>
      <w:r w:rsidRPr="002A75F2">
        <w:rPr>
          <w:rFonts w:cs="Arial"/>
        </w:rPr>
        <w:t xml:space="preserve">Risk assessment principles have been utilized in the generic process which the </w:t>
      </w:r>
      <w:r w:rsidR="002D7DFD" w:rsidRPr="002A75F2">
        <w:rPr>
          <w:rFonts w:cs="Arial"/>
        </w:rPr>
        <w:t>M</w:t>
      </w:r>
      <w:r w:rsidR="002A6EE0" w:rsidRPr="002A75F2">
        <w:rPr>
          <w:rFonts w:cs="Arial"/>
        </w:rPr>
        <w:t>inistry</w:t>
      </w:r>
      <w:r w:rsidRPr="002A75F2">
        <w:rPr>
          <w:rFonts w:cs="Arial"/>
        </w:rPr>
        <w:t xml:space="preserve"> used to develop the </w:t>
      </w:r>
      <w:r w:rsidR="00C739D6" w:rsidRPr="002A75F2">
        <w:rPr>
          <w:rFonts w:cs="Arial"/>
        </w:rPr>
        <w:t>site condition standards</w:t>
      </w:r>
      <w:r w:rsidRPr="002A75F2">
        <w:rPr>
          <w:rFonts w:cs="Arial"/>
        </w:rPr>
        <w:t xml:space="preserve">. The </w:t>
      </w:r>
      <w:r w:rsidR="00C739D6" w:rsidRPr="002A75F2">
        <w:rPr>
          <w:rFonts w:cs="Arial"/>
        </w:rPr>
        <w:t>site condition standards</w:t>
      </w:r>
      <w:r w:rsidRPr="002A75F2">
        <w:rPr>
          <w:rFonts w:cs="Arial"/>
        </w:rPr>
        <w:t xml:space="preserve"> are applicable at </w:t>
      </w:r>
      <w:r w:rsidR="00CF7B7E" w:rsidRPr="002A75F2">
        <w:rPr>
          <w:rFonts w:cs="Arial"/>
        </w:rPr>
        <w:t>most</w:t>
      </w:r>
      <w:r w:rsidRPr="002A75F2">
        <w:rPr>
          <w:rFonts w:cs="Arial"/>
        </w:rPr>
        <w:t xml:space="preserve"> situations encountered at contaminated site</w:t>
      </w:r>
      <w:r w:rsidR="00CF7B7E" w:rsidRPr="002A75F2">
        <w:rPr>
          <w:rFonts w:cs="Arial"/>
        </w:rPr>
        <w:t>s</w:t>
      </w:r>
      <w:r w:rsidRPr="002A75F2">
        <w:rPr>
          <w:rFonts w:cs="Arial"/>
        </w:rPr>
        <w:t xml:space="preserve"> but may not always be appropriate for situations where property-specific considerations deviate substantially from the conditions assumed in the </w:t>
      </w:r>
      <w:r w:rsidR="002D7DFD" w:rsidRPr="002A75F2">
        <w:rPr>
          <w:rFonts w:cs="Arial"/>
        </w:rPr>
        <w:t>M</w:t>
      </w:r>
      <w:r w:rsidR="00683E92" w:rsidRPr="002A75F2">
        <w:rPr>
          <w:rFonts w:cs="Arial"/>
        </w:rPr>
        <w:t>inistry</w:t>
      </w:r>
      <w:r w:rsidRPr="002A75F2">
        <w:rPr>
          <w:rFonts w:cs="Arial"/>
        </w:rPr>
        <w:t xml:space="preserve"> generic process used to develop the </w:t>
      </w:r>
      <w:r w:rsidR="00C739D6" w:rsidRPr="002A75F2">
        <w:rPr>
          <w:rFonts w:cs="Arial"/>
        </w:rPr>
        <w:t>site condition standards</w:t>
      </w:r>
      <w:r w:rsidRPr="002A75F2">
        <w:rPr>
          <w:rFonts w:cs="Arial"/>
        </w:rPr>
        <w:t>.</w:t>
      </w:r>
    </w:p>
    <w:p w14:paraId="3A756C63" w14:textId="1277A044" w:rsidR="008F04DD" w:rsidRPr="002A75F2" w:rsidDel="008F04DD" w:rsidRDefault="00B736F9" w:rsidP="008F04DD">
      <w:pPr>
        <w:rPr>
          <w:rFonts w:cs="Arial"/>
        </w:rPr>
      </w:pPr>
      <w:r w:rsidRPr="002A75F2">
        <w:rPr>
          <w:rFonts w:cs="Arial"/>
        </w:rPr>
        <w:t xml:space="preserve">If </w:t>
      </w:r>
      <w:r w:rsidR="003D5220" w:rsidRPr="002A75F2">
        <w:rPr>
          <w:rFonts w:cs="Arial"/>
        </w:rPr>
        <w:t xml:space="preserve">a </w:t>
      </w:r>
      <w:r w:rsidRPr="002A75F2">
        <w:rPr>
          <w:rFonts w:cs="Arial"/>
        </w:rPr>
        <w:t xml:space="preserve">risk assessment approach is considered as an alternative to using the </w:t>
      </w:r>
      <w:r w:rsidR="00C739D6" w:rsidRPr="002A75F2">
        <w:rPr>
          <w:rFonts w:cs="Arial"/>
        </w:rPr>
        <w:t xml:space="preserve">site condition standards </w:t>
      </w:r>
      <w:r w:rsidRPr="002A75F2">
        <w:rPr>
          <w:rFonts w:cs="Arial"/>
        </w:rPr>
        <w:t xml:space="preserve">in order to account for property specific considerations, the property owner should be advised of the recommendations </w:t>
      </w:r>
      <w:r w:rsidR="00CF7B7E" w:rsidRPr="002A75F2">
        <w:rPr>
          <w:rFonts w:cs="Arial"/>
        </w:rPr>
        <w:t>in</w:t>
      </w:r>
      <w:r w:rsidRPr="002A75F2">
        <w:rPr>
          <w:rFonts w:cs="Arial"/>
        </w:rPr>
        <w:t xml:space="preserve"> this Procedure</w:t>
      </w:r>
      <w:r w:rsidR="008F04DD" w:rsidRPr="002A75F2">
        <w:rPr>
          <w:rFonts w:cs="Arial"/>
        </w:rPr>
        <w:t>s</w:t>
      </w:r>
      <w:r w:rsidRPr="002A75F2">
        <w:rPr>
          <w:rFonts w:cs="Arial"/>
        </w:rPr>
        <w:t xml:space="preserve"> document and the potential limitations associated with the risk assessment approach. Based on the level of effort required to assess risk for COCs on some properties</w:t>
      </w:r>
      <w:r w:rsidR="00CF7B7E" w:rsidRPr="002A75F2">
        <w:rPr>
          <w:rFonts w:cs="Arial"/>
        </w:rPr>
        <w:t>,</w:t>
      </w:r>
      <w:r w:rsidRPr="002A75F2">
        <w:rPr>
          <w:rFonts w:cs="Arial"/>
        </w:rPr>
        <w:t xml:space="preserve"> it may be preferable to remediate the property to the </w:t>
      </w:r>
      <w:r w:rsidR="00D0168C" w:rsidRPr="002A75F2">
        <w:rPr>
          <w:rFonts w:cs="Arial"/>
        </w:rPr>
        <w:t xml:space="preserve">applicable </w:t>
      </w:r>
      <w:r w:rsidR="00C739D6" w:rsidRPr="002A75F2">
        <w:rPr>
          <w:rFonts w:cs="Arial"/>
        </w:rPr>
        <w:t>site condition standards</w:t>
      </w:r>
      <w:r w:rsidR="00CF7B7E" w:rsidRPr="002A75F2">
        <w:rPr>
          <w:rFonts w:cs="Arial"/>
        </w:rPr>
        <w:t xml:space="preserve"> or first complete additional remediation (e.g. remove hotspots) prior to undertaking the risk assessment</w:t>
      </w:r>
      <w:r w:rsidRPr="002A75F2">
        <w:rPr>
          <w:rFonts w:cs="Arial"/>
        </w:rPr>
        <w:t>.</w:t>
      </w:r>
      <w:r w:rsidR="008F04DD" w:rsidRPr="002A75F2">
        <w:rPr>
          <w:rFonts w:cs="Arial"/>
        </w:rPr>
        <w:t xml:space="preserve"> </w:t>
      </w:r>
    </w:p>
    <w:p w14:paraId="45CBF3D2" w14:textId="77777777" w:rsidR="00B736F9" w:rsidRPr="002A75F2" w:rsidRDefault="00B736F9" w:rsidP="00840964">
      <w:pPr>
        <w:rPr>
          <w:rFonts w:cs="Arial"/>
        </w:rPr>
      </w:pPr>
      <w:r w:rsidRPr="002A75F2">
        <w:rPr>
          <w:rFonts w:cs="Arial"/>
        </w:rPr>
        <w:t xml:space="preserve">The following sections of the Regulation </w:t>
      </w:r>
      <w:r w:rsidR="009E42FE" w:rsidRPr="002A75F2">
        <w:rPr>
          <w:rFonts w:cs="Arial"/>
        </w:rPr>
        <w:t xml:space="preserve">should </w:t>
      </w:r>
      <w:r w:rsidRPr="002A75F2">
        <w:rPr>
          <w:rFonts w:cs="Arial"/>
        </w:rPr>
        <w:t>be referred to when considering what approach might be taken to the risk assessment</w:t>
      </w:r>
      <w:r w:rsidR="008F04DD" w:rsidRPr="002A75F2">
        <w:rPr>
          <w:rFonts w:cs="Arial"/>
        </w:rPr>
        <w:t>:</w:t>
      </w:r>
    </w:p>
    <w:p w14:paraId="3C55A1AC" w14:textId="77777777" w:rsidR="00E878B4" w:rsidRPr="002A75F2" w:rsidRDefault="00BC7AAD" w:rsidP="00A47B50">
      <w:pPr>
        <w:pStyle w:val="List2"/>
        <w:numPr>
          <w:ilvl w:val="0"/>
          <w:numId w:val="22"/>
        </w:numPr>
        <w:shd w:val="clear" w:color="auto" w:fill="D9D9D9"/>
        <w:rPr>
          <w:rFonts w:cs="Arial"/>
        </w:rPr>
      </w:pPr>
      <w:r w:rsidRPr="002A75F2">
        <w:rPr>
          <w:rFonts w:cs="Arial"/>
        </w:rPr>
        <w:t>Section</w:t>
      </w:r>
      <w:r w:rsidR="00E878B4" w:rsidRPr="002A75F2">
        <w:rPr>
          <w:rFonts w:cs="Arial"/>
        </w:rPr>
        <w:t xml:space="preserve"> 44 </w:t>
      </w:r>
      <w:r w:rsidR="008F04DD" w:rsidRPr="002A75F2">
        <w:rPr>
          <w:rFonts w:cs="Arial"/>
        </w:rPr>
        <w:t>(Risk assessment form)</w:t>
      </w:r>
    </w:p>
    <w:p w14:paraId="3C2809EB" w14:textId="77777777" w:rsidR="008F04DD" w:rsidRPr="002A75F2" w:rsidRDefault="00BC7AAD" w:rsidP="00A47B50">
      <w:pPr>
        <w:pStyle w:val="List2"/>
        <w:numPr>
          <w:ilvl w:val="0"/>
          <w:numId w:val="22"/>
        </w:numPr>
        <w:shd w:val="clear" w:color="auto" w:fill="D9D9D9"/>
        <w:rPr>
          <w:rFonts w:cs="Arial"/>
        </w:rPr>
      </w:pPr>
      <w:r w:rsidRPr="002A75F2">
        <w:rPr>
          <w:rFonts w:cs="Arial"/>
        </w:rPr>
        <w:t>Section</w:t>
      </w:r>
      <w:r w:rsidR="008F04DD" w:rsidRPr="002A75F2">
        <w:rPr>
          <w:rFonts w:cs="Arial"/>
        </w:rPr>
        <w:t xml:space="preserve"> 2 of Schedule C (Components of a risk assessment)</w:t>
      </w:r>
    </w:p>
    <w:p w14:paraId="67114C51" w14:textId="77777777" w:rsidR="008F04DD" w:rsidRPr="002A75F2" w:rsidRDefault="00BC7AAD" w:rsidP="00A47B50">
      <w:pPr>
        <w:pStyle w:val="List2"/>
        <w:numPr>
          <w:ilvl w:val="0"/>
          <w:numId w:val="22"/>
        </w:numPr>
        <w:shd w:val="clear" w:color="auto" w:fill="D9D9D9"/>
        <w:rPr>
          <w:rFonts w:cs="Arial"/>
        </w:rPr>
      </w:pPr>
      <w:r w:rsidRPr="002A75F2">
        <w:rPr>
          <w:rFonts w:cs="Arial"/>
        </w:rPr>
        <w:t>Section</w:t>
      </w:r>
      <w:r w:rsidR="008F04DD" w:rsidRPr="002A75F2">
        <w:rPr>
          <w:rFonts w:cs="Arial"/>
        </w:rPr>
        <w:t xml:space="preserve"> 6 of Schedule C (Alternative risk assessment procedures)</w:t>
      </w:r>
    </w:p>
    <w:p w14:paraId="1DA9B85D" w14:textId="77777777" w:rsidR="00B736F9" w:rsidRPr="002A75F2" w:rsidRDefault="00B736F9" w:rsidP="00840964">
      <w:pPr>
        <w:rPr>
          <w:rFonts w:cs="Arial"/>
        </w:rPr>
      </w:pPr>
      <w:r w:rsidRPr="002A75F2">
        <w:rPr>
          <w:rFonts w:cs="Arial"/>
        </w:rPr>
        <w:t>In the initiation stages of a risk assessment</w:t>
      </w:r>
      <w:r w:rsidR="003D5220" w:rsidRPr="002A75F2">
        <w:rPr>
          <w:rFonts w:cs="Arial"/>
        </w:rPr>
        <w:t>,</w:t>
      </w:r>
      <w:r w:rsidRPr="002A75F2">
        <w:rPr>
          <w:rFonts w:cs="Arial"/>
        </w:rPr>
        <w:t xml:space="preserve"> reference should be made to the following sections of the Regulation</w:t>
      </w:r>
      <w:r w:rsidR="008F04DD" w:rsidRPr="002A75F2">
        <w:rPr>
          <w:rFonts w:cs="Arial"/>
        </w:rPr>
        <w:t>:</w:t>
      </w:r>
      <w:r w:rsidRPr="002A75F2">
        <w:rPr>
          <w:rFonts w:cs="Arial"/>
        </w:rPr>
        <w:t xml:space="preserve"> </w:t>
      </w:r>
    </w:p>
    <w:p w14:paraId="131281B5" w14:textId="77777777" w:rsidR="00B736F9" w:rsidRPr="002A75F2" w:rsidRDefault="00BC7AAD" w:rsidP="00A47B50">
      <w:pPr>
        <w:pStyle w:val="List2"/>
        <w:numPr>
          <w:ilvl w:val="0"/>
          <w:numId w:val="22"/>
        </w:numPr>
        <w:shd w:val="clear" w:color="auto" w:fill="D9D9D9"/>
        <w:rPr>
          <w:rFonts w:cs="Arial"/>
        </w:rPr>
      </w:pPr>
      <w:r w:rsidRPr="002A75F2">
        <w:rPr>
          <w:rFonts w:cs="Arial"/>
        </w:rPr>
        <w:t>Section</w:t>
      </w:r>
      <w:r w:rsidR="00D25D68" w:rsidRPr="002A75F2">
        <w:rPr>
          <w:rFonts w:cs="Arial"/>
        </w:rPr>
        <w:t xml:space="preserve"> 3 of </w:t>
      </w:r>
      <w:r w:rsidR="00B736F9" w:rsidRPr="002A75F2">
        <w:rPr>
          <w:rFonts w:cs="Arial"/>
        </w:rPr>
        <w:t xml:space="preserve">Schedule C </w:t>
      </w:r>
      <w:r w:rsidR="00D25D68" w:rsidRPr="002A75F2">
        <w:rPr>
          <w:rFonts w:cs="Arial"/>
        </w:rPr>
        <w:t xml:space="preserve">(Mandatory requirements of a pre-submission form) </w:t>
      </w:r>
    </w:p>
    <w:p w14:paraId="4806BFE4" w14:textId="77777777" w:rsidR="00D25D68" w:rsidRPr="002A75F2" w:rsidRDefault="00D25D68" w:rsidP="00A47B50">
      <w:pPr>
        <w:pStyle w:val="List2"/>
        <w:numPr>
          <w:ilvl w:val="0"/>
          <w:numId w:val="22"/>
        </w:numPr>
        <w:shd w:val="clear" w:color="auto" w:fill="D9D9D9"/>
        <w:rPr>
          <w:rFonts w:cs="Arial"/>
        </w:rPr>
      </w:pPr>
      <w:r w:rsidRPr="002A75F2">
        <w:rPr>
          <w:rFonts w:cs="Arial"/>
        </w:rPr>
        <w:t>Table 1 of Schedule C (Report Section 2</w:t>
      </w:r>
      <w:r w:rsidR="00AF22F0" w:rsidRPr="002A75F2">
        <w:rPr>
          <w:rFonts w:cs="Arial"/>
        </w:rPr>
        <w:t>.</w:t>
      </w:r>
      <w:r w:rsidRPr="002A75F2">
        <w:rPr>
          <w:rFonts w:cs="Arial"/>
        </w:rPr>
        <w:t xml:space="preserve"> Risk Assessment Team and Report Section 8</w:t>
      </w:r>
      <w:r w:rsidR="00AF22F0" w:rsidRPr="002A75F2">
        <w:rPr>
          <w:rFonts w:cs="Arial"/>
        </w:rPr>
        <w:t>.</w:t>
      </w:r>
      <w:r w:rsidRPr="002A75F2">
        <w:rPr>
          <w:rFonts w:cs="Arial"/>
        </w:rPr>
        <w:t xml:space="preserve"> Public Communication Plan</w:t>
      </w:r>
      <w:r w:rsidR="00AF22F0" w:rsidRPr="002A75F2">
        <w:rPr>
          <w:rFonts w:cs="Arial"/>
        </w:rPr>
        <w:t>)</w:t>
      </w:r>
    </w:p>
    <w:p w14:paraId="45FC5E14" w14:textId="77777777" w:rsidR="00B736F9" w:rsidRPr="002A75F2" w:rsidRDefault="00B736F9" w:rsidP="00840964">
      <w:pPr>
        <w:rPr>
          <w:rFonts w:cs="Arial"/>
        </w:rPr>
      </w:pPr>
      <w:r w:rsidRPr="002A75F2">
        <w:rPr>
          <w:rFonts w:cs="Arial"/>
        </w:rPr>
        <w:lastRenderedPageBreak/>
        <w:t>Additional guidance on meeting the requirements of these sections is provide</w:t>
      </w:r>
      <w:r w:rsidR="009E42FE" w:rsidRPr="002A75F2">
        <w:rPr>
          <w:rFonts w:cs="Arial"/>
        </w:rPr>
        <w:t>d</w:t>
      </w:r>
      <w:r w:rsidRPr="002A75F2">
        <w:rPr>
          <w:rFonts w:cs="Arial"/>
        </w:rPr>
        <w:t xml:space="preserve"> </w:t>
      </w:r>
      <w:r w:rsidR="006E0C2F" w:rsidRPr="002A75F2">
        <w:rPr>
          <w:rFonts w:cs="Arial"/>
        </w:rPr>
        <w:t>in this document</w:t>
      </w:r>
      <w:r w:rsidRPr="002A75F2">
        <w:rPr>
          <w:rFonts w:cs="Arial"/>
        </w:rPr>
        <w:t xml:space="preserve">. </w:t>
      </w:r>
    </w:p>
    <w:p w14:paraId="7DB1ED58" w14:textId="77777777" w:rsidR="00636BFC" w:rsidRPr="008D65C3" w:rsidRDefault="00636BFC" w:rsidP="00840964">
      <w:pPr>
        <w:rPr>
          <w:rFonts w:cs="Arial"/>
        </w:rPr>
      </w:pPr>
      <w:r w:rsidRPr="002A75F2">
        <w:rPr>
          <w:rFonts w:cs="Arial"/>
        </w:rPr>
        <w:t>For a more gen</w:t>
      </w:r>
      <w:r w:rsidR="00DA208A" w:rsidRPr="002A75F2">
        <w:rPr>
          <w:rFonts w:cs="Arial"/>
        </w:rPr>
        <w:t>e</w:t>
      </w:r>
      <w:r w:rsidRPr="002A75F2">
        <w:rPr>
          <w:rFonts w:cs="Arial"/>
        </w:rPr>
        <w:t xml:space="preserve">ral overview of the </w:t>
      </w:r>
      <w:r w:rsidR="00642006" w:rsidRPr="002A75F2">
        <w:rPr>
          <w:rFonts w:cs="Arial"/>
        </w:rPr>
        <w:t>risk assessment</w:t>
      </w:r>
      <w:r w:rsidRPr="002A75F2">
        <w:rPr>
          <w:rFonts w:cs="Arial"/>
        </w:rPr>
        <w:t xml:space="preserve"> </w:t>
      </w:r>
      <w:r w:rsidR="00DA208A" w:rsidRPr="002A75F2">
        <w:rPr>
          <w:rFonts w:cs="Arial"/>
        </w:rPr>
        <w:t xml:space="preserve">and RSC </w:t>
      </w:r>
      <w:r w:rsidRPr="002A75F2">
        <w:rPr>
          <w:rFonts w:cs="Arial"/>
        </w:rPr>
        <w:t xml:space="preserve">processes, please refer to the Ministry’s </w:t>
      </w:r>
      <w:r w:rsidR="00DA208A" w:rsidRPr="002A75F2">
        <w:rPr>
          <w:rFonts w:cs="Arial"/>
        </w:rPr>
        <w:t xml:space="preserve">guidance document </w:t>
      </w:r>
      <w:r w:rsidR="00DA208A" w:rsidRPr="008D65C3">
        <w:rPr>
          <w:rFonts w:cs="Arial"/>
          <w:highlight w:val="green"/>
        </w:rPr>
        <w:t>“Records of Site Condition - A Guide on Site Assessment, the Cleanup of Brownfield Sites and the Filing of Records of Site Condition”, dated xx 2020</w:t>
      </w:r>
      <w:r w:rsidR="00DA208A" w:rsidRPr="00B631A3">
        <w:rPr>
          <w:rFonts w:cs="Arial"/>
        </w:rPr>
        <w:t>.</w:t>
      </w:r>
    </w:p>
    <w:p w14:paraId="2DEB3F22" w14:textId="25DBE4B6" w:rsidR="00B736F9" w:rsidRPr="008D65C3" w:rsidRDefault="00B736F9" w:rsidP="0053573D">
      <w:pPr>
        <w:pStyle w:val="Heading2"/>
        <w:rPr>
          <w:rFonts w:cs="Arial"/>
        </w:rPr>
      </w:pPr>
      <w:bookmarkStart w:id="35" w:name="_Role_and_Responsibilities_of_the_Ri"/>
      <w:bookmarkStart w:id="36" w:name="_Toc74119382"/>
      <w:bookmarkStart w:id="37" w:name="_Toc74450877"/>
      <w:bookmarkStart w:id="38" w:name="_Toc78162192"/>
      <w:bookmarkStart w:id="39" w:name="_Toc79571575"/>
      <w:bookmarkStart w:id="40" w:name="_Toc91393528"/>
      <w:bookmarkStart w:id="41" w:name="_Toc112727394"/>
      <w:bookmarkStart w:id="42" w:name="_Toc41905642"/>
      <w:bookmarkEnd w:id="35"/>
      <w:r w:rsidRPr="008D65C3">
        <w:rPr>
          <w:rFonts w:cs="Arial"/>
        </w:rPr>
        <w:t>Role and Responsibilities of the Risk Assessment Qualified Person</w:t>
      </w:r>
      <w:bookmarkEnd w:id="36"/>
      <w:bookmarkEnd w:id="37"/>
      <w:bookmarkEnd w:id="38"/>
      <w:bookmarkEnd w:id="39"/>
      <w:bookmarkEnd w:id="40"/>
      <w:bookmarkEnd w:id="41"/>
      <w:bookmarkEnd w:id="42"/>
    </w:p>
    <w:p w14:paraId="34E1C010" w14:textId="0BEAC199" w:rsidR="00252F18" w:rsidRPr="002A75F2" w:rsidRDefault="00B736F9" w:rsidP="00840964">
      <w:pPr>
        <w:rPr>
          <w:rFonts w:cs="Arial"/>
        </w:rPr>
      </w:pPr>
      <w:r w:rsidRPr="008D65C3">
        <w:rPr>
          <w:rFonts w:cs="Arial"/>
        </w:rPr>
        <w:t xml:space="preserve">A risk assessment must be conducted by a qualified risk assessment team under the supervision of a </w:t>
      </w:r>
      <w:r w:rsidR="00307733" w:rsidRPr="008D65C3">
        <w:rPr>
          <w:rFonts w:cs="Arial"/>
        </w:rPr>
        <w:t>q</w:t>
      </w:r>
      <w:r w:rsidRPr="008D65C3">
        <w:rPr>
          <w:rFonts w:cs="Arial"/>
        </w:rPr>
        <w:t xml:space="preserve">ualified </w:t>
      </w:r>
      <w:r w:rsidR="00307733" w:rsidRPr="002A75F2">
        <w:rPr>
          <w:rFonts w:cs="Arial"/>
        </w:rPr>
        <w:t>p</w:t>
      </w:r>
      <w:r w:rsidRPr="002A75F2">
        <w:rPr>
          <w:rFonts w:cs="Arial"/>
        </w:rPr>
        <w:t xml:space="preserve">erson </w:t>
      </w:r>
      <w:r w:rsidR="00927B19" w:rsidRPr="002A75F2">
        <w:rPr>
          <w:rFonts w:cs="Arial"/>
        </w:rPr>
        <w:t xml:space="preserve">for risk assessment </w:t>
      </w:r>
      <w:r w:rsidRPr="002A75F2">
        <w:rPr>
          <w:rFonts w:cs="Arial"/>
        </w:rPr>
        <w:t>(</w:t>
      </w:r>
      <w:r w:rsidR="000767FF" w:rsidRPr="002A75F2">
        <w:rPr>
          <w:rFonts w:cs="Arial"/>
        </w:rPr>
        <w:t>QP</w:t>
      </w:r>
      <w:r w:rsidR="000767FF" w:rsidRPr="002A75F2">
        <w:rPr>
          <w:rFonts w:cs="Arial"/>
          <w:vertAlign w:val="subscript"/>
        </w:rPr>
        <w:t>RA</w:t>
      </w:r>
      <w:r w:rsidRPr="002A75F2">
        <w:rPr>
          <w:rFonts w:cs="Arial"/>
        </w:rPr>
        <w:t xml:space="preserve">). The qualifications </w:t>
      </w:r>
      <w:r w:rsidR="00147634" w:rsidRPr="002A75F2">
        <w:rPr>
          <w:rFonts w:cs="Arial"/>
        </w:rPr>
        <w:t>of a</w:t>
      </w:r>
      <w:r w:rsidRPr="002A75F2">
        <w:rPr>
          <w:rFonts w:cs="Arial"/>
        </w:rPr>
        <w:t xml:space="preserve"> </w:t>
      </w:r>
      <w:r w:rsidR="000767FF" w:rsidRPr="002A75F2">
        <w:rPr>
          <w:rFonts w:cs="Arial"/>
        </w:rPr>
        <w:t>QP</w:t>
      </w:r>
      <w:r w:rsidR="000767FF" w:rsidRPr="002A75F2">
        <w:rPr>
          <w:rFonts w:cs="Arial"/>
          <w:vertAlign w:val="subscript"/>
        </w:rPr>
        <w:t>RA</w:t>
      </w:r>
      <w:r w:rsidRPr="002A75F2">
        <w:rPr>
          <w:rFonts w:cs="Arial"/>
        </w:rPr>
        <w:t xml:space="preserve"> are specified in </w:t>
      </w:r>
      <w:r w:rsidR="00252F18" w:rsidRPr="002A75F2">
        <w:rPr>
          <w:rFonts w:cs="Arial"/>
        </w:rPr>
        <w:t xml:space="preserve">the </w:t>
      </w:r>
      <w:r w:rsidRPr="002A75F2">
        <w:rPr>
          <w:rFonts w:cs="Arial"/>
        </w:rPr>
        <w:t>Regulation</w:t>
      </w:r>
      <w:r w:rsidR="00252F18" w:rsidRPr="002A75F2">
        <w:rPr>
          <w:rFonts w:cs="Arial"/>
        </w:rPr>
        <w:t>:</w:t>
      </w:r>
    </w:p>
    <w:p w14:paraId="5391EEF1" w14:textId="77777777" w:rsidR="00252F18" w:rsidRPr="002A75F2" w:rsidRDefault="00BC7AAD" w:rsidP="00A47B50">
      <w:pPr>
        <w:numPr>
          <w:ilvl w:val="0"/>
          <w:numId w:val="22"/>
        </w:numPr>
        <w:shd w:val="clear" w:color="auto" w:fill="D9D9D9"/>
        <w:rPr>
          <w:rFonts w:cs="Arial"/>
        </w:rPr>
      </w:pPr>
      <w:r w:rsidRPr="002A75F2">
        <w:rPr>
          <w:rFonts w:cs="Arial"/>
        </w:rPr>
        <w:t>Section</w:t>
      </w:r>
      <w:r w:rsidR="00252F18" w:rsidRPr="002A75F2">
        <w:rPr>
          <w:rFonts w:cs="Arial"/>
        </w:rPr>
        <w:t xml:space="preserve"> 6 of the Regulation (Qualified persons, risk assessment)</w:t>
      </w:r>
    </w:p>
    <w:p w14:paraId="2088782F" w14:textId="0D037F73" w:rsidR="001B0844" w:rsidRPr="002A75F2" w:rsidRDefault="00C95F85" w:rsidP="00840964">
      <w:pPr>
        <w:rPr>
          <w:rFonts w:cs="Arial"/>
        </w:rPr>
      </w:pPr>
      <w:r w:rsidRPr="002A75F2">
        <w:rPr>
          <w:rFonts w:cs="Arial"/>
        </w:rPr>
        <w:t>T</w:t>
      </w:r>
      <w:r w:rsidR="0040229F" w:rsidRPr="002A75F2">
        <w:rPr>
          <w:rFonts w:cs="Arial"/>
        </w:rPr>
        <w:t>he QP</w:t>
      </w:r>
      <w:r w:rsidR="0040229F" w:rsidRPr="002A75F2">
        <w:rPr>
          <w:rFonts w:cs="Arial"/>
          <w:vertAlign w:val="subscript"/>
        </w:rPr>
        <w:t>RA</w:t>
      </w:r>
      <w:r w:rsidR="0040229F" w:rsidRPr="002A75F2">
        <w:rPr>
          <w:rFonts w:cs="Arial"/>
        </w:rPr>
        <w:t xml:space="preserve">’s role </w:t>
      </w:r>
      <w:r w:rsidRPr="002A75F2">
        <w:rPr>
          <w:rFonts w:cs="Arial"/>
        </w:rPr>
        <w:t>should</w:t>
      </w:r>
      <w:r w:rsidR="0040229F" w:rsidRPr="002A75F2">
        <w:rPr>
          <w:rFonts w:cs="Arial"/>
        </w:rPr>
        <w:t xml:space="preserve"> include communicating the </w:t>
      </w:r>
      <w:r w:rsidR="00642006" w:rsidRPr="002A75F2">
        <w:rPr>
          <w:rFonts w:cs="Arial"/>
        </w:rPr>
        <w:t>risk assessment</w:t>
      </w:r>
      <w:r w:rsidR="001B0844" w:rsidRPr="002A75F2">
        <w:rPr>
          <w:rFonts w:cs="Arial"/>
        </w:rPr>
        <w:t xml:space="preserve"> process and the complex nature of risk assessments</w:t>
      </w:r>
      <w:r w:rsidR="0040229F" w:rsidRPr="002A75F2">
        <w:rPr>
          <w:rFonts w:cs="Arial"/>
        </w:rPr>
        <w:t xml:space="preserve"> to the property owner</w:t>
      </w:r>
      <w:r w:rsidR="001B0844" w:rsidRPr="002A75F2">
        <w:rPr>
          <w:rFonts w:cs="Arial"/>
        </w:rPr>
        <w:t>.</w:t>
      </w:r>
      <w:r w:rsidR="005362BD" w:rsidRPr="002A75F2">
        <w:rPr>
          <w:rFonts w:cs="Arial"/>
        </w:rPr>
        <w:t xml:space="preserve"> </w:t>
      </w:r>
      <w:r w:rsidR="001B0844" w:rsidRPr="002A75F2">
        <w:rPr>
          <w:rFonts w:cs="Arial"/>
        </w:rPr>
        <w:t>This includes helping plan realistic project timelines and goals. The QP</w:t>
      </w:r>
      <w:r w:rsidR="001B0844" w:rsidRPr="002A75F2">
        <w:rPr>
          <w:rFonts w:cs="Arial"/>
          <w:vertAlign w:val="subscript"/>
        </w:rPr>
        <w:t>RA</w:t>
      </w:r>
      <w:r w:rsidR="001B0844" w:rsidRPr="002A75F2">
        <w:rPr>
          <w:rFonts w:cs="Arial"/>
        </w:rPr>
        <w:t xml:space="preserve"> can also serve as the owner’s point of contact when communicating with the Ministry on </w:t>
      </w:r>
      <w:r w:rsidR="0035460B" w:rsidRPr="002A75F2">
        <w:rPr>
          <w:rFonts w:cs="Arial"/>
        </w:rPr>
        <w:t>ri</w:t>
      </w:r>
      <w:r w:rsidR="003D407C" w:rsidRPr="002A75F2">
        <w:rPr>
          <w:rFonts w:cs="Arial"/>
        </w:rPr>
        <w:t>sk assessment</w:t>
      </w:r>
      <w:r w:rsidR="001B0844" w:rsidRPr="002A75F2">
        <w:rPr>
          <w:rFonts w:cs="Arial"/>
        </w:rPr>
        <w:t xml:space="preserve"> related matters.</w:t>
      </w:r>
    </w:p>
    <w:p w14:paraId="2E775461" w14:textId="75CF43D0" w:rsidR="00B736F9" w:rsidRPr="002A75F2" w:rsidRDefault="00B736F9" w:rsidP="00840964">
      <w:pPr>
        <w:rPr>
          <w:rFonts w:cs="Arial"/>
        </w:rPr>
      </w:pPr>
      <w:r w:rsidRPr="002A75F2">
        <w:rPr>
          <w:rFonts w:cs="Arial"/>
        </w:rPr>
        <w:t xml:space="preserve">As part of the process of submitting a </w:t>
      </w:r>
      <w:r w:rsidR="00BA67AD" w:rsidRPr="002A75F2">
        <w:rPr>
          <w:rFonts w:cs="Arial"/>
        </w:rPr>
        <w:t>p</w:t>
      </w:r>
      <w:r w:rsidRPr="002A75F2">
        <w:rPr>
          <w:rFonts w:cs="Arial"/>
        </w:rPr>
        <w:t>re-</w:t>
      </w:r>
      <w:r w:rsidR="00BA67AD" w:rsidRPr="002A75F2">
        <w:rPr>
          <w:rFonts w:cs="Arial"/>
        </w:rPr>
        <w:t>s</w:t>
      </w:r>
      <w:r w:rsidRPr="002A75F2">
        <w:rPr>
          <w:rFonts w:cs="Arial"/>
        </w:rPr>
        <w:t xml:space="preserve">ubmission </w:t>
      </w:r>
      <w:r w:rsidR="00BA67AD" w:rsidRPr="002A75F2">
        <w:rPr>
          <w:rFonts w:cs="Arial"/>
        </w:rPr>
        <w:t>f</w:t>
      </w:r>
      <w:r w:rsidRPr="002A75F2">
        <w:rPr>
          <w:rFonts w:cs="Arial"/>
        </w:rPr>
        <w:t xml:space="preserve">orm (PSF), the </w:t>
      </w:r>
      <w:r w:rsidR="000767FF" w:rsidRPr="002A75F2">
        <w:rPr>
          <w:rFonts w:cs="Arial"/>
        </w:rPr>
        <w:t>QP</w:t>
      </w:r>
      <w:r w:rsidR="000767FF" w:rsidRPr="002A75F2">
        <w:rPr>
          <w:rFonts w:cs="Arial"/>
          <w:vertAlign w:val="subscript"/>
        </w:rPr>
        <w:t>RA</w:t>
      </w:r>
      <w:r w:rsidRPr="002A75F2">
        <w:rPr>
          <w:rFonts w:cs="Arial"/>
        </w:rPr>
        <w:t xml:space="preserve"> will </w:t>
      </w:r>
      <w:r w:rsidR="00927B19" w:rsidRPr="002A75F2">
        <w:rPr>
          <w:rFonts w:cs="Arial"/>
        </w:rPr>
        <w:t xml:space="preserve">need to </w:t>
      </w:r>
      <w:r w:rsidRPr="002A75F2">
        <w:rPr>
          <w:rFonts w:cs="Arial"/>
        </w:rPr>
        <w:t xml:space="preserve">self-declare </w:t>
      </w:r>
      <w:r w:rsidR="00927B19" w:rsidRPr="002A75F2">
        <w:rPr>
          <w:rFonts w:cs="Arial"/>
        </w:rPr>
        <w:t xml:space="preserve">that they have </w:t>
      </w:r>
      <w:r w:rsidRPr="002A75F2">
        <w:rPr>
          <w:rFonts w:cs="Arial"/>
        </w:rPr>
        <w:t>the qualifications set out in the Regulation</w:t>
      </w:r>
      <w:r w:rsidR="009E56F3" w:rsidRPr="002A75F2">
        <w:rPr>
          <w:rFonts w:cs="Arial"/>
        </w:rPr>
        <w:t xml:space="preserve">; </w:t>
      </w:r>
      <w:r w:rsidR="006839E0" w:rsidRPr="002A75F2">
        <w:rPr>
          <w:rFonts w:cs="Arial"/>
        </w:rPr>
        <w:t xml:space="preserve">a resume, </w:t>
      </w:r>
      <w:r w:rsidR="00E07841" w:rsidRPr="002A75F2">
        <w:rPr>
          <w:rFonts w:cs="Arial"/>
        </w:rPr>
        <w:t>post-secondary</w:t>
      </w:r>
      <w:r w:rsidRPr="002A75F2">
        <w:rPr>
          <w:rFonts w:cs="Arial"/>
        </w:rPr>
        <w:t xml:space="preserve"> education transcript</w:t>
      </w:r>
      <w:r w:rsidR="006839E0" w:rsidRPr="002A75F2">
        <w:rPr>
          <w:rFonts w:cs="Arial"/>
        </w:rPr>
        <w:t>s</w:t>
      </w:r>
      <w:r w:rsidR="002814F0" w:rsidRPr="002A75F2">
        <w:rPr>
          <w:rFonts w:cs="Arial"/>
        </w:rPr>
        <w:t xml:space="preserve"> </w:t>
      </w:r>
      <w:r w:rsidRPr="002A75F2">
        <w:rPr>
          <w:rFonts w:cs="Arial"/>
        </w:rPr>
        <w:t>and work references</w:t>
      </w:r>
      <w:r w:rsidR="009E56F3" w:rsidRPr="002A75F2">
        <w:rPr>
          <w:rFonts w:cs="Arial"/>
        </w:rPr>
        <w:t xml:space="preserve"> will also need to be provided at that time</w:t>
      </w:r>
      <w:r w:rsidRPr="002A75F2">
        <w:rPr>
          <w:rFonts w:cs="Arial"/>
        </w:rPr>
        <w:t xml:space="preserve">. Once these qualifications have been submitted to the </w:t>
      </w:r>
      <w:r w:rsidR="002D7DFD" w:rsidRPr="002A75F2">
        <w:rPr>
          <w:rFonts w:cs="Arial"/>
        </w:rPr>
        <w:t>M</w:t>
      </w:r>
      <w:r w:rsidR="002A6EE0" w:rsidRPr="002A75F2">
        <w:rPr>
          <w:rFonts w:cs="Arial"/>
        </w:rPr>
        <w:t>inistry</w:t>
      </w:r>
      <w:r w:rsidR="006839E0" w:rsidRPr="002A75F2">
        <w:rPr>
          <w:rFonts w:cs="Arial"/>
        </w:rPr>
        <w:t>,</w:t>
      </w:r>
      <w:r w:rsidRPr="002A75F2">
        <w:rPr>
          <w:rFonts w:cs="Arial"/>
        </w:rPr>
        <w:t xml:space="preserve"> they </w:t>
      </w:r>
      <w:r w:rsidR="006839E0" w:rsidRPr="002A75F2">
        <w:rPr>
          <w:rFonts w:cs="Arial"/>
        </w:rPr>
        <w:t>do not need to be provided</w:t>
      </w:r>
      <w:r w:rsidRPr="002A75F2">
        <w:rPr>
          <w:rFonts w:cs="Arial"/>
        </w:rPr>
        <w:t xml:space="preserve"> again</w:t>
      </w:r>
      <w:r w:rsidR="006839E0" w:rsidRPr="002A75F2">
        <w:rPr>
          <w:rFonts w:cs="Arial"/>
        </w:rPr>
        <w:t xml:space="preserve"> in subsequent </w:t>
      </w:r>
      <w:r w:rsidR="00D0168C" w:rsidRPr="002A75F2">
        <w:rPr>
          <w:rFonts w:cs="Arial"/>
        </w:rPr>
        <w:t xml:space="preserve">PSF and </w:t>
      </w:r>
      <w:r w:rsidR="003D407C" w:rsidRPr="002A75F2">
        <w:rPr>
          <w:rFonts w:cs="Arial"/>
        </w:rPr>
        <w:t>risk assessment</w:t>
      </w:r>
      <w:r w:rsidR="00D0168C" w:rsidRPr="002A75F2">
        <w:rPr>
          <w:rFonts w:cs="Arial"/>
        </w:rPr>
        <w:t xml:space="preserve"> </w:t>
      </w:r>
      <w:r w:rsidR="006839E0" w:rsidRPr="002A75F2">
        <w:rPr>
          <w:rFonts w:cs="Arial"/>
        </w:rPr>
        <w:t>submissions</w:t>
      </w:r>
      <w:r w:rsidRPr="002A75F2">
        <w:rPr>
          <w:rFonts w:cs="Arial"/>
        </w:rPr>
        <w:t>.</w:t>
      </w:r>
      <w:r w:rsidR="00840964" w:rsidRPr="002A75F2">
        <w:rPr>
          <w:rFonts w:cs="Arial"/>
        </w:rPr>
        <w:t xml:space="preserve"> </w:t>
      </w:r>
      <w:r w:rsidR="00253927" w:rsidRPr="002A75F2">
        <w:rPr>
          <w:rFonts w:cs="Arial"/>
        </w:rPr>
        <w:t>Additional details regarding the PSF</w:t>
      </w:r>
      <w:r w:rsidR="00EA04AC" w:rsidRPr="002A75F2">
        <w:rPr>
          <w:rFonts w:cs="Arial"/>
        </w:rPr>
        <w:t xml:space="preserve"> </w:t>
      </w:r>
      <w:r w:rsidR="00253927" w:rsidRPr="002A75F2">
        <w:rPr>
          <w:rFonts w:cs="Arial"/>
        </w:rPr>
        <w:t>submission process and requirements are included in subsequent sections of this Proced</w:t>
      </w:r>
      <w:r w:rsidR="00252F18" w:rsidRPr="002A75F2">
        <w:rPr>
          <w:rFonts w:cs="Arial"/>
        </w:rPr>
        <w:t>u</w:t>
      </w:r>
      <w:r w:rsidR="00253927" w:rsidRPr="002A75F2">
        <w:rPr>
          <w:rFonts w:cs="Arial"/>
        </w:rPr>
        <w:t>res document.</w:t>
      </w:r>
    </w:p>
    <w:p w14:paraId="32ECD4A5" w14:textId="2B6988C3" w:rsidR="006E0C2F" w:rsidRPr="002A75F2" w:rsidRDefault="006E0C2F" w:rsidP="00840964">
      <w:pPr>
        <w:rPr>
          <w:rFonts w:cs="Arial"/>
        </w:rPr>
      </w:pPr>
      <w:r w:rsidRPr="002A75F2">
        <w:rPr>
          <w:rFonts w:cs="Arial"/>
        </w:rPr>
        <w:t>A resume for the QP</w:t>
      </w:r>
      <w:r w:rsidRPr="002A75F2">
        <w:rPr>
          <w:rFonts w:cs="Arial"/>
          <w:vertAlign w:val="subscript"/>
        </w:rPr>
        <w:t>RA</w:t>
      </w:r>
      <w:r w:rsidRPr="002A75F2">
        <w:rPr>
          <w:rFonts w:cs="Arial"/>
        </w:rPr>
        <w:t xml:space="preserve"> and each team technical lead must also be provided in an Appendix to the RA report. Mandatory appendices to the RA report are discussed in subsequent sections of this document.</w:t>
      </w:r>
    </w:p>
    <w:p w14:paraId="42A69BC0" w14:textId="77777777" w:rsidR="00E874CE" w:rsidRPr="002A75F2" w:rsidRDefault="00E874CE" w:rsidP="006639AA">
      <w:pPr>
        <w:pStyle w:val="Heading3"/>
        <w:rPr>
          <w:rFonts w:cs="Arial"/>
        </w:rPr>
      </w:pPr>
      <w:bookmarkStart w:id="43" w:name="_Making_Certified_Statements"/>
      <w:bookmarkStart w:id="44" w:name="_Toc41905643"/>
      <w:bookmarkStart w:id="45" w:name="_Toc78162194"/>
      <w:bookmarkStart w:id="46" w:name="_Toc79571576"/>
      <w:bookmarkStart w:id="47" w:name="_Toc91393529"/>
      <w:bookmarkStart w:id="48" w:name="_Toc112727395"/>
      <w:bookmarkEnd w:id="43"/>
      <w:r w:rsidRPr="002A75F2">
        <w:rPr>
          <w:rFonts w:cs="Arial"/>
        </w:rPr>
        <w:t>Insurance and Conflict of Interest</w:t>
      </w:r>
      <w:bookmarkEnd w:id="44"/>
    </w:p>
    <w:p w14:paraId="0CB1FE7A" w14:textId="77777777" w:rsidR="00252F18" w:rsidRPr="002A75F2" w:rsidRDefault="00252F18" w:rsidP="00E874CE">
      <w:pPr>
        <w:rPr>
          <w:rFonts w:cs="Arial"/>
          <w:lang w:val="en-GB"/>
        </w:rPr>
      </w:pPr>
      <w:r w:rsidRPr="002A75F2">
        <w:rPr>
          <w:rFonts w:cs="Arial"/>
          <w:lang w:val="en-GB"/>
        </w:rPr>
        <w:t xml:space="preserve">The Regulation </w:t>
      </w:r>
      <w:r w:rsidR="006E0C2F" w:rsidRPr="002A75F2">
        <w:rPr>
          <w:rFonts w:cs="Arial"/>
          <w:lang w:val="en-GB"/>
        </w:rPr>
        <w:t xml:space="preserve">specifies </w:t>
      </w:r>
      <w:r w:rsidRPr="002A75F2">
        <w:rPr>
          <w:rFonts w:cs="Arial"/>
          <w:lang w:val="en-GB"/>
        </w:rPr>
        <w:t>requirement</w:t>
      </w:r>
      <w:r w:rsidR="00DC4D82" w:rsidRPr="002A75F2">
        <w:rPr>
          <w:rFonts w:cs="Arial"/>
          <w:lang w:val="en-GB"/>
        </w:rPr>
        <w:t>s</w:t>
      </w:r>
      <w:r w:rsidRPr="002A75F2">
        <w:rPr>
          <w:rFonts w:cs="Arial"/>
          <w:lang w:val="en-GB"/>
        </w:rPr>
        <w:t xml:space="preserve"> related to conflict of interest </w:t>
      </w:r>
      <w:r w:rsidR="006E0C2F" w:rsidRPr="002A75F2">
        <w:rPr>
          <w:rFonts w:cs="Arial"/>
          <w:lang w:val="en-GB"/>
        </w:rPr>
        <w:t xml:space="preserve">and insurance </w:t>
      </w:r>
      <w:r w:rsidRPr="002A75F2">
        <w:rPr>
          <w:rFonts w:cs="Arial"/>
          <w:lang w:val="en-GB"/>
        </w:rPr>
        <w:t>for all QPs (QP</w:t>
      </w:r>
      <w:r w:rsidRPr="002A75F2">
        <w:rPr>
          <w:rFonts w:cs="Arial"/>
          <w:vertAlign w:val="subscript"/>
          <w:lang w:val="en-GB"/>
        </w:rPr>
        <w:t>RA</w:t>
      </w:r>
      <w:r w:rsidRPr="002A75F2">
        <w:rPr>
          <w:rFonts w:cs="Arial"/>
          <w:lang w:val="en-GB"/>
        </w:rPr>
        <w:t xml:space="preserve"> and QP</w:t>
      </w:r>
      <w:r w:rsidRPr="002A75F2">
        <w:rPr>
          <w:rFonts w:cs="Arial"/>
          <w:vertAlign w:val="subscript"/>
          <w:lang w:val="en-GB"/>
        </w:rPr>
        <w:t>ESA</w:t>
      </w:r>
      <w:r w:rsidRPr="002A75F2">
        <w:rPr>
          <w:rFonts w:cs="Arial"/>
          <w:lang w:val="en-GB"/>
        </w:rPr>
        <w:t>):</w:t>
      </w:r>
    </w:p>
    <w:p w14:paraId="237C4D1D" w14:textId="77777777" w:rsidR="00252F18" w:rsidRPr="002A75F2" w:rsidRDefault="00BC7AAD" w:rsidP="00A47B50">
      <w:pPr>
        <w:numPr>
          <w:ilvl w:val="0"/>
          <w:numId w:val="22"/>
        </w:numPr>
        <w:shd w:val="clear" w:color="auto" w:fill="D9D9D9"/>
        <w:rPr>
          <w:rFonts w:cs="Arial"/>
          <w:lang w:val="en-GB"/>
        </w:rPr>
      </w:pPr>
      <w:r w:rsidRPr="002A75F2">
        <w:rPr>
          <w:rFonts w:cs="Arial"/>
          <w:lang w:val="en-GB"/>
        </w:rPr>
        <w:t>Section</w:t>
      </w:r>
      <w:r w:rsidR="00252F18" w:rsidRPr="002A75F2">
        <w:rPr>
          <w:rFonts w:cs="Arial"/>
          <w:lang w:val="en-GB"/>
        </w:rPr>
        <w:t xml:space="preserve"> 6.1 of the Regulation (Qualified persons, conflict of interest)</w:t>
      </w:r>
    </w:p>
    <w:p w14:paraId="72A70D40" w14:textId="77777777" w:rsidR="00252F18" w:rsidRPr="002A75F2" w:rsidRDefault="00BC7AAD" w:rsidP="00A47B50">
      <w:pPr>
        <w:numPr>
          <w:ilvl w:val="0"/>
          <w:numId w:val="22"/>
        </w:numPr>
        <w:shd w:val="clear" w:color="auto" w:fill="D9D9D9"/>
        <w:rPr>
          <w:rFonts w:cs="Arial"/>
        </w:rPr>
      </w:pPr>
      <w:r w:rsidRPr="002A75F2">
        <w:rPr>
          <w:rFonts w:cs="Arial"/>
          <w:lang w:val="en-GB"/>
        </w:rPr>
        <w:t>Section</w:t>
      </w:r>
      <w:r w:rsidR="00252F18" w:rsidRPr="002A75F2">
        <w:rPr>
          <w:rFonts w:cs="Arial"/>
          <w:lang w:val="en-GB"/>
        </w:rPr>
        <w:t xml:space="preserve"> 7 of the Regulation (Qualified persons, insurance)</w:t>
      </w:r>
    </w:p>
    <w:p w14:paraId="0DB4478A" w14:textId="37058678" w:rsidR="00B736F9" w:rsidRPr="002A75F2" w:rsidRDefault="0076555A" w:rsidP="00DE496B">
      <w:pPr>
        <w:pStyle w:val="Heading3"/>
        <w:rPr>
          <w:rFonts w:cs="Arial"/>
        </w:rPr>
      </w:pPr>
      <w:bookmarkStart w:id="49" w:name="_Toc41905644"/>
      <w:bookmarkEnd w:id="45"/>
      <w:bookmarkEnd w:id="46"/>
      <w:bookmarkEnd w:id="47"/>
      <w:bookmarkEnd w:id="48"/>
      <w:r w:rsidRPr="002A75F2">
        <w:rPr>
          <w:rFonts w:cs="Arial"/>
        </w:rPr>
        <w:t>Mandatory Certifications</w:t>
      </w:r>
      <w:bookmarkEnd w:id="49"/>
    </w:p>
    <w:p w14:paraId="58293333" w14:textId="77777777" w:rsidR="006E0C2F" w:rsidRPr="002A75F2" w:rsidRDefault="006E0C2F" w:rsidP="00840964">
      <w:pPr>
        <w:rPr>
          <w:rFonts w:cs="Arial"/>
        </w:rPr>
      </w:pPr>
      <w:r w:rsidRPr="002A75F2">
        <w:rPr>
          <w:rFonts w:cs="Arial"/>
        </w:rPr>
        <w:t xml:space="preserve">When submitting a risk assessment to the </w:t>
      </w:r>
      <w:r w:rsidR="00EA04AC" w:rsidRPr="002A75F2">
        <w:rPr>
          <w:rFonts w:cs="Arial"/>
        </w:rPr>
        <w:t>Ministry</w:t>
      </w:r>
      <w:r w:rsidRPr="002A75F2">
        <w:rPr>
          <w:rFonts w:cs="Arial"/>
        </w:rPr>
        <w:t>, t</w:t>
      </w:r>
      <w:r w:rsidR="00B736F9" w:rsidRPr="002A75F2">
        <w:rPr>
          <w:rFonts w:cs="Arial"/>
        </w:rPr>
        <w:t xml:space="preserve">he </w:t>
      </w:r>
      <w:r w:rsidR="000767FF" w:rsidRPr="002A75F2">
        <w:rPr>
          <w:rFonts w:cs="Arial"/>
        </w:rPr>
        <w:t>QP</w:t>
      </w:r>
      <w:r w:rsidR="000767FF" w:rsidRPr="002A75F2">
        <w:rPr>
          <w:rFonts w:cs="Arial"/>
          <w:vertAlign w:val="subscript"/>
        </w:rPr>
        <w:t>RA</w:t>
      </w:r>
      <w:r w:rsidR="00B736F9" w:rsidRPr="002A75F2">
        <w:rPr>
          <w:rFonts w:cs="Arial"/>
        </w:rPr>
        <w:t xml:space="preserve"> must make the certified statements verbatim as set out in the Regulation</w:t>
      </w:r>
      <w:r w:rsidRPr="002A75F2">
        <w:rPr>
          <w:rFonts w:cs="Arial"/>
        </w:rPr>
        <w:t>:</w:t>
      </w:r>
    </w:p>
    <w:p w14:paraId="3F9E22F7" w14:textId="77777777" w:rsidR="006E0C2F" w:rsidRPr="002A75F2" w:rsidRDefault="00BC7AAD" w:rsidP="00A47B50">
      <w:pPr>
        <w:numPr>
          <w:ilvl w:val="0"/>
          <w:numId w:val="22"/>
        </w:numPr>
        <w:shd w:val="clear" w:color="auto" w:fill="D9D9D9"/>
        <w:rPr>
          <w:rFonts w:cs="Arial"/>
        </w:rPr>
      </w:pPr>
      <w:r w:rsidRPr="002A75F2">
        <w:rPr>
          <w:rFonts w:cs="Arial"/>
        </w:rPr>
        <w:t>Section</w:t>
      </w:r>
      <w:r w:rsidR="006E0C2F" w:rsidRPr="002A75F2">
        <w:rPr>
          <w:rFonts w:cs="Arial"/>
        </w:rPr>
        <w:t xml:space="preserve"> 5 of Schedule C of the Regulation (Mandatory certification</w:t>
      </w:r>
      <w:r w:rsidR="0053485F" w:rsidRPr="002A75F2">
        <w:rPr>
          <w:rFonts w:cs="Arial"/>
        </w:rPr>
        <w:t>s</w:t>
      </w:r>
      <w:r w:rsidR="006E0C2F" w:rsidRPr="002A75F2">
        <w:rPr>
          <w:rFonts w:cs="Arial"/>
        </w:rPr>
        <w:t>)</w:t>
      </w:r>
    </w:p>
    <w:p w14:paraId="30B025BD" w14:textId="06156C95" w:rsidR="00B736F9" w:rsidRPr="002A75F2" w:rsidRDefault="006839E0" w:rsidP="00840964">
      <w:pPr>
        <w:rPr>
          <w:rFonts w:cs="Arial"/>
        </w:rPr>
      </w:pPr>
      <w:r w:rsidRPr="002A75F2">
        <w:rPr>
          <w:rFonts w:cs="Arial"/>
        </w:rPr>
        <w:t>The QP</w:t>
      </w:r>
      <w:r w:rsidRPr="002A75F2">
        <w:rPr>
          <w:rFonts w:cs="Arial"/>
          <w:vertAlign w:val="subscript"/>
        </w:rPr>
        <w:t>RA</w:t>
      </w:r>
      <w:r w:rsidRPr="002A75F2">
        <w:rPr>
          <w:rFonts w:cs="Arial"/>
        </w:rPr>
        <w:t xml:space="preserve"> will need to carefully </w:t>
      </w:r>
      <w:r w:rsidR="002D7DFD" w:rsidRPr="002A75F2">
        <w:rPr>
          <w:rFonts w:cs="Arial"/>
        </w:rPr>
        <w:t xml:space="preserve">consider </w:t>
      </w:r>
      <w:r w:rsidRPr="002A75F2">
        <w:rPr>
          <w:rFonts w:cs="Arial"/>
        </w:rPr>
        <w:t>site</w:t>
      </w:r>
      <w:r w:rsidR="00E07B06" w:rsidRPr="002A75F2">
        <w:rPr>
          <w:rFonts w:cs="Arial"/>
        </w:rPr>
        <w:t>-</w:t>
      </w:r>
      <w:r w:rsidRPr="002A75F2">
        <w:rPr>
          <w:rFonts w:cs="Arial"/>
        </w:rPr>
        <w:t xml:space="preserve">specific conditions before determining </w:t>
      </w:r>
      <w:r w:rsidR="00EA04AC" w:rsidRPr="002A75F2">
        <w:rPr>
          <w:rFonts w:cs="Arial"/>
        </w:rPr>
        <w:t>whether</w:t>
      </w:r>
      <w:r w:rsidRPr="002A75F2">
        <w:rPr>
          <w:rFonts w:cs="Arial"/>
        </w:rPr>
        <w:t xml:space="preserve"> to include the final certification s</w:t>
      </w:r>
      <w:r w:rsidR="00B30FFD" w:rsidRPr="002A75F2">
        <w:rPr>
          <w:rFonts w:cs="Arial"/>
        </w:rPr>
        <w:t xml:space="preserve">tatement listed in Schedule C, </w:t>
      </w:r>
      <w:r w:rsidR="00BC7AAD" w:rsidRPr="002A75F2">
        <w:rPr>
          <w:rFonts w:cs="Arial"/>
        </w:rPr>
        <w:t>S</w:t>
      </w:r>
      <w:r w:rsidR="0004243E" w:rsidRPr="002A75F2">
        <w:rPr>
          <w:rFonts w:cs="Arial"/>
        </w:rPr>
        <w:t>ub</w:t>
      </w:r>
      <w:r w:rsidR="00B30FFD" w:rsidRPr="002A75F2">
        <w:rPr>
          <w:rFonts w:cs="Arial"/>
        </w:rPr>
        <w:t>s</w:t>
      </w:r>
      <w:r w:rsidRPr="002A75F2">
        <w:rPr>
          <w:rFonts w:cs="Arial"/>
        </w:rPr>
        <w:t>ection 5(3) regarding potential for off-site migration.</w:t>
      </w:r>
    </w:p>
    <w:p w14:paraId="70A48C7D" w14:textId="2C1717F6" w:rsidR="00B736F9" w:rsidRPr="002A75F2" w:rsidRDefault="00B736F9" w:rsidP="00DE496B">
      <w:pPr>
        <w:pStyle w:val="Heading3"/>
        <w:rPr>
          <w:rFonts w:cs="Arial"/>
        </w:rPr>
      </w:pPr>
      <w:bookmarkStart w:id="50" w:name="_Formation_of_Risk_Assessment_Team"/>
      <w:bookmarkStart w:id="51" w:name="_Toc79571577"/>
      <w:bookmarkStart w:id="52" w:name="_Toc91393530"/>
      <w:bookmarkStart w:id="53" w:name="_Toc112727396"/>
      <w:bookmarkStart w:id="54" w:name="_Toc41905645"/>
      <w:bookmarkEnd w:id="50"/>
      <w:r w:rsidRPr="002A75F2">
        <w:rPr>
          <w:rFonts w:cs="Arial"/>
        </w:rPr>
        <w:lastRenderedPageBreak/>
        <w:t>Formation of Risk Assessment Team</w:t>
      </w:r>
      <w:bookmarkEnd w:id="51"/>
      <w:bookmarkEnd w:id="52"/>
      <w:bookmarkEnd w:id="53"/>
      <w:bookmarkEnd w:id="54"/>
    </w:p>
    <w:p w14:paraId="73AE8687" w14:textId="2B76E3E4" w:rsidR="00B736F9" w:rsidRPr="002A75F2" w:rsidRDefault="00B736F9" w:rsidP="00840964">
      <w:pPr>
        <w:rPr>
          <w:rFonts w:cs="Arial"/>
        </w:rPr>
      </w:pPr>
      <w:r w:rsidRPr="002A75F2">
        <w:rPr>
          <w:rFonts w:cs="Arial"/>
        </w:rPr>
        <w:t xml:space="preserve">In addition, the </w:t>
      </w:r>
      <w:r w:rsidR="000767FF" w:rsidRPr="002A75F2">
        <w:rPr>
          <w:rFonts w:cs="Arial"/>
        </w:rPr>
        <w:t>QP</w:t>
      </w:r>
      <w:r w:rsidR="000767FF" w:rsidRPr="002A75F2">
        <w:rPr>
          <w:rFonts w:cs="Arial"/>
          <w:vertAlign w:val="subscript"/>
        </w:rPr>
        <w:t>RA</w:t>
      </w:r>
      <w:r w:rsidRPr="002A75F2">
        <w:rPr>
          <w:rFonts w:cs="Arial"/>
        </w:rPr>
        <w:t xml:space="preserve"> must identify the technical leads for the </w:t>
      </w:r>
      <w:r w:rsidR="006915CA" w:rsidRPr="002A75F2">
        <w:rPr>
          <w:rFonts w:cs="Arial"/>
        </w:rPr>
        <w:t>risk assessment team</w:t>
      </w:r>
      <w:r w:rsidRPr="002A75F2">
        <w:rPr>
          <w:rFonts w:cs="Arial"/>
        </w:rPr>
        <w:t xml:space="preserve"> and demonstrate that the team </w:t>
      </w:r>
      <w:r w:rsidR="00D0168C" w:rsidRPr="002A75F2">
        <w:rPr>
          <w:rFonts w:cs="Arial"/>
        </w:rPr>
        <w:t>possesses</w:t>
      </w:r>
      <w:r w:rsidRPr="002A75F2">
        <w:rPr>
          <w:rFonts w:cs="Arial"/>
        </w:rPr>
        <w:t xml:space="preserve"> all required/relevant disciplines to complete the </w:t>
      </w:r>
      <w:r w:rsidR="00D4507B" w:rsidRPr="002A75F2">
        <w:rPr>
          <w:rFonts w:cs="Arial"/>
        </w:rPr>
        <w:t>risk assessment</w:t>
      </w:r>
      <w:r w:rsidRPr="002A75F2">
        <w:rPr>
          <w:rFonts w:cs="Arial"/>
        </w:rPr>
        <w:t xml:space="preserve">. If a technical lead for a specific discipline is absent from the </w:t>
      </w:r>
      <w:r w:rsidR="00B24C01" w:rsidRPr="002A75F2">
        <w:rPr>
          <w:rFonts w:cs="Arial"/>
        </w:rPr>
        <w:t>risk assessment</w:t>
      </w:r>
      <w:r w:rsidRPr="002A75F2">
        <w:rPr>
          <w:rFonts w:cs="Arial"/>
        </w:rPr>
        <w:t xml:space="preserve"> team, the </w:t>
      </w:r>
      <w:r w:rsidR="000767FF" w:rsidRPr="002A75F2">
        <w:rPr>
          <w:rFonts w:cs="Arial"/>
        </w:rPr>
        <w:t>QP</w:t>
      </w:r>
      <w:r w:rsidR="000767FF" w:rsidRPr="002A75F2">
        <w:rPr>
          <w:rFonts w:cs="Arial"/>
          <w:vertAlign w:val="subscript"/>
        </w:rPr>
        <w:t>RA</w:t>
      </w:r>
      <w:r w:rsidRPr="002A75F2">
        <w:rPr>
          <w:rFonts w:cs="Arial"/>
        </w:rPr>
        <w:t xml:space="preserve"> must explain why that particular discipline is not required for the completion of the </w:t>
      </w:r>
      <w:r w:rsidR="00D4507B" w:rsidRPr="002A75F2">
        <w:rPr>
          <w:rFonts w:cs="Arial"/>
        </w:rPr>
        <w:t>risk assessment</w:t>
      </w:r>
      <w:r w:rsidRPr="002A75F2">
        <w:rPr>
          <w:rFonts w:cs="Arial"/>
        </w:rPr>
        <w:t xml:space="preserve">. The minimum requirements for the risk assessment team are provided in Table 1 of </w:t>
      </w:r>
      <w:r w:rsidR="002A71A6" w:rsidRPr="002A75F2">
        <w:rPr>
          <w:rFonts w:cs="Arial"/>
        </w:rPr>
        <w:t xml:space="preserve">Schedule C of </w:t>
      </w:r>
      <w:r w:rsidRPr="002A75F2">
        <w:rPr>
          <w:rFonts w:cs="Arial"/>
        </w:rPr>
        <w:t>the Regulation, and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5021F" w:rsidRPr="002A75F2" w14:paraId="25E52E42" w14:textId="77777777" w:rsidTr="005B40DA">
        <w:trPr>
          <w:trHeight w:val="20"/>
          <w:tblHeader/>
        </w:trPr>
        <w:tc>
          <w:tcPr>
            <w:tcW w:w="2468" w:type="dxa"/>
          </w:tcPr>
          <w:p w14:paraId="096BD146" w14:textId="77777777" w:rsidR="0025021F" w:rsidRPr="002A75F2" w:rsidRDefault="0025021F" w:rsidP="000C0EF2">
            <w:pPr>
              <w:pStyle w:val="table-e"/>
              <w:spacing w:line="240" w:lineRule="auto"/>
              <w:rPr>
                <w:b/>
                <w:sz w:val="24"/>
              </w:rPr>
            </w:pPr>
            <w:r w:rsidRPr="002A75F2">
              <w:rPr>
                <w:b/>
                <w:sz w:val="24"/>
              </w:rPr>
              <w:t>Column 1</w:t>
            </w:r>
            <w:r w:rsidRPr="002A75F2">
              <w:rPr>
                <w:b/>
                <w:sz w:val="24"/>
              </w:rPr>
              <w:br/>
              <w:t>Report Section</w:t>
            </w:r>
          </w:p>
        </w:tc>
        <w:tc>
          <w:tcPr>
            <w:tcW w:w="2014" w:type="dxa"/>
          </w:tcPr>
          <w:p w14:paraId="08481106" w14:textId="77777777" w:rsidR="0025021F" w:rsidRPr="002A75F2" w:rsidRDefault="0025021F" w:rsidP="000C0EF2">
            <w:pPr>
              <w:pStyle w:val="table-e"/>
              <w:spacing w:line="240" w:lineRule="auto"/>
              <w:rPr>
                <w:b/>
                <w:sz w:val="24"/>
              </w:rPr>
            </w:pPr>
            <w:r w:rsidRPr="002A75F2">
              <w:rPr>
                <w:b/>
                <w:sz w:val="24"/>
              </w:rPr>
              <w:t>Column 2</w:t>
            </w:r>
            <w:r w:rsidRPr="002A75F2">
              <w:rPr>
                <w:b/>
                <w:sz w:val="24"/>
              </w:rPr>
              <w:br/>
              <w:t>Heading</w:t>
            </w:r>
          </w:p>
        </w:tc>
        <w:tc>
          <w:tcPr>
            <w:tcW w:w="1839" w:type="dxa"/>
          </w:tcPr>
          <w:p w14:paraId="4FC1B532" w14:textId="77777777" w:rsidR="0025021F" w:rsidRPr="002A75F2" w:rsidRDefault="0025021F" w:rsidP="000C0EF2">
            <w:pPr>
              <w:pStyle w:val="table-e"/>
              <w:spacing w:line="240" w:lineRule="auto"/>
              <w:rPr>
                <w:b/>
                <w:sz w:val="24"/>
              </w:rPr>
            </w:pPr>
            <w:r w:rsidRPr="002A75F2">
              <w:rPr>
                <w:b/>
                <w:sz w:val="24"/>
              </w:rPr>
              <w:t>Column 3</w:t>
            </w:r>
            <w:r w:rsidRPr="002A75F2">
              <w:rPr>
                <w:b/>
                <w:sz w:val="24"/>
              </w:rPr>
              <w:br/>
              <w:t>Sub-Heading</w:t>
            </w:r>
          </w:p>
        </w:tc>
        <w:tc>
          <w:tcPr>
            <w:tcW w:w="3759" w:type="dxa"/>
          </w:tcPr>
          <w:p w14:paraId="55512AD6" w14:textId="77777777" w:rsidR="0025021F" w:rsidRPr="002A75F2" w:rsidRDefault="0025021F" w:rsidP="000C0EF2">
            <w:pPr>
              <w:pStyle w:val="table-e"/>
              <w:spacing w:line="240" w:lineRule="auto"/>
              <w:rPr>
                <w:b/>
                <w:sz w:val="24"/>
              </w:rPr>
            </w:pPr>
            <w:r w:rsidRPr="002A75F2">
              <w:rPr>
                <w:b/>
                <w:sz w:val="24"/>
              </w:rPr>
              <w:t>Column 4</w:t>
            </w:r>
            <w:r w:rsidRPr="002A75F2">
              <w:rPr>
                <w:b/>
                <w:sz w:val="24"/>
              </w:rPr>
              <w:br/>
              <w:t>Minimum Requirements</w:t>
            </w:r>
          </w:p>
        </w:tc>
      </w:tr>
      <w:tr w:rsidR="0025021F" w:rsidRPr="002A75F2" w14:paraId="52614D43" w14:textId="77777777" w:rsidTr="005B40DA">
        <w:trPr>
          <w:trHeight w:val="20"/>
        </w:trPr>
        <w:tc>
          <w:tcPr>
            <w:tcW w:w="2468" w:type="dxa"/>
          </w:tcPr>
          <w:p w14:paraId="642C5DA3" w14:textId="77777777" w:rsidR="0025021F" w:rsidRPr="002A75F2" w:rsidRDefault="0025021F" w:rsidP="000C0EF2">
            <w:pPr>
              <w:pStyle w:val="table-e"/>
              <w:spacing w:line="240" w:lineRule="auto"/>
              <w:rPr>
                <w:sz w:val="24"/>
              </w:rPr>
            </w:pPr>
            <w:r w:rsidRPr="002A75F2">
              <w:rPr>
                <w:sz w:val="24"/>
              </w:rPr>
              <w:t>2.  Risk Assessment Team Membership</w:t>
            </w:r>
          </w:p>
        </w:tc>
        <w:tc>
          <w:tcPr>
            <w:tcW w:w="2014" w:type="dxa"/>
          </w:tcPr>
          <w:p w14:paraId="151110E2" w14:textId="77777777" w:rsidR="0025021F" w:rsidRPr="002A75F2" w:rsidRDefault="0025021F" w:rsidP="000C0EF2">
            <w:pPr>
              <w:pStyle w:val="table-e"/>
              <w:spacing w:line="240" w:lineRule="auto"/>
              <w:rPr>
                <w:sz w:val="24"/>
              </w:rPr>
            </w:pPr>
            <w:r w:rsidRPr="002A75F2">
              <w:rPr>
                <w:sz w:val="24"/>
              </w:rPr>
              <w:t>not applicable</w:t>
            </w:r>
          </w:p>
        </w:tc>
        <w:tc>
          <w:tcPr>
            <w:tcW w:w="1839" w:type="dxa"/>
          </w:tcPr>
          <w:p w14:paraId="4AC15956" w14:textId="77777777" w:rsidR="0025021F" w:rsidRPr="002A75F2" w:rsidRDefault="0025021F" w:rsidP="000C0EF2">
            <w:pPr>
              <w:pStyle w:val="table-e"/>
              <w:spacing w:line="240" w:lineRule="auto"/>
              <w:rPr>
                <w:sz w:val="24"/>
              </w:rPr>
            </w:pPr>
            <w:r w:rsidRPr="002A75F2">
              <w:rPr>
                <w:sz w:val="24"/>
              </w:rPr>
              <w:t>not applicable</w:t>
            </w:r>
          </w:p>
        </w:tc>
        <w:tc>
          <w:tcPr>
            <w:tcW w:w="3759" w:type="dxa"/>
          </w:tcPr>
          <w:p w14:paraId="768D0AA9" w14:textId="77777777" w:rsidR="0025021F" w:rsidRPr="002A75F2" w:rsidRDefault="0025021F" w:rsidP="000C0EF2">
            <w:pPr>
              <w:pStyle w:val="table-e"/>
              <w:spacing w:line="240" w:lineRule="auto"/>
              <w:rPr>
                <w:sz w:val="24"/>
              </w:rPr>
            </w:pPr>
            <w:r w:rsidRPr="002A75F2">
              <w:rPr>
                <w:sz w:val="24"/>
              </w:rPr>
              <w:t>1.  State the expertise required to complete this risk assessment and design of any risk management measures specified in Report Section 7 (Risk Management Plan) and justify the omission of areas of expertise normally associated with the completion of a risk assessment.</w:t>
            </w:r>
          </w:p>
          <w:p w14:paraId="1BDEEE1B" w14:textId="77777777" w:rsidR="0025021F" w:rsidRPr="002A75F2" w:rsidRDefault="0025021F" w:rsidP="000C0EF2">
            <w:pPr>
              <w:pStyle w:val="table-e"/>
              <w:spacing w:line="240" w:lineRule="auto"/>
              <w:rPr>
                <w:sz w:val="24"/>
              </w:rPr>
            </w:pPr>
            <w:r w:rsidRPr="002A75F2">
              <w:rPr>
                <w:sz w:val="24"/>
              </w:rPr>
              <w:t>2.  Identify each team member with the expertise necessary to complete the risk assessment and state how their qualifications relate to the given role and expertise required for this risk assessment.</w:t>
            </w:r>
          </w:p>
        </w:tc>
      </w:tr>
    </w:tbl>
    <w:p w14:paraId="79DDD9CE" w14:textId="783C72CD" w:rsidR="00B736F9" w:rsidRPr="002A75F2" w:rsidRDefault="00B736F9" w:rsidP="00840964">
      <w:pPr>
        <w:rPr>
          <w:rFonts w:cs="Arial"/>
        </w:rPr>
      </w:pPr>
      <w:r w:rsidRPr="002A75F2">
        <w:rPr>
          <w:rFonts w:cs="Arial"/>
        </w:rPr>
        <w:t xml:space="preserve">Risk assessment team technical leads should be identified in the </w:t>
      </w:r>
      <w:r w:rsidR="00665041" w:rsidRPr="002A75F2">
        <w:rPr>
          <w:rFonts w:cs="Arial"/>
        </w:rPr>
        <w:t>PSF</w:t>
      </w:r>
      <w:r w:rsidRPr="002A75F2">
        <w:rPr>
          <w:rFonts w:cs="Arial"/>
        </w:rPr>
        <w:t xml:space="preserve"> and the </w:t>
      </w:r>
      <w:r w:rsidR="003A2390" w:rsidRPr="002A75F2">
        <w:rPr>
          <w:rFonts w:cs="Arial"/>
        </w:rPr>
        <w:t>RA report</w:t>
      </w:r>
      <w:r w:rsidRPr="002A75F2">
        <w:rPr>
          <w:rFonts w:cs="Arial"/>
        </w:rPr>
        <w:t xml:space="preserve"> for each of</w:t>
      </w:r>
      <w:r w:rsidR="00135AD9" w:rsidRPr="002A75F2">
        <w:rPr>
          <w:rFonts w:cs="Arial"/>
        </w:rPr>
        <w:t>:</w:t>
      </w:r>
    </w:p>
    <w:p w14:paraId="4EF9A534" w14:textId="5D3D88C9" w:rsidR="00B736F9" w:rsidRPr="002A75F2" w:rsidRDefault="00B736F9" w:rsidP="000E72E5">
      <w:pPr>
        <w:pStyle w:val="ListBullet2"/>
        <w:rPr>
          <w:rFonts w:cs="Arial"/>
        </w:rPr>
      </w:pPr>
      <w:r w:rsidRPr="002A75F2">
        <w:rPr>
          <w:rFonts w:cs="Arial"/>
        </w:rPr>
        <w:t xml:space="preserve">Human </w:t>
      </w:r>
      <w:r w:rsidR="00D16E05" w:rsidRPr="002A75F2">
        <w:rPr>
          <w:rFonts w:cs="Arial"/>
        </w:rPr>
        <w:t>h</w:t>
      </w:r>
      <w:r w:rsidRPr="002A75F2">
        <w:rPr>
          <w:rFonts w:cs="Arial"/>
        </w:rPr>
        <w:t xml:space="preserve">ealth </w:t>
      </w:r>
      <w:r w:rsidR="00D16E05" w:rsidRPr="002A75F2">
        <w:rPr>
          <w:rFonts w:cs="Arial"/>
        </w:rPr>
        <w:t>r</w:t>
      </w:r>
      <w:r w:rsidRPr="002A75F2">
        <w:rPr>
          <w:rFonts w:cs="Arial"/>
        </w:rPr>
        <w:t xml:space="preserve">isk </w:t>
      </w:r>
      <w:r w:rsidR="00D16E05" w:rsidRPr="002A75F2">
        <w:rPr>
          <w:rFonts w:cs="Arial"/>
        </w:rPr>
        <w:t>a</w:t>
      </w:r>
      <w:r w:rsidRPr="002A75F2">
        <w:rPr>
          <w:rFonts w:cs="Arial"/>
        </w:rPr>
        <w:t>ssessment</w:t>
      </w:r>
    </w:p>
    <w:p w14:paraId="5A438EFC" w14:textId="6C18F250" w:rsidR="00B736F9" w:rsidRPr="002A75F2" w:rsidRDefault="00B736F9" w:rsidP="000E72E5">
      <w:pPr>
        <w:pStyle w:val="ListBullet2"/>
        <w:rPr>
          <w:rFonts w:cs="Arial"/>
        </w:rPr>
      </w:pPr>
      <w:r w:rsidRPr="002A75F2">
        <w:rPr>
          <w:rFonts w:cs="Arial"/>
        </w:rPr>
        <w:t xml:space="preserve">Ecological </w:t>
      </w:r>
      <w:r w:rsidR="00D16E05" w:rsidRPr="002A75F2">
        <w:rPr>
          <w:rFonts w:cs="Arial"/>
        </w:rPr>
        <w:t>r</w:t>
      </w:r>
      <w:r w:rsidRPr="002A75F2">
        <w:rPr>
          <w:rFonts w:cs="Arial"/>
        </w:rPr>
        <w:t xml:space="preserve">isk </w:t>
      </w:r>
      <w:r w:rsidR="00D16E05" w:rsidRPr="002A75F2">
        <w:rPr>
          <w:rFonts w:cs="Arial"/>
        </w:rPr>
        <w:t>a</w:t>
      </w:r>
      <w:r w:rsidRPr="002A75F2">
        <w:rPr>
          <w:rFonts w:cs="Arial"/>
        </w:rPr>
        <w:t>ssessment</w:t>
      </w:r>
    </w:p>
    <w:p w14:paraId="6CD1443E" w14:textId="77777777" w:rsidR="00B736F9" w:rsidRPr="002A75F2" w:rsidRDefault="00B736F9" w:rsidP="000E72E5">
      <w:pPr>
        <w:pStyle w:val="ListBullet2"/>
        <w:rPr>
          <w:rFonts w:cs="Arial"/>
        </w:rPr>
      </w:pPr>
      <w:r w:rsidRPr="002A75F2">
        <w:rPr>
          <w:rFonts w:cs="Arial"/>
        </w:rPr>
        <w:t>Hydrogeology</w:t>
      </w:r>
      <w:r w:rsidR="00135AD9" w:rsidRPr="002A75F2">
        <w:rPr>
          <w:rFonts w:cs="Arial"/>
        </w:rPr>
        <w:t>/Geoscience</w:t>
      </w:r>
    </w:p>
    <w:p w14:paraId="3333F18A" w14:textId="77777777" w:rsidR="00B736F9" w:rsidRPr="002A75F2" w:rsidRDefault="00B736F9" w:rsidP="000E72E5">
      <w:pPr>
        <w:pStyle w:val="ListBullet2"/>
        <w:rPr>
          <w:rFonts w:cs="Arial"/>
        </w:rPr>
      </w:pPr>
      <w:r w:rsidRPr="002A75F2">
        <w:rPr>
          <w:rFonts w:cs="Arial"/>
        </w:rPr>
        <w:t xml:space="preserve">Engineering (if risk management </w:t>
      </w:r>
      <w:r w:rsidR="00682510" w:rsidRPr="002A75F2">
        <w:rPr>
          <w:rFonts w:cs="Arial"/>
        </w:rPr>
        <w:t xml:space="preserve">is </w:t>
      </w:r>
      <w:r w:rsidRPr="002A75F2">
        <w:rPr>
          <w:rFonts w:cs="Arial"/>
        </w:rPr>
        <w:t>required)</w:t>
      </w:r>
    </w:p>
    <w:p w14:paraId="6AC60E13" w14:textId="59C7B663" w:rsidR="0040229F" w:rsidRPr="002A75F2" w:rsidRDefault="0040229F" w:rsidP="00840964">
      <w:pPr>
        <w:rPr>
          <w:rFonts w:cs="Arial"/>
        </w:rPr>
      </w:pPr>
      <w:r w:rsidRPr="002A75F2">
        <w:rPr>
          <w:rFonts w:cs="Arial"/>
        </w:rPr>
        <w:t>Ideally, the QP</w:t>
      </w:r>
      <w:r w:rsidRPr="002A75F2">
        <w:rPr>
          <w:rFonts w:cs="Arial"/>
          <w:vertAlign w:val="subscript"/>
        </w:rPr>
        <w:t>ESA</w:t>
      </w:r>
      <w:r w:rsidRPr="002A75F2">
        <w:rPr>
          <w:rFonts w:cs="Arial"/>
        </w:rPr>
        <w:t xml:space="preserve"> who prepared or oversaw the preparation of the phase one and two ESA reports (and/or who will be responsible for submitting the RSC for filing) will be included in the </w:t>
      </w:r>
      <w:r w:rsidR="00B24C01" w:rsidRPr="002A75F2">
        <w:rPr>
          <w:rFonts w:cs="Arial"/>
        </w:rPr>
        <w:t>risk assessment</w:t>
      </w:r>
      <w:r w:rsidRPr="002A75F2">
        <w:rPr>
          <w:rFonts w:cs="Arial"/>
        </w:rPr>
        <w:t xml:space="preserve"> team. </w:t>
      </w:r>
    </w:p>
    <w:p w14:paraId="4B16F207" w14:textId="52C38205" w:rsidR="00B736F9" w:rsidRPr="002A75F2" w:rsidRDefault="00B736F9" w:rsidP="00840964">
      <w:pPr>
        <w:rPr>
          <w:rFonts w:cs="Arial"/>
        </w:rPr>
      </w:pPr>
      <w:r w:rsidRPr="002A75F2">
        <w:rPr>
          <w:rFonts w:cs="Arial"/>
        </w:rPr>
        <w:t xml:space="preserve">The following areas of expertise are normally associated with completion of a </w:t>
      </w:r>
      <w:r w:rsidR="00D4507B" w:rsidRPr="002A75F2">
        <w:rPr>
          <w:rFonts w:cs="Arial"/>
        </w:rPr>
        <w:t>risk assessment</w:t>
      </w:r>
      <w:r w:rsidRPr="002A75F2">
        <w:rPr>
          <w:rFonts w:cs="Arial"/>
        </w:rPr>
        <w:t xml:space="preserve">. A particular </w:t>
      </w:r>
      <w:r w:rsidR="00B24C01" w:rsidRPr="002A75F2">
        <w:rPr>
          <w:rFonts w:cs="Arial"/>
        </w:rPr>
        <w:t>risk assessment</w:t>
      </w:r>
      <w:r w:rsidRPr="002A75F2">
        <w:rPr>
          <w:rFonts w:cs="Arial"/>
        </w:rPr>
        <w:t xml:space="preserve"> team should generally cover all areas of academic expertise listed below, but may vary depending on the </w:t>
      </w:r>
      <w:r w:rsidR="00D731CC" w:rsidRPr="002A75F2">
        <w:rPr>
          <w:rFonts w:cs="Arial"/>
        </w:rPr>
        <w:t>site being assessed</w:t>
      </w:r>
      <w:r w:rsidRPr="002A75F2">
        <w:rPr>
          <w:rFonts w:cs="Arial"/>
        </w:rPr>
        <w:t>. Several areas of expertise may be covered by a single team member, and team members’ expertise may overlap, however all areas should be covered by the team as a whole.</w:t>
      </w:r>
    </w:p>
    <w:p w14:paraId="4A4FCB96" w14:textId="77777777" w:rsidR="00B736F9" w:rsidRPr="002A75F2" w:rsidRDefault="00B736F9" w:rsidP="00840964">
      <w:pPr>
        <w:rPr>
          <w:rFonts w:cs="Arial"/>
        </w:rPr>
      </w:pPr>
      <w:r w:rsidRPr="002A75F2">
        <w:rPr>
          <w:rFonts w:cs="Arial"/>
        </w:rPr>
        <w:lastRenderedPageBreak/>
        <w:t>Educational qualifications for individual risk assessment team technical leads should include a specialized post-secondary education equivalent to a four-year degree level in one or more of the following areas:</w:t>
      </w:r>
    </w:p>
    <w:p w14:paraId="7242198C"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Human and/or mammalian toxicology</w:t>
      </w:r>
    </w:p>
    <w:p w14:paraId="6CDB0AD0"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Ecotoxicology (aquatic and terrestrial)</w:t>
      </w:r>
    </w:p>
    <w:p w14:paraId="2A3AD09D"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Geology</w:t>
      </w:r>
      <w:r w:rsidR="00135AD9" w:rsidRPr="002A75F2">
        <w:rPr>
          <w:rFonts w:cs="Arial"/>
        </w:rPr>
        <w:t>/geoscience</w:t>
      </w:r>
      <w:r w:rsidR="00B736F9" w:rsidRPr="002A75F2">
        <w:rPr>
          <w:rFonts w:cs="Arial"/>
        </w:rPr>
        <w:t>/hydrogeology</w:t>
      </w:r>
    </w:p>
    <w:p w14:paraId="2D61E509"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Soil science/soil chemistry</w:t>
      </w:r>
    </w:p>
    <w:p w14:paraId="1F9C677C"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Environmental science</w:t>
      </w:r>
    </w:p>
    <w:p w14:paraId="4E3AB206"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Environmental chemistry</w:t>
      </w:r>
    </w:p>
    <w:p w14:paraId="3CCC6FF0"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Analytical chemistry</w:t>
      </w:r>
    </w:p>
    <w:p w14:paraId="09EF2946" w14:textId="77777777" w:rsidR="00B736F9" w:rsidRPr="002A75F2" w:rsidRDefault="00840964" w:rsidP="000E72E5">
      <w:pPr>
        <w:pStyle w:val="ListBullet2"/>
        <w:rPr>
          <w:rFonts w:cs="Arial"/>
        </w:rPr>
      </w:pPr>
      <w:r w:rsidRPr="002A75F2">
        <w:rPr>
          <w:rFonts w:cs="Arial"/>
        </w:rPr>
        <w:t xml:space="preserve"> </w:t>
      </w:r>
      <w:r w:rsidR="00B736F9" w:rsidRPr="002A75F2">
        <w:rPr>
          <w:rFonts w:cs="Arial"/>
        </w:rPr>
        <w:t>Engineering</w:t>
      </w:r>
    </w:p>
    <w:p w14:paraId="370F292A" w14:textId="77777777" w:rsidR="00B736F9" w:rsidRPr="002A75F2" w:rsidRDefault="00B736F9" w:rsidP="00840964">
      <w:pPr>
        <w:rPr>
          <w:rFonts w:cs="Arial"/>
        </w:rPr>
      </w:pPr>
      <w:r w:rsidRPr="002A75F2">
        <w:rPr>
          <w:rFonts w:cs="Arial"/>
        </w:rPr>
        <w:t>One or more team members also should have work experience in one or more of the following:</w:t>
      </w:r>
    </w:p>
    <w:p w14:paraId="5BAAF5B7" w14:textId="77777777" w:rsidR="00B736F9" w:rsidRPr="002A75F2" w:rsidRDefault="00B736F9" w:rsidP="000E72E5">
      <w:pPr>
        <w:pStyle w:val="ListBullet2"/>
        <w:rPr>
          <w:rFonts w:cs="Arial"/>
        </w:rPr>
      </w:pPr>
      <w:r w:rsidRPr="002A75F2">
        <w:rPr>
          <w:rFonts w:cs="Arial"/>
        </w:rPr>
        <w:t>Contaminated land assessment</w:t>
      </w:r>
    </w:p>
    <w:p w14:paraId="48A155EE" w14:textId="77777777" w:rsidR="00B736F9" w:rsidRPr="002A75F2" w:rsidRDefault="00B736F9" w:rsidP="000E72E5">
      <w:pPr>
        <w:pStyle w:val="ListBullet2"/>
        <w:rPr>
          <w:rFonts w:cs="Arial"/>
        </w:rPr>
      </w:pPr>
      <w:r w:rsidRPr="002A75F2">
        <w:rPr>
          <w:rFonts w:cs="Arial"/>
        </w:rPr>
        <w:t>Environmental sampling, including soil sampling design and methodology</w:t>
      </w:r>
    </w:p>
    <w:p w14:paraId="706A6D3D" w14:textId="77777777" w:rsidR="00B736F9" w:rsidRPr="002A75F2" w:rsidRDefault="00B736F9" w:rsidP="000E72E5">
      <w:pPr>
        <w:pStyle w:val="ListBullet2"/>
        <w:rPr>
          <w:rFonts w:cs="Arial"/>
        </w:rPr>
      </w:pPr>
      <w:r w:rsidRPr="002A75F2">
        <w:rPr>
          <w:rFonts w:cs="Arial"/>
        </w:rPr>
        <w:t>Groundwater sampling design and methodology</w:t>
      </w:r>
    </w:p>
    <w:p w14:paraId="3DEDBEF0" w14:textId="77777777" w:rsidR="00B736F9" w:rsidRPr="002A75F2" w:rsidRDefault="00B736F9" w:rsidP="000E72E5">
      <w:pPr>
        <w:pStyle w:val="ListBullet2"/>
        <w:rPr>
          <w:rFonts w:cs="Arial"/>
        </w:rPr>
      </w:pPr>
      <w:r w:rsidRPr="002A75F2">
        <w:rPr>
          <w:rFonts w:cs="Arial"/>
        </w:rPr>
        <w:t>Surface water and sediment sampling design</w:t>
      </w:r>
      <w:r w:rsidR="00D0321B" w:rsidRPr="002A75F2">
        <w:rPr>
          <w:rFonts w:cs="Arial"/>
        </w:rPr>
        <w:t xml:space="preserve"> and methodology</w:t>
      </w:r>
    </w:p>
    <w:p w14:paraId="64C2C7BD" w14:textId="77777777" w:rsidR="00B736F9" w:rsidRPr="002A75F2" w:rsidRDefault="00B736F9" w:rsidP="000E72E5">
      <w:pPr>
        <w:pStyle w:val="ListBullet2"/>
        <w:rPr>
          <w:rFonts w:cs="Arial"/>
        </w:rPr>
      </w:pPr>
      <w:r w:rsidRPr="002A75F2">
        <w:rPr>
          <w:rFonts w:cs="Arial"/>
        </w:rPr>
        <w:t xml:space="preserve">Biota assessment, including sampling and </w:t>
      </w:r>
      <w:r w:rsidR="00D0321B" w:rsidRPr="002A75F2">
        <w:rPr>
          <w:rFonts w:cs="Arial"/>
        </w:rPr>
        <w:t>conducting toxicity tests/</w:t>
      </w:r>
      <w:r w:rsidRPr="002A75F2">
        <w:rPr>
          <w:rFonts w:cs="Arial"/>
        </w:rPr>
        <w:t>bioassay</w:t>
      </w:r>
      <w:r w:rsidR="00D0321B" w:rsidRPr="002A75F2">
        <w:rPr>
          <w:rFonts w:cs="Arial"/>
        </w:rPr>
        <w:t>s</w:t>
      </w:r>
    </w:p>
    <w:p w14:paraId="1F759399" w14:textId="77777777" w:rsidR="00B736F9" w:rsidRPr="002A75F2" w:rsidRDefault="00B736F9" w:rsidP="000E72E5">
      <w:pPr>
        <w:pStyle w:val="ListBullet2"/>
        <w:rPr>
          <w:rFonts w:cs="Arial"/>
        </w:rPr>
      </w:pPr>
      <w:r w:rsidRPr="002A75F2">
        <w:rPr>
          <w:rFonts w:cs="Arial"/>
        </w:rPr>
        <w:t>Interpretation of analytical data and QA/QC procedures</w:t>
      </w:r>
    </w:p>
    <w:p w14:paraId="7CAC2AAC" w14:textId="77777777" w:rsidR="00B736F9" w:rsidRPr="002A75F2" w:rsidRDefault="00B736F9" w:rsidP="000E72E5">
      <w:pPr>
        <w:pStyle w:val="ListBullet2"/>
        <w:rPr>
          <w:rFonts w:cs="Arial"/>
        </w:rPr>
      </w:pPr>
      <w:r w:rsidRPr="002A75F2">
        <w:rPr>
          <w:rFonts w:cs="Arial"/>
        </w:rPr>
        <w:t>Assessment of contaminant exposure pathways and risk</w:t>
      </w:r>
    </w:p>
    <w:p w14:paraId="73EDFD5F" w14:textId="77777777" w:rsidR="00B736F9" w:rsidRPr="002A75F2" w:rsidRDefault="00B736F9" w:rsidP="000E72E5">
      <w:pPr>
        <w:pStyle w:val="ListBullet2"/>
        <w:rPr>
          <w:rFonts w:cs="Arial"/>
        </w:rPr>
      </w:pPr>
      <w:r w:rsidRPr="002A75F2">
        <w:rPr>
          <w:rFonts w:cs="Arial"/>
        </w:rPr>
        <w:t>Contaminant fate and transport in the environment</w:t>
      </w:r>
    </w:p>
    <w:p w14:paraId="0C1E0D24" w14:textId="77777777" w:rsidR="00B736F9" w:rsidRPr="002A75F2" w:rsidRDefault="00B736F9" w:rsidP="000E72E5">
      <w:pPr>
        <w:pStyle w:val="ListBullet2"/>
        <w:rPr>
          <w:rFonts w:cs="Arial"/>
        </w:rPr>
      </w:pPr>
      <w:r w:rsidRPr="002A75F2">
        <w:rPr>
          <w:rFonts w:cs="Arial"/>
        </w:rPr>
        <w:t>Exposure assessment</w:t>
      </w:r>
    </w:p>
    <w:p w14:paraId="77EAD9A5" w14:textId="77777777" w:rsidR="00B736F9" w:rsidRPr="002A75F2" w:rsidRDefault="00B736F9" w:rsidP="000E72E5">
      <w:pPr>
        <w:pStyle w:val="ListBullet2"/>
        <w:rPr>
          <w:rFonts w:cs="Arial"/>
        </w:rPr>
      </w:pPr>
      <w:r w:rsidRPr="002A75F2">
        <w:rPr>
          <w:rFonts w:cs="Arial"/>
        </w:rPr>
        <w:t>Data evaluation/statistical analysis</w:t>
      </w:r>
    </w:p>
    <w:p w14:paraId="07AC784B" w14:textId="77777777" w:rsidR="00B736F9" w:rsidRPr="002A75F2" w:rsidRDefault="00B736F9" w:rsidP="000E72E5">
      <w:pPr>
        <w:pStyle w:val="ListBullet2"/>
        <w:rPr>
          <w:rFonts w:cs="Arial"/>
        </w:rPr>
      </w:pPr>
      <w:r w:rsidRPr="002A75F2">
        <w:rPr>
          <w:rFonts w:cs="Arial"/>
        </w:rPr>
        <w:t>Toxicity evaluation (including hazard and dose-response assessment)</w:t>
      </w:r>
    </w:p>
    <w:p w14:paraId="7E8F97B4" w14:textId="77777777" w:rsidR="00B736F9" w:rsidRPr="002A75F2" w:rsidRDefault="00B736F9" w:rsidP="000E72E5">
      <w:pPr>
        <w:pStyle w:val="ListBullet2"/>
        <w:rPr>
          <w:rFonts w:cs="Arial"/>
        </w:rPr>
      </w:pPr>
      <w:r w:rsidRPr="002A75F2">
        <w:rPr>
          <w:rFonts w:cs="Arial"/>
        </w:rPr>
        <w:t>Risk evaluation</w:t>
      </w:r>
    </w:p>
    <w:p w14:paraId="65BBD903" w14:textId="77777777" w:rsidR="00B736F9" w:rsidRPr="002A75F2" w:rsidRDefault="00B736F9" w:rsidP="000E72E5">
      <w:pPr>
        <w:pStyle w:val="ListBullet2"/>
        <w:rPr>
          <w:rFonts w:cs="Arial"/>
        </w:rPr>
      </w:pPr>
      <w:r w:rsidRPr="002A75F2">
        <w:rPr>
          <w:rFonts w:cs="Arial"/>
        </w:rPr>
        <w:t>Remediation technologies</w:t>
      </w:r>
      <w:bookmarkStart w:id="55" w:name="_Toc74119389"/>
      <w:bookmarkStart w:id="56" w:name="_Toc74450884"/>
      <w:bookmarkStart w:id="57" w:name="_Toc78162197"/>
    </w:p>
    <w:p w14:paraId="72813568" w14:textId="77777777" w:rsidR="00B736F9" w:rsidRPr="002A75F2" w:rsidRDefault="00B736F9" w:rsidP="0053573D">
      <w:pPr>
        <w:pStyle w:val="Heading2"/>
        <w:rPr>
          <w:rFonts w:cs="Arial"/>
        </w:rPr>
      </w:pPr>
      <w:bookmarkStart w:id="58" w:name="_Preparation_for_Conducting_a_Risk_A"/>
      <w:bookmarkStart w:id="59" w:name="_Toc74119386"/>
      <w:bookmarkStart w:id="60" w:name="_Toc74450881"/>
      <w:bookmarkStart w:id="61" w:name="_Toc78162195"/>
      <w:bookmarkStart w:id="62" w:name="_Toc91393531"/>
      <w:bookmarkStart w:id="63" w:name="_Toc112727397"/>
      <w:bookmarkStart w:id="64" w:name="_Toc41905646"/>
      <w:bookmarkEnd w:id="58"/>
      <w:r w:rsidRPr="002A75F2">
        <w:rPr>
          <w:rFonts w:cs="Arial"/>
        </w:rPr>
        <w:t>Preparation for Conducting a Risk Assessment</w:t>
      </w:r>
      <w:bookmarkEnd w:id="59"/>
      <w:bookmarkEnd w:id="60"/>
      <w:bookmarkEnd w:id="61"/>
      <w:bookmarkEnd w:id="62"/>
      <w:bookmarkEnd w:id="63"/>
      <w:bookmarkEnd w:id="64"/>
    </w:p>
    <w:p w14:paraId="61EAD782" w14:textId="32550C91" w:rsidR="00EB455F" w:rsidRPr="002A75F2" w:rsidRDefault="00B736F9" w:rsidP="00840964">
      <w:pPr>
        <w:rPr>
          <w:rFonts w:cs="Arial"/>
        </w:rPr>
      </w:pPr>
      <w:r w:rsidRPr="002A75F2">
        <w:rPr>
          <w:rFonts w:cs="Arial"/>
        </w:rPr>
        <w:t xml:space="preserve">Risk assessment, in the context </w:t>
      </w:r>
      <w:r w:rsidR="00722714" w:rsidRPr="002A75F2">
        <w:rPr>
          <w:rFonts w:cs="Arial"/>
        </w:rPr>
        <w:t>of Part XV.1</w:t>
      </w:r>
      <w:r w:rsidR="005E4FEA" w:rsidRPr="002A75F2">
        <w:rPr>
          <w:rFonts w:cs="Arial"/>
        </w:rPr>
        <w:t xml:space="preserve"> </w:t>
      </w:r>
      <w:r w:rsidRPr="002A75F2">
        <w:rPr>
          <w:rFonts w:cs="Arial"/>
        </w:rPr>
        <w:t xml:space="preserve">of the EPA, is used to establish property </w:t>
      </w:r>
      <w:r w:rsidR="00710CD7" w:rsidRPr="002A75F2">
        <w:rPr>
          <w:rFonts w:cs="Arial"/>
        </w:rPr>
        <w:t xml:space="preserve">specific standards </w:t>
      </w:r>
      <w:r w:rsidRPr="002A75F2">
        <w:rPr>
          <w:rFonts w:cs="Arial"/>
        </w:rPr>
        <w:t xml:space="preserve">and may include risk management measures. A risk assessment is built upon the results of a </w:t>
      </w:r>
      <w:r w:rsidR="0032339F" w:rsidRPr="002A75F2">
        <w:rPr>
          <w:rFonts w:cs="Arial"/>
        </w:rPr>
        <w:t>p</w:t>
      </w:r>
      <w:r w:rsidRPr="002A75F2">
        <w:rPr>
          <w:rFonts w:cs="Arial"/>
        </w:rPr>
        <w:t xml:space="preserve">hase one </w:t>
      </w:r>
      <w:smartTag w:uri="urn:schemas-microsoft-com:office:smarttags" w:element="stockticker">
        <w:r w:rsidRPr="002A75F2">
          <w:rPr>
            <w:rFonts w:cs="Arial"/>
          </w:rPr>
          <w:t>ESA</w:t>
        </w:r>
      </w:smartTag>
      <w:r w:rsidRPr="002A75F2">
        <w:rPr>
          <w:rFonts w:cs="Arial"/>
        </w:rPr>
        <w:t xml:space="preserve"> and the extensive sampling, analytical work, hydrogeology and other elements of property characterization done in a </w:t>
      </w:r>
      <w:r w:rsidR="0032339F"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xml:space="preserve">. </w:t>
      </w:r>
      <w:r w:rsidR="003D6525" w:rsidRPr="002A75F2">
        <w:rPr>
          <w:rFonts w:cs="Arial"/>
        </w:rPr>
        <w:t xml:space="preserve">The </w:t>
      </w:r>
      <w:r w:rsidR="0032339F" w:rsidRPr="002A75F2">
        <w:rPr>
          <w:rFonts w:cs="Arial"/>
        </w:rPr>
        <w:t>p</w:t>
      </w:r>
      <w:r w:rsidR="003D6525" w:rsidRPr="002A75F2">
        <w:rPr>
          <w:rFonts w:cs="Arial"/>
        </w:rPr>
        <w:t xml:space="preserve">hase one and </w:t>
      </w:r>
      <w:r w:rsidR="0032339F" w:rsidRPr="002A75F2">
        <w:rPr>
          <w:rFonts w:cs="Arial"/>
        </w:rPr>
        <w:t>p</w:t>
      </w:r>
      <w:r w:rsidR="003D6525" w:rsidRPr="002A75F2">
        <w:rPr>
          <w:rFonts w:cs="Arial"/>
        </w:rPr>
        <w:t xml:space="preserve">hase two ESAs must be conducted </w:t>
      </w:r>
      <w:r w:rsidR="00EA6741" w:rsidRPr="002A75F2">
        <w:rPr>
          <w:rFonts w:cs="Arial"/>
        </w:rPr>
        <w:t xml:space="preserve">in </w:t>
      </w:r>
      <w:r w:rsidR="003D6525" w:rsidRPr="002A75F2">
        <w:rPr>
          <w:rFonts w:cs="Arial"/>
        </w:rPr>
        <w:t>accord</w:t>
      </w:r>
      <w:r w:rsidR="00EA6741" w:rsidRPr="002A75F2">
        <w:rPr>
          <w:rFonts w:cs="Arial"/>
        </w:rPr>
        <w:t xml:space="preserve">ance with </w:t>
      </w:r>
      <w:r w:rsidR="003D6525" w:rsidRPr="002A75F2">
        <w:rPr>
          <w:rFonts w:cs="Arial"/>
        </w:rPr>
        <w:t xml:space="preserve">the requirements of the </w:t>
      </w:r>
      <w:r w:rsidR="003A0421" w:rsidRPr="002A75F2">
        <w:rPr>
          <w:rFonts w:cs="Arial"/>
        </w:rPr>
        <w:t>R</w:t>
      </w:r>
      <w:r w:rsidR="003D6525" w:rsidRPr="002A75F2">
        <w:rPr>
          <w:rFonts w:cs="Arial"/>
        </w:rPr>
        <w:t xml:space="preserve">egulation. </w:t>
      </w:r>
      <w:r w:rsidR="003D6525" w:rsidRPr="002A75F2">
        <w:rPr>
          <w:rFonts w:cs="Arial"/>
        </w:rPr>
        <w:lastRenderedPageBreak/>
        <w:t xml:space="preserve">Any analytical results to be relied upon in the risk assessment must meet the requirements of </w:t>
      </w:r>
      <w:r w:rsidR="00FC05E9" w:rsidRPr="002A75F2">
        <w:rPr>
          <w:rFonts w:cs="Arial"/>
        </w:rPr>
        <w:t>s</w:t>
      </w:r>
      <w:r w:rsidR="00EB455F" w:rsidRPr="002A75F2">
        <w:rPr>
          <w:rFonts w:cs="Arial"/>
        </w:rPr>
        <w:t xml:space="preserve">ection 47 of the </w:t>
      </w:r>
      <w:r w:rsidR="003A0421" w:rsidRPr="002A75F2">
        <w:rPr>
          <w:rFonts w:cs="Arial"/>
        </w:rPr>
        <w:t>R</w:t>
      </w:r>
      <w:r w:rsidR="00EB455F" w:rsidRPr="002A75F2">
        <w:rPr>
          <w:rFonts w:cs="Arial"/>
        </w:rPr>
        <w:t xml:space="preserve">egulation. </w:t>
      </w:r>
    </w:p>
    <w:p w14:paraId="095A7278" w14:textId="716CC47F" w:rsidR="00344864" w:rsidRPr="002A75F2" w:rsidRDefault="00344864" w:rsidP="00840964">
      <w:pPr>
        <w:rPr>
          <w:rFonts w:cs="Arial"/>
        </w:rPr>
      </w:pPr>
      <w:r w:rsidRPr="002A75F2">
        <w:rPr>
          <w:rFonts w:cs="Arial"/>
        </w:rPr>
        <w:t xml:space="preserve">To clarify, the </w:t>
      </w:r>
      <w:r w:rsidR="002D7DFD" w:rsidRPr="002A75F2">
        <w:rPr>
          <w:rFonts w:cs="Arial"/>
        </w:rPr>
        <w:t>M</w:t>
      </w:r>
      <w:r w:rsidR="002A6EE0" w:rsidRPr="002A75F2">
        <w:rPr>
          <w:rFonts w:cs="Arial"/>
        </w:rPr>
        <w:t>inistry</w:t>
      </w:r>
      <w:r w:rsidRPr="002A75F2">
        <w:rPr>
          <w:rFonts w:cs="Arial"/>
        </w:rPr>
        <w:t xml:space="preserve"> is fully supportive of the use of novel and innovative techniques to investigate environmental contamination</w:t>
      </w:r>
      <w:r w:rsidR="00C95AB6" w:rsidRPr="002A75F2">
        <w:rPr>
          <w:rFonts w:cs="Arial"/>
        </w:rPr>
        <w:t>,</w:t>
      </w:r>
      <w:r w:rsidRPr="002A75F2">
        <w:rPr>
          <w:rFonts w:cs="Arial"/>
        </w:rPr>
        <w:t xml:space="preserve"> identify contaminant sources and extent </w:t>
      </w:r>
      <w:r w:rsidR="00D0321B" w:rsidRPr="002A75F2">
        <w:rPr>
          <w:rFonts w:cs="Arial"/>
        </w:rPr>
        <w:t xml:space="preserve">of contamination, </w:t>
      </w:r>
      <w:r w:rsidRPr="002A75F2">
        <w:rPr>
          <w:rFonts w:cs="Arial"/>
        </w:rPr>
        <w:t xml:space="preserve">and develop a conceptual site model in a cost effective and timely manner. Analytical results which are critical to support the assumptions in the risk assessment, however, must be confirmed using methods which comply with </w:t>
      </w:r>
      <w:r w:rsidR="00FC05E9" w:rsidRPr="002A75F2">
        <w:rPr>
          <w:rFonts w:cs="Arial"/>
        </w:rPr>
        <w:t>s</w:t>
      </w:r>
      <w:r w:rsidRPr="002A75F2">
        <w:rPr>
          <w:rFonts w:cs="Arial"/>
        </w:rPr>
        <w:t xml:space="preserve">ection 47 of the </w:t>
      </w:r>
      <w:r w:rsidR="003A0421" w:rsidRPr="002A75F2">
        <w:rPr>
          <w:rFonts w:cs="Arial"/>
        </w:rPr>
        <w:t>R</w:t>
      </w:r>
      <w:r w:rsidRPr="002A75F2">
        <w:rPr>
          <w:rFonts w:cs="Arial"/>
        </w:rPr>
        <w:t xml:space="preserve">egulation. As an example, field-portable analytical devices such as photoionization detectors, portable gas chromatographs and x-ray fluorescence detectors can be effective tools to identify appropriate locations for collection of samples to be analyzed in compliance with the </w:t>
      </w:r>
      <w:r w:rsidR="003A0421" w:rsidRPr="002A75F2">
        <w:rPr>
          <w:rFonts w:cs="Arial"/>
        </w:rPr>
        <w:t>R</w:t>
      </w:r>
      <w:r w:rsidRPr="002A75F2">
        <w:rPr>
          <w:rFonts w:cs="Arial"/>
        </w:rPr>
        <w:t xml:space="preserve">egulation and </w:t>
      </w:r>
      <w:r w:rsidR="003C73E7" w:rsidRPr="002A75F2">
        <w:rPr>
          <w:rFonts w:cs="Arial"/>
        </w:rPr>
        <w:t xml:space="preserve">can be </w:t>
      </w:r>
      <w:r w:rsidRPr="002A75F2">
        <w:rPr>
          <w:rFonts w:cs="Arial"/>
        </w:rPr>
        <w:t xml:space="preserve">relied upon </w:t>
      </w:r>
      <w:r w:rsidR="003C73E7" w:rsidRPr="002A75F2">
        <w:rPr>
          <w:rFonts w:cs="Arial"/>
        </w:rPr>
        <w:t xml:space="preserve">as supporting evidence </w:t>
      </w:r>
      <w:r w:rsidRPr="002A75F2">
        <w:rPr>
          <w:rFonts w:cs="Arial"/>
        </w:rPr>
        <w:t xml:space="preserve">in the risk assessment. Similarly, data from older site assessments which do not comply with the </w:t>
      </w:r>
      <w:r w:rsidR="003A0421" w:rsidRPr="002A75F2">
        <w:rPr>
          <w:rFonts w:cs="Arial"/>
        </w:rPr>
        <w:t>R</w:t>
      </w:r>
      <w:r w:rsidRPr="002A75F2">
        <w:rPr>
          <w:rFonts w:cs="Arial"/>
        </w:rPr>
        <w:t xml:space="preserve">egulation can be used to identify where </w:t>
      </w:r>
      <w:r w:rsidR="00E372F8" w:rsidRPr="002A75F2">
        <w:rPr>
          <w:rFonts w:cs="Arial"/>
        </w:rPr>
        <w:t xml:space="preserve">further assessment and/or </w:t>
      </w:r>
      <w:r w:rsidRPr="002A75F2">
        <w:rPr>
          <w:rFonts w:cs="Arial"/>
        </w:rPr>
        <w:t>confirmatory analysis is required. Both compliant analysis and background suppor</w:t>
      </w:r>
      <w:r w:rsidR="00601349" w:rsidRPr="002A75F2">
        <w:rPr>
          <w:rFonts w:cs="Arial"/>
        </w:rPr>
        <w:t xml:space="preserve">ting studies should be summarized in the </w:t>
      </w:r>
      <w:r w:rsidR="003A2390" w:rsidRPr="002A75F2">
        <w:rPr>
          <w:rFonts w:cs="Arial"/>
        </w:rPr>
        <w:t>RA</w:t>
      </w:r>
      <w:r w:rsidR="00601349" w:rsidRPr="002A75F2">
        <w:rPr>
          <w:rFonts w:cs="Arial"/>
        </w:rPr>
        <w:t xml:space="preserve"> report.</w:t>
      </w:r>
    </w:p>
    <w:p w14:paraId="6DE609B5" w14:textId="77777777" w:rsidR="00EA6741" w:rsidRPr="002A75F2" w:rsidRDefault="00B736F9" w:rsidP="00840964">
      <w:pPr>
        <w:rPr>
          <w:rFonts w:cs="Arial"/>
        </w:rPr>
      </w:pPr>
      <w:r w:rsidRPr="002A75F2">
        <w:rPr>
          <w:rFonts w:cs="Arial"/>
        </w:rPr>
        <w:t>The core of the risk assessment is a risk evaluation based upon</w:t>
      </w:r>
      <w:r w:rsidR="003C73E7" w:rsidRPr="002A75F2">
        <w:rPr>
          <w:rFonts w:cs="Arial"/>
        </w:rPr>
        <w:t xml:space="preserve"> proper site characterization,</w:t>
      </w:r>
      <w:r w:rsidRPr="002A75F2">
        <w:rPr>
          <w:rFonts w:cs="Arial"/>
        </w:rPr>
        <w:t xml:space="preserve"> toxicology</w:t>
      </w:r>
      <w:r w:rsidR="003C73E7" w:rsidRPr="002A75F2">
        <w:rPr>
          <w:rFonts w:cs="Arial"/>
        </w:rPr>
        <w:t xml:space="preserve"> of COCs</w:t>
      </w:r>
      <w:r w:rsidRPr="002A75F2">
        <w:rPr>
          <w:rFonts w:cs="Arial"/>
        </w:rPr>
        <w:t xml:space="preserve">, </w:t>
      </w:r>
      <w:r w:rsidR="009379D4" w:rsidRPr="002A75F2">
        <w:rPr>
          <w:rFonts w:cs="Arial"/>
        </w:rPr>
        <w:t>and an</w:t>
      </w:r>
      <w:r w:rsidRPr="002A75F2">
        <w:rPr>
          <w:rFonts w:cs="Arial"/>
        </w:rPr>
        <w:t xml:space="preserve"> assessment </w:t>
      </w:r>
      <w:r w:rsidR="009379D4" w:rsidRPr="002A75F2">
        <w:rPr>
          <w:rFonts w:cs="Arial"/>
        </w:rPr>
        <w:t xml:space="preserve">of how </w:t>
      </w:r>
      <w:r w:rsidRPr="002A75F2">
        <w:rPr>
          <w:rFonts w:cs="Arial"/>
        </w:rPr>
        <w:t xml:space="preserve">ecological and human receptors </w:t>
      </w:r>
      <w:r w:rsidR="009379D4" w:rsidRPr="002A75F2">
        <w:rPr>
          <w:rFonts w:cs="Arial"/>
        </w:rPr>
        <w:t>are</w:t>
      </w:r>
      <w:r w:rsidRPr="002A75F2">
        <w:rPr>
          <w:rFonts w:cs="Arial"/>
        </w:rPr>
        <w:t xml:space="preserve"> expos</w:t>
      </w:r>
      <w:r w:rsidR="009379D4" w:rsidRPr="002A75F2">
        <w:rPr>
          <w:rFonts w:cs="Arial"/>
        </w:rPr>
        <w:t>ed</w:t>
      </w:r>
      <w:r w:rsidRPr="002A75F2">
        <w:rPr>
          <w:rFonts w:cs="Arial"/>
        </w:rPr>
        <w:t xml:space="preserve"> </w:t>
      </w:r>
      <w:r w:rsidR="009379D4" w:rsidRPr="002A75F2">
        <w:rPr>
          <w:rFonts w:cs="Arial"/>
        </w:rPr>
        <w:t>to these contaminants</w:t>
      </w:r>
      <w:r w:rsidRPr="002A75F2">
        <w:rPr>
          <w:rFonts w:cs="Arial"/>
        </w:rPr>
        <w:t>, as described in this Procedure</w:t>
      </w:r>
      <w:r w:rsidR="00EA6741" w:rsidRPr="002A75F2">
        <w:rPr>
          <w:rFonts w:cs="Arial"/>
        </w:rPr>
        <w:t>s</w:t>
      </w:r>
      <w:r w:rsidRPr="002A75F2">
        <w:rPr>
          <w:rFonts w:cs="Arial"/>
        </w:rPr>
        <w:t xml:space="preserve"> document.</w:t>
      </w:r>
      <w:r w:rsidR="00EA6741" w:rsidRPr="002A75F2">
        <w:rPr>
          <w:rFonts w:cs="Arial"/>
        </w:rPr>
        <w:t xml:space="preserve"> </w:t>
      </w:r>
    </w:p>
    <w:p w14:paraId="2D0F53B9" w14:textId="4E06A75A" w:rsidR="00B736F9" w:rsidRPr="002A75F2" w:rsidRDefault="0041286C" w:rsidP="00840964">
      <w:pPr>
        <w:rPr>
          <w:rFonts w:cs="Arial"/>
        </w:rPr>
      </w:pPr>
      <w:r w:rsidRPr="002A75F2">
        <w:rPr>
          <w:rFonts w:cs="Arial"/>
        </w:rPr>
        <w:t xml:space="preserve">The site characterization work described in </w:t>
      </w:r>
      <w:r w:rsidR="00EA6741" w:rsidRPr="002A75F2">
        <w:rPr>
          <w:rFonts w:cs="Arial"/>
        </w:rPr>
        <w:t xml:space="preserve">the </w:t>
      </w:r>
      <w:r w:rsidR="0032339F" w:rsidRPr="002A75F2">
        <w:rPr>
          <w:rFonts w:cs="Arial"/>
        </w:rPr>
        <w:t>p</w:t>
      </w:r>
      <w:r w:rsidR="00EA6741" w:rsidRPr="002A75F2">
        <w:rPr>
          <w:rFonts w:cs="Arial"/>
        </w:rPr>
        <w:t xml:space="preserve">hase one ESA and </w:t>
      </w:r>
      <w:r w:rsidR="0032339F" w:rsidRPr="002A75F2">
        <w:rPr>
          <w:rFonts w:cs="Arial"/>
        </w:rPr>
        <w:t>p</w:t>
      </w:r>
      <w:r w:rsidR="00EA6741" w:rsidRPr="002A75F2">
        <w:rPr>
          <w:rFonts w:cs="Arial"/>
        </w:rPr>
        <w:t xml:space="preserve">hase two ESA reports </w:t>
      </w:r>
      <w:r w:rsidR="00665041" w:rsidRPr="002A75F2">
        <w:rPr>
          <w:rFonts w:cs="Arial"/>
        </w:rPr>
        <w:t xml:space="preserve">should </w:t>
      </w:r>
      <w:r w:rsidR="00EA6741" w:rsidRPr="002A75F2">
        <w:rPr>
          <w:rFonts w:cs="Arial"/>
        </w:rPr>
        <w:t>be complete before initiating the risk assessment process.</w:t>
      </w:r>
      <w:r w:rsidR="00105730" w:rsidRPr="002A75F2">
        <w:rPr>
          <w:rFonts w:cs="Arial"/>
        </w:rPr>
        <w:t xml:space="preserve"> </w:t>
      </w:r>
      <w:r w:rsidR="001A0DAC" w:rsidRPr="002A75F2">
        <w:rPr>
          <w:rFonts w:cs="Arial"/>
        </w:rPr>
        <w:t xml:space="preserve">Once </w:t>
      </w:r>
      <w:r w:rsidR="00665041" w:rsidRPr="002A75F2">
        <w:rPr>
          <w:rFonts w:cs="Arial"/>
        </w:rPr>
        <w:t xml:space="preserve">the ESA work has been </w:t>
      </w:r>
      <w:r w:rsidR="001A0DAC" w:rsidRPr="002A75F2">
        <w:rPr>
          <w:rFonts w:cs="Arial"/>
        </w:rPr>
        <w:t xml:space="preserve">completed, a PSF can be prepared for submission </w:t>
      </w:r>
      <w:r w:rsidR="00E93FE0" w:rsidRPr="002A75F2">
        <w:rPr>
          <w:rFonts w:cs="Arial"/>
        </w:rPr>
        <w:t>to the Ministry.</w:t>
      </w:r>
      <w:r w:rsidR="00105730" w:rsidRPr="002A75F2">
        <w:rPr>
          <w:rFonts w:cs="Arial"/>
        </w:rPr>
        <w:t xml:space="preserve"> </w:t>
      </w:r>
      <w:r w:rsidR="00E93FE0" w:rsidRPr="002A75F2">
        <w:rPr>
          <w:rFonts w:cs="Arial"/>
        </w:rPr>
        <w:t xml:space="preserve">The PSF is an opportunity for pre-consultation with the </w:t>
      </w:r>
      <w:r w:rsidR="00EA04AC" w:rsidRPr="002A75F2">
        <w:rPr>
          <w:rFonts w:cs="Arial"/>
        </w:rPr>
        <w:t>Ministry</w:t>
      </w:r>
      <w:r w:rsidR="00E93FE0" w:rsidRPr="002A75F2">
        <w:rPr>
          <w:rFonts w:cs="Arial"/>
        </w:rPr>
        <w:t>; PSF requireme</w:t>
      </w:r>
      <w:r w:rsidR="001A0DAC" w:rsidRPr="002A75F2">
        <w:rPr>
          <w:rFonts w:cs="Arial"/>
        </w:rPr>
        <w:t>n</w:t>
      </w:r>
      <w:r w:rsidR="00E93FE0" w:rsidRPr="002A75F2">
        <w:rPr>
          <w:rFonts w:cs="Arial"/>
        </w:rPr>
        <w:t>t</w:t>
      </w:r>
      <w:r w:rsidR="001A0DAC" w:rsidRPr="002A75F2">
        <w:rPr>
          <w:rFonts w:cs="Arial"/>
        </w:rPr>
        <w:t xml:space="preserve">s and general considerations are </w:t>
      </w:r>
      <w:r w:rsidR="00665041" w:rsidRPr="002A75F2">
        <w:rPr>
          <w:rFonts w:cs="Arial"/>
        </w:rPr>
        <w:t xml:space="preserve">provided in Section 2 </w:t>
      </w:r>
      <w:r w:rsidR="00E93FE0" w:rsidRPr="002A75F2">
        <w:rPr>
          <w:rFonts w:cs="Arial"/>
        </w:rPr>
        <w:t>of this Procedures document.</w:t>
      </w:r>
    </w:p>
    <w:p w14:paraId="400BBA7F" w14:textId="77777777" w:rsidR="00CC027D" w:rsidRPr="002A75F2" w:rsidRDefault="002C4E2E" w:rsidP="00AF0FA4">
      <w:pPr>
        <w:pStyle w:val="Heading2"/>
        <w:rPr>
          <w:rFonts w:cs="Arial"/>
        </w:rPr>
      </w:pPr>
      <w:bookmarkStart w:id="65" w:name="_Toc41905647"/>
      <w:r w:rsidRPr="002A75F2">
        <w:rPr>
          <w:rFonts w:cs="Arial"/>
        </w:rPr>
        <w:t>Development of Standards</w:t>
      </w:r>
      <w:r w:rsidR="001D3388" w:rsidRPr="002A75F2">
        <w:rPr>
          <w:rFonts w:cs="Arial"/>
        </w:rPr>
        <w:t>: A Tiered Approach</w:t>
      </w:r>
      <w:bookmarkEnd w:id="65"/>
    </w:p>
    <w:p w14:paraId="1CFE6F42" w14:textId="77777777" w:rsidR="00596AD3" w:rsidRPr="002A75F2" w:rsidRDefault="00596AD3" w:rsidP="00596AD3">
      <w:pPr>
        <w:rPr>
          <w:rFonts w:cs="Arial"/>
        </w:rPr>
      </w:pPr>
      <w:r w:rsidRPr="002A75F2">
        <w:rPr>
          <w:rFonts w:cs="Arial"/>
        </w:rPr>
        <w:t xml:space="preserve">The Ministry </w:t>
      </w:r>
      <w:r w:rsidR="00F62EF3" w:rsidRPr="002A75F2">
        <w:rPr>
          <w:rFonts w:cs="Arial"/>
        </w:rPr>
        <w:t xml:space="preserve">has taken a tiered </w:t>
      </w:r>
      <w:r w:rsidRPr="002A75F2">
        <w:rPr>
          <w:rFonts w:cs="Arial"/>
        </w:rPr>
        <w:t xml:space="preserve">approach to the standards setting process under </w:t>
      </w:r>
      <w:r w:rsidR="003F6A93" w:rsidRPr="002A75F2">
        <w:rPr>
          <w:rFonts w:cs="Arial"/>
        </w:rPr>
        <w:t>the Regulation</w:t>
      </w:r>
      <w:r w:rsidR="00F62EF3" w:rsidRPr="002A75F2">
        <w:rPr>
          <w:rFonts w:cs="Arial"/>
        </w:rPr>
        <w:t xml:space="preserve">, which can be </w:t>
      </w:r>
      <w:r w:rsidRPr="002A75F2">
        <w:rPr>
          <w:rFonts w:cs="Arial"/>
        </w:rPr>
        <w:t xml:space="preserve">described as follows: </w:t>
      </w:r>
    </w:p>
    <w:p w14:paraId="67FEF7A3" w14:textId="704F0820" w:rsidR="00596AD3" w:rsidRPr="002A75F2" w:rsidRDefault="00596AD3" w:rsidP="00A47B50">
      <w:pPr>
        <w:numPr>
          <w:ilvl w:val="0"/>
          <w:numId w:val="29"/>
        </w:numPr>
        <w:rPr>
          <w:rFonts w:cs="Arial"/>
        </w:rPr>
      </w:pPr>
      <w:r w:rsidRPr="002A75F2">
        <w:rPr>
          <w:rFonts w:cs="Arial"/>
        </w:rPr>
        <w:t xml:space="preserve">Tier 1: generic site condition standards (i.e. Tables 1 to 9). </w:t>
      </w:r>
      <w:r w:rsidR="00665041" w:rsidRPr="002A75F2">
        <w:rPr>
          <w:rFonts w:cs="Arial"/>
        </w:rPr>
        <w:t xml:space="preserve">These generic site condition standards provide protection against the potential for adverse effects to human health, ecological health, and the natural environment at typical </w:t>
      </w:r>
      <w:r w:rsidR="009F59A9" w:rsidRPr="002A75F2">
        <w:rPr>
          <w:rFonts w:cs="Arial"/>
        </w:rPr>
        <w:t>b</w:t>
      </w:r>
      <w:r w:rsidR="00665041" w:rsidRPr="002A75F2">
        <w:rPr>
          <w:rFonts w:cs="Arial"/>
        </w:rPr>
        <w:t>rownfield sites and are provided in a series of Tables included in the Ministry document entitled “Soil, Ground Water and Sediment Standards for Use under Part XV.1 of the Environmental Protection Act”, dated April 15, 2011. They provide applicable site condition standards for a given property based on a series of factors, including the intended property use, soil texture, ground water use (potable or non-potable), and several other soil and/or property characteristics. In general, these standards are developed using a risk-based approach, but background soil concentrations and analytical detection limits were also considered in developing these generic site condition standards. Details on how these standards were developed, including a more detailed description of environmental fate and transport modelling, human and ecological receptors, and specific exposure scenarios, is documented in the Ministry’s “Rationale for the Development of Soil and Ground Water Standards for Use at Contaminated Sites in Ontario”, dated April 15, 2011.</w:t>
      </w:r>
    </w:p>
    <w:p w14:paraId="3B6F1F0D" w14:textId="42FA34B4" w:rsidR="00596AD3" w:rsidRPr="002A75F2" w:rsidRDefault="00596AD3" w:rsidP="00A47B50">
      <w:pPr>
        <w:numPr>
          <w:ilvl w:val="0"/>
          <w:numId w:val="29"/>
        </w:numPr>
        <w:rPr>
          <w:rFonts w:cs="Arial"/>
        </w:rPr>
      </w:pPr>
      <w:r w:rsidRPr="002A75F2">
        <w:rPr>
          <w:rFonts w:cs="Arial"/>
        </w:rPr>
        <w:lastRenderedPageBreak/>
        <w:t xml:space="preserve">Tier 2: property specific standards developed as part of a </w:t>
      </w:r>
      <w:r w:rsidR="001D3388" w:rsidRPr="002A75F2">
        <w:rPr>
          <w:rFonts w:cs="Arial"/>
        </w:rPr>
        <w:t>risk assessment</w:t>
      </w:r>
      <w:r w:rsidRPr="002A75F2">
        <w:rPr>
          <w:rFonts w:cs="Arial"/>
        </w:rPr>
        <w:t xml:space="preserve">, by only using the Ministry’s </w:t>
      </w:r>
      <w:r w:rsidR="00BC3C75" w:rsidRPr="002A75F2">
        <w:rPr>
          <w:rFonts w:cs="Arial"/>
        </w:rPr>
        <w:t>a</w:t>
      </w:r>
      <w:r w:rsidRPr="002A75F2">
        <w:rPr>
          <w:rFonts w:cs="Arial"/>
        </w:rPr>
        <w:t xml:space="preserve">pproved </w:t>
      </w:r>
      <w:r w:rsidR="00BC3C75" w:rsidRPr="002A75F2">
        <w:rPr>
          <w:rFonts w:cs="Arial"/>
        </w:rPr>
        <w:t>m</w:t>
      </w:r>
      <w:r w:rsidRPr="002A75F2">
        <w:rPr>
          <w:rFonts w:cs="Arial"/>
        </w:rPr>
        <w:t xml:space="preserve">odel. The </w:t>
      </w:r>
      <w:r w:rsidR="00BC3C75" w:rsidRPr="002A75F2">
        <w:rPr>
          <w:rFonts w:cs="Arial"/>
        </w:rPr>
        <w:t>a</w:t>
      </w:r>
      <w:r w:rsidRPr="002A75F2">
        <w:rPr>
          <w:rFonts w:cs="Arial"/>
        </w:rPr>
        <w:t xml:space="preserve">pproved </w:t>
      </w:r>
      <w:r w:rsidR="00BC3C75" w:rsidRPr="002A75F2">
        <w:rPr>
          <w:rFonts w:cs="Arial"/>
        </w:rPr>
        <w:t>m</w:t>
      </w:r>
      <w:r w:rsidRPr="002A75F2">
        <w:rPr>
          <w:rFonts w:cs="Arial"/>
        </w:rPr>
        <w:t>odel uses the same risk</w:t>
      </w:r>
      <w:r w:rsidR="00665041" w:rsidRPr="002A75F2">
        <w:rPr>
          <w:rFonts w:cs="Arial"/>
        </w:rPr>
        <w:t xml:space="preserve">-based </w:t>
      </w:r>
      <w:r w:rsidRPr="002A75F2">
        <w:rPr>
          <w:rFonts w:cs="Arial"/>
        </w:rPr>
        <w:t>approach (including modelling and exposure assumptions) as Tier 1; however, for Tier 2, the QP</w:t>
      </w:r>
      <w:r w:rsidRPr="002A75F2">
        <w:rPr>
          <w:rFonts w:cs="Arial"/>
          <w:vertAlign w:val="subscript"/>
        </w:rPr>
        <w:t>RA</w:t>
      </w:r>
      <w:r w:rsidRPr="002A75F2">
        <w:rPr>
          <w:rFonts w:cs="Arial"/>
        </w:rPr>
        <w:t xml:space="preserve"> can modify some parameters to better reflect property specific conditions. For this reason, Tier 2 is formally known as </w:t>
      </w:r>
      <w:r w:rsidR="00E14BCD" w:rsidRPr="002A75F2">
        <w:rPr>
          <w:rFonts w:cs="Arial"/>
        </w:rPr>
        <w:t>m</w:t>
      </w:r>
      <w:r w:rsidRPr="002A75F2">
        <w:rPr>
          <w:rFonts w:cs="Arial"/>
        </w:rPr>
        <w:t xml:space="preserve">odified </w:t>
      </w:r>
      <w:r w:rsidR="00E14BCD" w:rsidRPr="002A75F2">
        <w:rPr>
          <w:rFonts w:cs="Arial"/>
        </w:rPr>
        <w:t>g</w:t>
      </w:r>
      <w:r w:rsidRPr="002A75F2">
        <w:rPr>
          <w:rFonts w:cs="Arial"/>
        </w:rPr>
        <w:t xml:space="preserve">eneric </w:t>
      </w:r>
      <w:r w:rsidR="00E14BCD" w:rsidRPr="002A75F2">
        <w:rPr>
          <w:rFonts w:cs="Arial"/>
        </w:rPr>
        <w:t>r</w:t>
      </w:r>
      <w:r w:rsidRPr="002A75F2">
        <w:rPr>
          <w:rFonts w:cs="Arial"/>
        </w:rPr>
        <w:t xml:space="preserve">isk </w:t>
      </w:r>
      <w:r w:rsidR="00E14BCD" w:rsidRPr="002A75F2">
        <w:rPr>
          <w:rFonts w:cs="Arial"/>
        </w:rPr>
        <w:t>a</w:t>
      </w:r>
      <w:r w:rsidRPr="002A75F2">
        <w:rPr>
          <w:rFonts w:cs="Arial"/>
        </w:rPr>
        <w:t xml:space="preserve">ssessment (MGRA) in </w:t>
      </w:r>
      <w:r w:rsidR="00913D05" w:rsidRPr="002A75F2">
        <w:rPr>
          <w:rFonts w:cs="Arial"/>
        </w:rPr>
        <w:t>the Regulation</w:t>
      </w:r>
      <w:r w:rsidRPr="002A75F2">
        <w:rPr>
          <w:rFonts w:cs="Arial"/>
        </w:rPr>
        <w:t>. Tier 2 also allows for the incorporation of a limited set of predefined risk management measures.</w:t>
      </w:r>
      <w:r w:rsidR="005362BD" w:rsidRPr="002A75F2">
        <w:rPr>
          <w:rFonts w:cs="Arial"/>
        </w:rPr>
        <w:t xml:space="preserve"> </w:t>
      </w:r>
      <w:r w:rsidRPr="002A75F2">
        <w:rPr>
          <w:rFonts w:cs="Arial"/>
        </w:rPr>
        <w:t xml:space="preserve">The </w:t>
      </w:r>
      <w:r w:rsidR="00BC3C75" w:rsidRPr="002A75F2">
        <w:rPr>
          <w:rFonts w:cs="Arial"/>
        </w:rPr>
        <w:t>a</w:t>
      </w:r>
      <w:r w:rsidRPr="002A75F2">
        <w:rPr>
          <w:rFonts w:cs="Arial"/>
        </w:rPr>
        <w:t xml:space="preserve">pproved </w:t>
      </w:r>
      <w:r w:rsidR="00BC3C75" w:rsidRPr="002A75F2">
        <w:rPr>
          <w:rFonts w:cs="Arial"/>
        </w:rPr>
        <w:t>m</w:t>
      </w:r>
      <w:r w:rsidRPr="002A75F2">
        <w:rPr>
          <w:rFonts w:cs="Arial"/>
        </w:rPr>
        <w:t xml:space="preserve">odel </w:t>
      </w:r>
      <w:r w:rsidR="001D3388" w:rsidRPr="002A75F2">
        <w:rPr>
          <w:rFonts w:cs="Arial"/>
        </w:rPr>
        <w:t xml:space="preserve">was first released in </w:t>
      </w:r>
      <w:r w:rsidR="00113832" w:rsidRPr="002A75F2">
        <w:rPr>
          <w:rFonts w:cs="Arial"/>
        </w:rPr>
        <w:t>April</w:t>
      </w:r>
      <w:r w:rsidR="001D3388" w:rsidRPr="002A75F2">
        <w:rPr>
          <w:rFonts w:cs="Arial"/>
        </w:rPr>
        <w:t xml:space="preserve"> 2011</w:t>
      </w:r>
      <w:r w:rsidR="00113832" w:rsidRPr="002A75F2">
        <w:rPr>
          <w:rFonts w:cs="Arial"/>
        </w:rPr>
        <w:t xml:space="preserve"> and updated in November 2016. The approved model may be </w:t>
      </w:r>
      <w:r w:rsidRPr="002A75F2">
        <w:rPr>
          <w:rFonts w:cs="Arial"/>
        </w:rPr>
        <w:t>updated by the Ministry from time to time to reflect advances in science</w:t>
      </w:r>
      <w:r w:rsidR="00113832" w:rsidRPr="002A75F2">
        <w:rPr>
          <w:rFonts w:cs="Arial"/>
        </w:rPr>
        <w:t xml:space="preserve">; </w:t>
      </w:r>
      <w:r w:rsidR="00DC4D82" w:rsidRPr="002A75F2">
        <w:rPr>
          <w:rFonts w:cs="Arial"/>
        </w:rPr>
        <w:t>only</w:t>
      </w:r>
      <w:r w:rsidR="00113832" w:rsidRPr="002A75F2">
        <w:rPr>
          <w:rFonts w:cs="Arial"/>
        </w:rPr>
        <w:t xml:space="preserve"> the latest version of the model </w:t>
      </w:r>
      <w:r w:rsidR="00DC4D82" w:rsidRPr="002A75F2">
        <w:rPr>
          <w:rFonts w:cs="Arial"/>
        </w:rPr>
        <w:t xml:space="preserve">may </w:t>
      </w:r>
      <w:r w:rsidR="00113832" w:rsidRPr="002A75F2">
        <w:rPr>
          <w:rFonts w:cs="Arial"/>
        </w:rPr>
        <w:t>be used</w:t>
      </w:r>
      <w:r w:rsidRPr="002A75F2">
        <w:rPr>
          <w:rFonts w:cs="Arial"/>
        </w:rPr>
        <w:t>.</w:t>
      </w:r>
    </w:p>
    <w:p w14:paraId="310712B6" w14:textId="2EBFD21B" w:rsidR="00596AD3" w:rsidRPr="002A75F2" w:rsidRDefault="00596AD3" w:rsidP="00A47B50">
      <w:pPr>
        <w:numPr>
          <w:ilvl w:val="0"/>
          <w:numId w:val="29"/>
        </w:numPr>
        <w:rPr>
          <w:rFonts w:cs="Arial"/>
        </w:rPr>
      </w:pPr>
      <w:r w:rsidRPr="002A75F2">
        <w:rPr>
          <w:rFonts w:cs="Arial"/>
        </w:rPr>
        <w:t xml:space="preserve">Tier 3: property specific standards developed as part of </w:t>
      </w:r>
      <w:r w:rsidR="001D3388" w:rsidRPr="002A75F2">
        <w:rPr>
          <w:rFonts w:cs="Arial"/>
        </w:rPr>
        <w:t>risk assessment</w:t>
      </w:r>
      <w:r w:rsidR="00FA5868" w:rsidRPr="002A75F2">
        <w:rPr>
          <w:rFonts w:cs="Arial"/>
        </w:rPr>
        <w:t xml:space="preserve">, by using a wide range of </w:t>
      </w:r>
      <w:r w:rsidR="003D407C" w:rsidRPr="002A75F2">
        <w:rPr>
          <w:rFonts w:cs="Arial"/>
        </w:rPr>
        <w:t>risk assessment</w:t>
      </w:r>
      <w:r w:rsidR="00FA5868" w:rsidRPr="002A75F2">
        <w:rPr>
          <w:rFonts w:cs="Arial"/>
        </w:rPr>
        <w:t xml:space="preserve"> models and tools</w:t>
      </w:r>
      <w:r w:rsidRPr="002A75F2">
        <w:rPr>
          <w:rFonts w:cs="Arial"/>
        </w:rPr>
        <w:t>.</w:t>
      </w:r>
      <w:r w:rsidR="005362BD" w:rsidRPr="002A75F2">
        <w:rPr>
          <w:rFonts w:cs="Arial"/>
        </w:rPr>
        <w:t xml:space="preserve"> </w:t>
      </w:r>
      <w:r w:rsidRPr="002A75F2">
        <w:rPr>
          <w:rFonts w:cs="Arial"/>
        </w:rPr>
        <w:t xml:space="preserve">Tier 3 </w:t>
      </w:r>
      <w:r w:rsidR="001D3388" w:rsidRPr="002A75F2">
        <w:rPr>
          <w:rFonts w:cs="Arial"/>
        </w:rPr>
        <w:t>risk assessments</w:t>
      </w:r>
      <w:r w:rsidRPr="002A75F2">
        <w:rPr>
          <w:rFonts w:cs="Arial"/>
        </w:rPr>
        <w:t xml:space="preserve"> are typically conducted for more complex sites </w:t>
      </w:r>
      <w:r w:rsidR="00FA5868" w:rsidRPr="002A75F2">
        <w:rPr>
          <w:rFonts w:cs="Arial"/>
        </w:rPr>
        <w:t>and</w:t>
      </w:r>
      <w:r w:rsidRPr="002A75F2">
        <w:rPr>
          <w:rFonts w:cs="Arial"/>
        </w:rPr>
        <w:t xml:space="preserve"> often require additional oversight and management to ensure contaminants that remain at the property do not result in any unacceptable risks to human health or the environment </w:t>
      </w:r>
      <w:r w:rsidR="00DD40AA" w:rsidRPr="002A75F2">
        <w:rPr>
          <w:rFonts w:cs="Arial"/>
        </w:rPr>
        <w:t xml:space="preserve">based on </w:t>
      </w:r>
      <w:r w:rsidRPr="002A75F2">
        <w:rPr>
          <w:rFonts w:cs="Arial"/>
        </w:rPr>
        <w:t>the proposed future use</w:t>
      </w:r>
      <w:r w:rsidR="00DD40AA" w:rsidRPr="002A75F2">
        <w:rPr>
          <w:rFonts w:cs="Arial"/>
        </w:rPr>
        <w:t>(</w:t>
      </w:r>
      <w:r w:rsidRPr="002A75F2">
        <w:rPr>
          <w:rFonts w:cs="Arial"/>
        </w:rPr>
        <w:t>s</w:t>
      </w:r>
      <w:r w:rsidR="00DD40AA" w:rsidRPr="002A75F2">
        <w:rPr>
          <w:rFonts w:cs="Arial"/>
        </w:rPr>
        <w:t>)</w:t>
      </w:r>
      <w:r w:rsidRPr="002A75F2">
        <w:rPr>
          <w:rFonts w:cs="Arial"/>
        </w:rPr>
        <w:t xml:space="preserve"> of the property.</w:t>
      </w:r>
    </w:p>
    <w:p w14:paraId="7765938D" w14:textId="6E385B29" w:rsidR="001D4954" w:rsidRPr="002A75F2" w:rsidRDefault="00310DD2" w:rsidP="001D4954">
      <w:pPr>
        <w:rPr>
          <w:rFonts w:cs="Arial"/>
        </w:rPr>
      </w:pPr>
      <w:r w:rsidRPr="002A75F2">
        <w:rPr>
          <w:rFonts w:cs="Arial"/>
        </w:rPr>
        <w:t>Mu</w:t>
      </w:r>
      <w:r w:rsidR="00C307EF" w:rsidRPr="002A75F2">
        <w:rPr>
          <w:rFonts w:cs="Arial"/>
        </w:rPr>
        <w:t xml:space="preserve">ch of the information provided </w:t>
      </w:r>
      <w:r w:rsidRPr="002A75F2">
        <w:rPr>
          <w:rFonts w:cs="Arial"/>
        </w:rPr>
        <w:t xml:space="preserve">in </w:t>
      </w:r>
      <w:r w:rsidR="003F6A93" w:rsidRPr="002A75F2">
        <w:rPr>
          <w:rFonts w:cs="Arial"/>
        </w:rPr>
        <w:t xml:space="preserve">this </w:t>
      </w:r>
      <w:r w:rsidR="00A64425" w:rsidRPr="002A75F2">
        <w:rPr>
          <w:rFonts w:cs="Arial"/>
        </w:rPr>
        <w:t xml:space="preserve">Procedures document </w:t>
      </w:r>
      <w:r w:rsidRPr="002A75F2">
        <w:rPr>
          <w:rFonts w:cs="Arial"/>
        </w:rPr>
        <w:t>will apply to</w:t>
      </w:r>
      <w:r w:rsidR="003F6A93" w:rsidRPr="002A75F2">
        <w:rPr>
          <w:rFonts w:cs="Arial"/>
        </w:rPr>
        <w:t xml:space="preserve"> both Tier 2 and Tier 3 risk assessment approaches, </w:t>
      </w:r>
      <w:r w:rsidR="002E7626" w:rsidRPr="002A75F2">
        <w:rPr>
          <w:rFonts w:cs="Arial"/>
        </w:rPr>
        <w:t>as both approaches share several commonalities (e.g. must be prepared by QP</w:t>
      </w:r>
      <w:r w:rsidR="002E7626" w:rsidRPr="002A75F2">
        <w:rPr>
          <w:rFonts w:cs="Arial"/>
          <w:vertAlign w:val="subscript"/>
        </w:rPr>
        <w:t>RA</w:t>
      </w:r>
      <w:r w:rsidR="002E7626" w:rsidRPr="002A75F2">
        <w:rPr>
          <w:rFonts w:cs="Arial"/>
        </w:rPr>
        <w:t xml:space="preserve">, submission of PSF, </w:t>
      </w:r>
      <w:r w:rsidR="007B2351" w:rsidRPr="002A75F2">
        <w:rPr>
          <w:rFonts w:cs="Arial"/>
        </w:rPr>
        <w:t xml:space="preserve">identification of COCs, </w:t>
      </w:r>
      <w:r w:rsidR="002E7626" w:rsidRPr="002A75F2">
        <w:rPr>
          <w:rFonts w:cs="Arial"/>
        </w:rPr>
        <w:t xml:space="preserve">proposing property </w:t>
      </w:r>
      <w:r w:rsidR="00EA04AC" w:rsidRPr="002A75F2">
        <w:rPr>
          <w:rFonts w:cs="Arial"/>
        </w:rPr>
        <w:t>specific</w:t>
      </w:r>
      <w:r w:rsidR="002E7626" w:rsidRPr="002A75F2">
        <w:rPr>
          <w:rFonts w:cs="Arial"/>
        </w:rPr>
        <w:t xml:space="preserve"> standards</w:t>
      </w:r>
      <w:r w:rsidR="009379D4" w:rsidRPr="002A75F2">
        <w:rPr>
          <w:rFonts w:cs="Arial"/>
        </w:rPr>
        <w:t>, etc.</w:t>
      </w:r>
      <w:r w:rsidR="002E7626" w:rsidRPr="002A75F2">
        <w:rPr>
          <w:rFonts w:cs="Arial"/>
        </w:rPr>
        <w:t>). H</w:t>
      </w:r>
      <w:r w:rsidR="00A64425" w:rsidRPr="002A75F2">
        <w:rPr>
          <w:rFonts w:cs="Arial"/>
        </w:rPr>
        <w:t>owever</w:t>
      </w:r>
      <w:r w:rsidR="002E7626" w:rsidRPr="002A75F2">
        <w:rPr>
          <w:rFonts w:cs="Arial"/>
        </w:rPr>
        <w:t>,</w:t>
      </w:r>
      <w:r w:rsidR="00A64425" w:rsidRPr="002A75F2">
        <w:rPr>
          <w:rFonts w:cs="Arial"/>
        </w:rPr>
        <w:t xml:space="preserve"> </w:t>
      </w:r>
      <w:r w:rsidRPr="002A75F2">
        <w:rPr>
          <w:rFonts w:cs="Arial"/>
        </w:rPr>
        <w:t xml:space="preserve">in this document, </w:t>
      </w:r>
      <w:r w:rsidR="003F6A93" w:rsidRPr="002A75F2">
        <w:rPr>
          <w:rFonts w:cs="Arial"/>
        </w:rPr>
        <w:t>gr</w:t>
      </w:r>
      <w:r w:rsidR="006E3EC9" w:rsidRPr="002A75F2">
        <w:rPr>
          <w:rFonts w:cs="Arial"/>
        </w:rPr>
        <w:t>ea</w:t>
      </w:r>
      <w:r w:rsidR="003F6A93" w:rsidRPr="002A75F2">
        <w:rPr>
          <w:rFonts w:cs="Arial"/>
        </w:rPr>
        <w:t xml:space="preserve">ter emphasis has been placed on Tier 3 risk assessments (e.g. </w:t>
      </w:r>
      <w:r w:rsidR="002F1937" w:rsidRPr="002A75F2">
        <w:rPr>
          <w:rFonts w:cs="Arial"/>
        </w:rPr>
        <w:t xml:space="preserve">standard risk assessment, </w:t>
      </w:r>
      <w:r w:rsidRPr="002A75F2">
        <w:rPr>
          <w:rFonts w:cs="Arial"/>
        </w:rPr>
        <w:t xml:space="preserve">alternative risk assessment procedures, </w:t>
      </w:r>
      <w:r w:rsidR="003F6A93" w:rsidRPr="002A75F2">
        <w:rPr>
          <w:rFonts w:cs="Arial"/>
        </w:rPr>
        <w:t>r</w:t>
      </w:r>
      <w:r w:rsidR="00A64425" w:rsidRPr="002A75F2">
        <w:rPr>
          <w:rFonts w:cs="Arial"/>
        </w:rPr>
        <w:t>eporting requirements</w:t>
      </w:r>
      <w:r w:rsidRPr="002A75F2">
        <w:rPr>
          <w:rFonts w:cs="Arial"/>
        </w:rPr>
        <w:t xml:space="preserve"> for human health and ecological sections</w:t>
      </w:r>
      <w:r w:rsidR="003F6A93" w:rsidRPr="002A75F2">
        <w:rPr>
          <w:rFonts w:cs="Arial"/>
        </w:rPr>
        <w:t>).</w:t>
      </w:r>
    </w:p>
    <w:p w14:paraId="0EDA7459" w14:textId="77777777" w:rsidR="00310DD2" w:rsidRPr="002A75F2" w:rsidRDefault="001D4954" w:rsidP="00B70B56">
      <w:pPr>
        <w:rPr>
          <w:rFonts w:cs="Arial"/>
        </w:rPr>
      </w:pPr>
      <w:r w:rsidRPr="002A75F2">
        <w:rPr>
          <w:rFonts w:cs="Arial"/>
        </w:rPr>
        <w:t xml:space="preserve">For more information on the use of the </w:t>
      </w:r>
      <w:r w:rsidR="00BC3C75" w:rsidRPr="002A75F2">
        <w:rPr>
          <w:rFonts w:cs="Arial"/>
        </w:rPr>
        <w:t>Ministry’s a</w:t>
      </w:r>
      <w:r w:rsidRPr="002A75F2">
        <w:rPr>
          <w:rFonts w:cs="Arial"/>
        </w:rPr>
        <w:t xml:space="preserve">pproved </w:t>
      </w:r>
      <w:r w:rsidR="00BC3C75" w:rsidRPr="002A75F2">
        <w:rPr>
          <w:rFonts w:cs="Arial"/>
        </w:rPr>
        <w:t>m</w:t>
      </w:r>
      <w:r w:rsidRPr="002A75F2">
        <w:rPr>
          <w:rFonts w:cs="Arial"/>
        </w:rPr>
        <w:t xml:space="preserve">odel, its limitations and how to submit a Tier 2 </w:t>
      </w:r>
      <w:r w:rsidR="00310DD2" w:rsidRPr="002A75F2">
        <w:rPr>
          <w:rFonts w:cs="Arial"/>
        </w:rPr>
        <w:t>risk assessment</w:t>
      </w:r>
      <w:r w:rsidRPr="002A75F2">
        <w:rPr>
          <w:rFonts w:cs="Arial"/>
        </w:rPr>
        <w:t>, please refer to the document titled “MGRA User Guide: A Guide to Using the “Approved Model” (November 2016) When Submitting a Modified Generic Risk Assessment (MGRA)”, PIBS#8450e.</w:t>
      </w:r>
    </w:p>
    <w:p w14:paraId="6DAE3200" w14:textId="64476D87" w:rsidR="00B736F9" w:rsidRPr="008D65C3" w:rsidRDefault="00B736F9" w:rsidP="006F25DD">
      <w:pPr>
        <w:pStyle w:val="Heading1"/>
      </w:pPr>
      <w:bookmarkStart w:id="66" w:name="_Pre-Submission_Form"/>
      <w:bookmarkStart w:id="67" w:name="_Toc91393532"/>
      <w:bookmarkStart w:id="68" w:name="_Toc112727398"/>
      <w:bookmarkStart w:id="69" w:name="_Toc41905648"/>
      <w:bookmarkEnd w:id="66"/>
      <w:r w:rsidRPr="008D65C3">
        <w:lastRenderedPageBreak/>
        <w:t>Pre-Submission Form</w:t>
      </w:r>
      <w:bookmarkEnd w:id="55"/>
      <w:bookmarkEnd w:id="56"/>
      <w:bookmarkEnd w:id="57"/>
      <w:bookmarkEnd w:id="67"/>
      <w:bookmarkEnd w:id="68"/>
      <w:r w:rsidR="006F25DD" w:rsidRPr="008D65C3">
        <w:t xml:space="preserve"> and Public Communication</w:t>
      </w:r>
      <w:bookmarkEnd w:id="69"/>
    </w:p>
    <w:p w14:paraId="4EC128A1" w14:textId="6FD65059" w:rsidR="006F25DD" w:rsidRPr="008D65C3" w:rsidRDefault="006F25DD" w:rsidP="006F25DD">
      <w:pPr>
        <w:pStyle w:val="Heading2"/>
        <w:rPr>
          <w:rFonts w:cs="Arial"/>
        </w:rPr>
      </w:pPr>
      <w:bookmarkStart w:id="70" w:name="_Toc41905649"/>
      <w:r w:rsidRPr="008D65C3">
        <w:rPr>
          <w:rFonts w:cs="Arial"/>
        </w:rPr>
        <w:t>PSF Overview</w:t>
      </w:r>
      <w:bookmarkEnd w:id="70"/>
    </w:p>
    <w:p w14:paraId="6340816D" w14:textId="5936E2F5" w:rsidR="00723113" w:rsidRPr="002A75F2" w:rsidRDefault="00B736F9" w:rsidP="00840964">
      <w:pPr>
        <w:rPr>
          <w:rFonts w:cs="Arial"/>
        </w:rPr>
      </w:pPr>
      <w:r w:rsidRPr="002A75F2">
        <w:rPr>
          <w:rFonts w:cs="Arial"/>
        </w:rPr>
        <w:t xml:space="preserve">As the first stage of conducting a risk assessment, a PSF must be </w:t>
      </w:r>
      <w:r w:rsidR="00723113" w:rsidRPr="002A75F2">
        <w:rPr>
          <w:rFonts w:cs="Arial"/>
        </w:rPr>
        <w:t>completed and submitted to the Ministry</w:t>
      </w:r>
      <w:r w:rsidR="00383893" w:rsidRPr="002A75F2">
        <w:rPr>
          <w:rFonts w:cs="Arial"/>
        </w:rPr>
        <w:t>.</w:t>
      </w:r>
      <w:r w:rsidR="00136B5F" w:rsidRPr="002A75F2">
        <w:rPr>
          <w:rFonts w:cs="Arial"/>
        </w:rPr>
        <w:t xml:space="preserve"> </w:t>
      </w:r>
    </w:p>
    <w:p w14:paraId="3CB223BD" w14:textId="05D71C0E" w:rsidR="00B736F9" w:rsidRPr="002A75F2" w:rsidRDefault="00EA6741" w:rsidP="00840964">
      <w:pPr>
        <w:rPr>
          <w:rFonts w:cs="Arial"/>
        </w:rPr>
      </w:pPr>
      <w:r w:rsidRPr="002A75F2">
        <w:rPr>
          <w:rFonts w:cs="Arial"/>
        </w:rPr>
        <w:t xml:space="preserve">The PSF must </w:t>
      </w:r>
      <w:r w:rsidR="00B736F9" w:rsidRPr="002A75F2">
        <w:rPr>
          <w:rFonts w:cs="Arial"/>
        </w:rPr>
        <w:t>include property characterization and receptor characterization information</w:t>
      </w:r>
      <w:r w:rsidR="00383893" w:rsidRPr="002A75F2">
        <w:rPr>
          <w:rFonts w:cs="Arial"/>
        </w:rPr>
        <w:t>.</w:t>
      </w:r>
      <w:r w:rsidR="00136B5F" w:rsidRPr="002A75F2">
        <w:rPr>
          <w:rFonts w:cs="Arial"/>
        </w:rPr>
        <w:t xml:space="preserve"> </w:t>
      </w:r>
      <w:r w:rsidR="00B736F9" w:rsidRPr="002A75F2">
        <w:rPr>
          <w:rFonts w:cs="Arial"/>
        </w:rPr>
        <w:t xml:space="preserve">The </w:t>
      </w:r>
      <w:r w:rsidR="000767FF" w:rsidRPr="002A75F2">
        <w:rPr>
          <w:rFonts w:cs="Arial"/>
        </w:rPr>
        <w:t>QP</w:t>
      </w:r>
      <w:r w:rsidR="000767FF" w:rsidRPr="002A75F2">
        <w:rPr>
          <w:rFonts w:cs="Arial"/>
          <w:vertAlign w:val="subscript"/>
        </w:rPr>
        <w:t>RA</w:t>
      </w:r>
      <w:r w:rsidR="00B736F9" w:rsidRPr="002A75F2">
        <w:rPr>
          <w:rFonts w:cs="Arial"/>
        </w:rPr>
        <w:t xml:space="preserve"> should develop the PSF with a team of experts who possess the </w:t>
      </w:r>
      <w:r w:rsidR="00136B5F" w:rsidRPr="002A75F2">
        <w:rPr>
          <w:rFonts w:cs="Arial"/>
        </w:rPr>
        <w:t>knowledge and experience</w:t>
      </w:r>
      <w:r w:rsidR="00B736F9" w:rsidRPr="002A75F2">
        <w:rPr>
          <w:rFonts w:cs="Arial"/>
        </w:rPr>
        <w:t xml:space="preserve"> required to address all exposure pathways and receptors of potential concern.</w:t>
      </w:r>
    </w:p>
    <w:p w14:paraId="1911EE24" w14:textId="650EF47D" w:rsidR="004451CE" w:rsidRPr="002A75F2" w:rsidRDefault="00383893" w:rsidP="00840964">
      <w:pPr>
        <w:rPr>
          <w:rFonts w:cs="Arial"/>
        </w:rPr>
      </w:pPr>
      <w:r w:rsidRPr="002A75F2">
        <w:rPr>
          <w:rFonts w:cs="Arial"/>
        </w:rPr>
        <w:t xml:space="preserve">For Tier 3 </w:t>
      </w:r>
      <w:r w:rsidR="002B4755" w:rsidRPr="002A75F2">
        <w:rPr>
          <w:rFonts w:cs="Arial"/>
        </w:rPr>
        <w:t>risk assessments</w:t>
      </w:r>
      <w:r w:rsidRPr="002A75F2">
        <w:rPr>
          <w:rFonts w:cs="Arial"/>
        </w:rPr>
        <w:t xml:space="preserve">, the PSF must be submitted to the Ministry prior to submission of the </w:t>
      </w:r>
      <w:r w:rsidR="00D4507B" w:rsidRPr="002A75F2">
        <w:rPr>
          <w:rFonts w:cs="Arial"/>
        </w:rPr>
        <w:t>risk assessment</w:t>
      </w:r>
      <w:r w:rsidRPr="002A75F2">
        <w:rPr>
          <w:rFonts w:cs="Arial"/>
        </w:rPr>
        <w:t>. In these cases, t</w:t>
      </w:r>
      <w:r w:rsidR="00B736F9" w:rsidRPr="002A75F2">
        <w:rPr>
          <w:rFonts w:cs="Arial"/>
        </w:rPr>
        <w:t xml:space="preserve">he PSF provides an </w:t>
      </w:r>
      <w:r w:rsidRPr="002A75F2">
        <w:rPr>
          <w:rFonts w:cs="Arial"/>
        </w:rPr>
        <w:t xml:space="preserve">important </w:t>
      </w:r>
      <w:r w:rsidR="00B736F9" w:rsidRPr="002A75F2">
        <w:rPr>
          <w:rFonts w:cs="Arial"/>
        </w:rPr>
        <w:t xml:space="preserve">opportunity to </w:t>
      </w:r>
      <w:r w:rsidR="00EA6741" w:rsidRPr="002A75F2">
        <w:rPr>
          <w:rFonts w:cs="Arial"/>
        </w:rPr>
        <w:t xml:space="preserve">pre-consult </w:t>
      </w:r>
      <w:r w:rsidR="00B736F9" w:rsidRPr="002A75F2">
        <w:rPr>
          <w:rFonts w:cs="Arial"/>
        </w:rPr>
        <w:t xml:space="preserve">with the </w:t>
      </w:r>
      <w:r w:rsidR="002D7DFD" w:rsidRPr="002A75F2">
        <w:rPr>
          <w:rFonts w:cs="Arial"/>
        </w:rPr>
        <w:t>M</w:t>
      </w:r>
      <w:r w:rsidR="002A6EE0" w:rsidRPr="002A75F2">
        <w:rPr>
          <w:rFonts w:cs="Arial"/>
        </w:rPr>
        <w:t>inistry</w:t>
      </w:r>
      <w:r w:rsidR="00B736F9" w:rsidRPr="002A75F2">
        <w:rPr>
          <w:rFonts w:cs="Arial"/>
        </w:rPr>
        <w:t xml:space="preserve"> </w:t>
      </w:r>
      <w:r w:rsidR="00EA6741" w:rsidRPr="002A75F2">
        <w:rPr>
          <w:rFonts w:cs="Arial"/>
        </w:rPr>
        <w:t xml:space="preserve">regarding </w:t>
      </w:r>
      <w:r w:rsidR="00B736F9" w:rsidRPr="002A75F2">
        <w:rPr>
          <w:rFonts w:cs="Arial"/>
        </w:rPr>
        <w:t>the risk assessment approach and general scope as described in both narrative and visual forms (conceptual site model)</w:t>
      </w:r>
      <w:r w:rsidR="00756E24" w:rsidRPr="002A75F2">
        <w:rPr>
          <w:rFonts w:cs="Arial"/>
        </w:rPr>
        <w:t xml:space="preserve">, </w:t>
      </w:r>
      <w:r w:rsidR="004451CE" w:rsidRPr="002A75F2">
        <w:rPr>
          <w:rFonts w:cs="Arial"/>
        </w:rPr>
        <w:t xml:space="preserve">developed in </w:t>
      </w:r>
      <w:r w:rsidR="00756E24" w:rsidRPr="002A75F2">
        <w:rPr>
          <w:rFonts w:cs="Arial"/>
        </w:rPr>
        <w:t>consider</w:t>
      </w:r>
      <w:r w:rsidR="004451CE" w:rsidRPr="002A75F2">
        <w:rPr>
          <w:rFonts w:cs="Arial"/>
        </w:rPr>
        <w:t xml:space="preserve">ation of </w:t>
      </w:r>
      <w:r w:rsidR="00756E24" w:rsidRPr="002A75F2">
        <w:rPr>
          <w:rFonts w:cs="Arial"/>
        </w:rPr>
        <w:t>site</w:t>
      </w:r>
      <w:r w:rsidR="00E07B06" w:rsidRPr="002A75F2">
        <w:rPr>
          <w:rFonts w:cs="Arial"/>
        </w:rPr>
        <w:t>-</w:t>
      </w:r>
      <w:r w:rsidR="00756E24" w:rsidRPr="002A75F2">
        <w:rPr>
          <w:rFonts w:cs="Arial"/>
        </w:rPr>
        <w:t>specific conditions.</w:t>
      </w:r>
      <w:r w:rsidR="005362BD" w:rsidRPr="002A75F2">
        <w:rPr>
          <w:rFonts w:cs="Arial"/>
        </w:rPr>
        <w:t xml:space="preserve"> </w:t>
      </w:r>
      <w:r w:rsidRPr="002A75F2">
        <w:rPr>
          <w:rFonts w:cs="Arial"/>
        </w:rPr>
        <w:t xml:space="preserve">For Tier 3 </w:t>
      </w:r>
      <w:r w:rsidR="002B4755" w:rsidRPr="002A75F2">
        <w:rPr>
          <w:rFonts w:cs="Arial"/>
        </w:rPr>
        <w:t xml:space="preserve">risk </w:t>
      </w:r>
      <w:r w:rsidR="00143545" w:rsidRPr="002A75F2">
        <w:rPr>
          <w:rFonts w:cs="Arial"/>
        </w:rPr>
        <w:t>assessments</w:t>
      </w:r>
      <w:r w:rsidRPr="002A75F2">
        <w:rPr>
          <w:rFonts w:cs="Arial"/>
        </w:rPr>
        <w:t xml:space="preserve">, the Ministry will prepare a letter of response that indicates the review timeline required for the </w:t>
      </w:r>
      <w:r w:rsidR="003D407C" w:rsidRPr="002A75F2">
        <w:rPr>
          <w:rFonts w:cs="Arial"/>
        </w:rPr>
        <w:t xml:space="preserve">risk assessment </w:t>
      </w:r>
      <w:r w:rsidRPr="002A75F2">
        <w:rPr>
          <w:rFonts w:cs="Arial"/>
        </w:rPr>
        <w:t xml:space="preserve">approach, as well as comments concerning the conceptual site model and scope of the </w:t>
      </w:r>
      <w:r w:rsidR="003D407C" w:rsidRPr="002A75F2">
        <w:rPr>
          <w:rFonts w:cs="Arial"/>
        </w:rPr>
        <w:t>risk assessment</w:t>
      </w:r>
      <w:r w:rsidRPr="002A75F2">
        <w:rPr>
          <w:rFonts w:cs="Arial"/>
        </w:rPr>
        <w:t>.</w:t>
      </w:r>
    </w:p>
    <w:p w14:paraId="5FE9A4CE" w14:textId="1DB122C3" w:rsidR="00383893" w:rsidRPr="002A75F2" w:rsidRDefault="00383893" w:rsidP="00840964">
      <w:pPr>
        <w:rPr>
          <w:rFonts w:cs="Arial"/>
        </w:rPr>
      </w:pPr>
      <w:r w:rsidRPr="002A75F2">
        <w:rPr>
          <w:rFonts w:cs="Arial"/>
        </w:rPr>
        <w:t xml:space="preserve">For Tier 2 </w:t>
      </w:r>
      <w:r w:rsidR="002B4755" w:rsidRPr="002A75F2">
        <w:rPr>
          <w:rFonts w:cs="Arial"/>
        </w:rPr>
        <w:t>risk assessments</w:t>
      </w:r>
      <w:r w:rsidRPr="002A75F2">
        <w:rPr>
          <w:rFonts w:cs="Arial"/>
        </w:rPr>
        <w:t xml:space="preserve">, the PSF is included with the </w:t>
      </w:r>
      <w:r w:rsidR="003D407C" w:rsidRPr="002A75F2">
        <w:rPr>
          <w:rFonts w:cs="Arial"/>
        </w:rPr>
        <w:t>risk assessment</w:t>
      </w:r>
      <w:r w:rsidRPr="002A75F2">
        <w:rPr>
          <w:rFonts w:cs="Arial"/>
        </w:rPr>
        <w:t xml:space="preserve"> submission; the Ministry will review and provide comment on the PSF and </w:t>
      </w:r>
      <w:r w:rsidR="003D407C" w:rsidRPr="002A75F2">
        <w:rPr>
          <w:rFonts w:cs="Arial"/>
        </w:rPr>
        <w:t xml:space="preserve">risk assessment </w:t>
      </w:r>
      <w:r w:rsidRPr="002A75F2">
        <w:rPr>
          <w:rFonts w:cs="Arial"/>
        </w:rPr>
        <w:t>at the same time.</w:t>
      </w:r>
    </w:p>
    <w:p w14:paraId="216468DA" w14:textId="09C64278" w:rsidR="00B736F9" w:rsidRPr="002A75F2" w:rsidRDefault="00B736F9" w:rsidP="00840964">
      <w:pPr>
        <w:rPr>
          <w:rFonts w:cs="Arial"/>
        </w:rPr>
      </w:pPr>
      <w:r w:rsidRPr="002A75F2">
        <w:rPr>
          <w:rFonts w:cs="Arial"/>
        </w:rPr>
        <w:t xml:space="preserve">The </w:t>
      </w:r>
      <w:r w:rsidR="000767FF" w:rsidRPr="002A75F2">
        <w:rPr>
          <w:rFonts w:cs="Arial"/>
        </w:rPr>
        <w:t>QP</w:t>
      </w:r>
      <w:r w:rsidR="000767FF" w:rsidRPr="002A75F2">
        <w:rPr>
          <w:rFonts w:cs="Arial"/>
          <w:vertAlign w:val="subscript"/>
        </w:rPr>
        <w:t>RA</w:t>
      </w:r>
      <w:r w:rsidRPr="002A75F2">
        <w:rPr>
          <w:rFonts w:cs="Arial"/>
        </w:rPr>
        <w:t xml:space="preserve"> must prepare the PSF for the property owner, based </w:t>
      </w:r>
      <w:r w:rsidR="00383893" w:rsidRPr="002A75F2">
        <w:rPr>
          <w:rFonts w:cs="Arial"/>
        </w:rPr>
        <w:t>on results of the completed phase one ESA and phase two ESA, and any other investigations that may have been conducted</w:t>
      </w:r>
      <w:r w:rsidRPr="002A75F2">
        <w:rPr>
          <w:rFonts w:cs="Arial"/>
        </w:rPr>
        <w:t>. The purpose of the PSF is to:</w:t>
      </w:r>
    </w:p>
    <w:p w14:paraId="241729E5" w14:textId="77777777" w:rsidR="00B736F9" w:rsidRPr="002A75F2" w:rsidRDefault="00B736F9" w:rsidP="000E72E5">
      <w:pPr>
        <w:pStyle w:val="ListBullet2"/>
        <w:rPr>
          <w:rFonts w:cs="Arial"/>
        </w:rPr>
      </w:pPr>
      <w:r w:rsidRPr="002A75F2">
        <w:rPr>
          <w:rFonts w:cs="Arial"/>
        </w:rPr>
        <w:t>Identify the RA property and ownership;</w:t>
      </w:r>
    </w:p>
    <w:p w14:paraId="27AF0099" w14:textId="7F02AB4F" w:rsidR="00B736F9" w:rsidRPr="002A75F2" w:rsidRDefault="00B736F9" w:rsidP="000E72E5">
      <w:pPr>
        <w:pStyle w:val="ListBullet2"/>
        <w:rPr>
          <w:rFonts w:cs="Arial"/>
        </w:rPr>
      </w:pPr>
      <w:r w:rsidRPr="002A75F2">
        <w:rPr>
          <w:rFonts w:cs="Arial"/>
        </w:rPr>
        <w:t xml:space="preserve">Identify the risk assessment team technical leads and </w:t>
      </w:r>
      <w:r w:rsidR="00143545" w:rsidRPr="002A75F2">
        <w:rPr>
          <w:rFonts w:cs="Arial"/>
        </w:rPr>
        <w:t>self-declaration</w:t>
      </w:r>
      <w:r w:rsidRPr="002A75F2">
        <w:rPr>
          <w:rFonts w:cs="Arial"/>
        </w:rPr>
        <w:t xml:space="preserve"> of the </w:t>
      </w:r>
      <w:r w:rsidR="000767FF" w:rsidRPr="002A75F2">
        <w:rPr>
          <w:rFonts w:cs="Arial"/>
        </w:rPr>
        <w:t>QP</w:t>
      </w:r>
      <w:r w:rsidR="000767FF" w:rsidRPr="002A75F2">
        <w:rPr>
          <w:rFonts w:cs="Arial"/>
          <w:vertAlign w:val="subscript"/>
        </w:rPr>
        <w:t>RA</w:t>
      </w:r>
      <w:r w:rsidRPr="002A75F2">
        <w:rPr>
          <w:rFonts w:cs="Arial"/>
        </w:rPr>
        <w:t>;</w:t>
      </w:r>
    </w:p>
    <w:p w14:paraId="7FB6AF37" w14:textId="77777777" w:rsidR="00B736F9" w:rsidRPr="002A75F2" w:rsidRDefault="00B736F9" w:rsidP="000E72E5">
      <w:pPr>
        <w:pStyle w:val="ListBullet2"/>
        <w:rPr>
          <w:rFonts w:cs="Arial"/>
        </w:rPr>
      </w:pPr>
      <w:r w:rsidRPr="002A75F2">
        <w:rPr>
          <w:rFonts w:cs="Arial"/>
        </w:rPr>
        <w:t xml:space="preserve">Confirm that a </w:t>
      </w:r>
      <w:r w:rsidR="0032339F" w:rsidRPr="002A75F2">
        <w:rPr>
          <w:rFonts w:cs="Arial"/>
        </w:rPr>
        <w:t>p</w:t>
      </w:r>
      <w:r w:rsidRPr="002A75F2">
        <w:rPr>
          <w:rFonts w:cs="Arial"/>
        </w:rPr>
        <w:t xml:space="preserve">hase one </w:t>
      </w:r>
      <w:smartTag w:uri="urn:schemas-microsoft-com:office:smarttags" w:element="stockticker">
        <w:r w:rsidRPr="002A75F2">
          <w:rPr>
            <w:rFonts w:cs="Arial"/>
          </w:rPr>
          <w:t>ESA</w:t>
        </w:r>
      </w:smartTag>
      <w:r w:rsidRPr="002A75F2">
        <w:rPr>
          <w:rFonts w:cs="Arial"/>
        </w:rPr>
        <w:t xml:space="preserve"> and </w:t>
      </w:r>
      <w:r w:rsidR="0032339F"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xml:space="preserve"> have been conducted as prescribed by the Regulation;</w:t>
      </w:r>
    </w:p>
    <w:p w14:paraId="1E6CD5AE" w14:textId="77777777" w:rsidR="00B736F9" w:rsidRPr="002A75F2" w:rsidRDefault="00B736F9" w:rsidP="000E72E5">
      <w:pPr>
        <w:pStyle w:val="ListBullet2"/>
        <w:rPr>
          <w:rFonts w:cs="Arial"/>
        </w:rPr>
      </w:pPr>
      <w:r w:rsidRPr="002A75F2">
        <w:rPr>
          <w:rFonts w:cs="Arial"/>
        </w:rPr>
        <w:t>Provide the proposed scope of the risk assessment including a conceptual site model and hazard identification of the RA property by:</w:t>
      </w:r>
    </w:p>
    <w:p w14:paraId="504E4210" w14:textId="77777777" w:rsidR="00756E24" w:rsidRPr="002A75F2" w:rsidRDefault="00B736F9" w:rsidP="00756E24">
      <w:pPr>
        <w:pStyle w:val="ListBullet3"/>
        <w:rPr>
          <w:rFonts w:cs="Arial"/>
        </w:rPr>
      </w:pPr>
      <w:r w:rsidRPr="002A75F2">
        <w:rPr>
          <w:rFonts w:cs="Arial"/>
        </w:rPr>
        <w:t>Describing the RA property setting, contaminant sources,</w:t>
      </w:r>
      <w:r w:rsidR="00722714" w:rsidRPr="002A75F2">
        <w:rPr>
          <w:rFonts w:cs="Arial"/>
        </w:rPr>
        <w:t xml:space="preserve"> COCs, </w:t>
      </w:r>
      <w:r w:rsidRPr="002A75F2">
        <w:rPr>
          <w:rFonts w:cs="Arial"/>
        </w:rPr>
        <w:t xml:space="preserve">transport </w:t>
      </w:r>
      <w:r w:rsidR="00E56000" w:rsidRPr="002A75F2">
        <w:rPr>
          <w:rFonts w:cs="Arial"/>
        </w:rPr>
        <w:t xml:space="preserve">pathways, </w:t>
      </w:r>
      <w:r w:rsidRPr="002A75F2">
        <w:rPr>
          <w:rFonts w:cs="Arial"/>
        </w:rPr>
        <w:t>exposure pathways (including the results of any screening level assessment, if performed),</w:t>
      </w:r>
      <w:r w:rsidR="00E878B4" w:rsidRPr="002A75F2">
        <w:rPr>
          <w:rFonts w:cs="Arial"/>
        </w:rPr>
        <w:t xml:space="preserve"> and</w:t>
      </w:r>
      <w:r w:rsidRPr="002A75F2">
        <w:rPr>
          <w:rFonts w:cs="Arial"/>
        </w:rPr>
        <w:t xml:space="preserve"> human and ecological receptors,</w:t>
      </w:r>
    </w:p>
    <w:p w14:paraId="65492F16" w14:textId="77777777" w:rsidR="00B736F9" w:rsidRPr="002A75F2" w:rsidRDefault="00B736F9" w:rsidP="00756E24">
      <w:pPr>
        <w:pStyle w:val="ListBullet3"/>
        <w:rPr>
          <w:rFonts w:cs="Arial"/>
        </w:rPr>
      </w:pPr>
      <w:r w:rsidRPr="002A75F2">
        <w:rPr>
          <w:rFonts w:cs="Arial"/>
        </w:rPr>
        <w:t>Including a summary of key data that supports the conceptual model,</w:t>
      </w:r>
    </w:p>
    <w:p w14:paraId="43A03F93" w14:textId="77777777" w:rsidR="00B736F9" w:rsidRPr="002A75F2" w:rsidRDefault="00B736F9" w:rsidP="00756E24">
      <w:pPr>
        <w:pStyle w:val="ListBullet3"/>
        <w:rPr>
          <w:rFonts w:cs="Arial"/>
        </w:rPr>
      </w:pPr>
      <w:r w:rsidRPr="002A75F2">
        <w:rPr>
          <w:rFonts w:cs="Arial"/>
        </w:rPr>
        <w:t>Proposing the collection of additional data, if required, and</w:t>
      </w:r>
    </w:p>
    <w:p w14:paraId="75B3C969" w14:textId="77777777" w:rsidR="00B736F9" w:rsidRPr="002A75F2" w:rsidRDefault="00B736F9" w:rsidP="00756E24">
      <w:pPr>
        <w:pStyle w:val="ListBullet3"/>
        <w:rPr>
          <w:rFonts w:cs="Arial"/>
        </w:rPr>
      </w:pPr>
      <w:r w:rsidRPr="002A75F2">
        <w:rPr>
          <w:rFonts w:cs="Arial"/>
        </w:rPr>
        <w:t>Proposing an approach for proceeding with the risk assessment that will determine the timeline for risk assessment review.</w:t>
      </w:r>
    </w:p>
    <w:p w14:paraId="0D42A746" w14:textId="4D50A0AD" w:rsidR="00B736F9" w:rsidRPr="002A75F2" w:rsidRDefault="00B736F9" w:rsidP="00840964">
      <w:pPr>
        <w:rPr>
          <w:rFonts w:cs="Arial"/>
        </w:rPr>
      </w:pPr>
      <w:r w:rsidRPr="002A75F2">
        <w:rPr>
          <w:rFonts w:cs="Arial"/>
        </w:rPr>
        <w:t xml:space="preserve">The PSF process is intended to improve the </w:t>
      </w:r>
      <w:r w:rsidR="005029DB" w:rsidRPr="002A75F2">
        <w:rPr>
          <w:rFonts w:cs="Arial"/>
        </w:rPr>
        <w:t xml:space="preserve">overall </w:t>
      </w:r>
      <w:r w:rsidRPr="002A75F2">
        <w:rPr>
          <w:rFonts w:cs="Arial"/>
        </w:rPr>
        <w:t>quality of risk assessment submissions</w:t>
      </w:r>
      <w:r w:rsidR="005029DB" w:rsidRPr="002A75F2">
        <w:rPr>
          <w:rFonts w:cs="Arial"/>
        </w:rPr>
        <w:t xml:space="preserve"> by providing the Ministry with </w:t>
      </w:r>
      <w:r w:rsidR="009D54A0" w:rsidRPr="002A75F2">
        <w:rPr>
          <w:rFonts w:cs="Arial"/>
        </w:rPr>
        <w:t xml:space="preserve">the conceptual site model, </w:t>
      </w:r>
      <w:r w:rsidR="005029DB" w:rsidRPr="002A75F2">
        <w:rPr>
          <w:rFonts w:cs="Arial"/>
        </w:rPr>
        <w:t xml:space="preserve">an overview of the approach to the risk assessment and </w:t>
      </w:r>
      <w:r w:rsidR="0047042C" w:rsidRPr="002A75F2">
        <w:rPr>
          <w:rFonts w:cs="Arial"/>
        </w:rPr>
        <w:t>t</w:t>
      </w:r>
      <w:r w:rsidR="005029DB" w:rsidRPr="002A75F2">
        <w:rPr>
          <w:rFonts w:cs="Arial"/>
        </w:rPr>
        <w:t>he risk assessment team at an early stage.</w:t>
      </w:r>
      <w:r w:rsidRPr="002A75F2">
        <w:rPr>
          <w:rFonts w:cs="Arial"/>
        </w:rPr>
        <w:t xml:space="preserve"> The outcome of this preliminary consultation is not binding on the RA property owner or the </w:t>
      </w:r>
      <w:r w:rsidR="002D7DFD" w:rsidRPr="002A75F2">
        <w:rPr>
          <w:rFonts w:cs="Arial"/>
        </w:rPr>
        <w:t>M</w:t>
      </w:r>
      <w:r w:rsidR="002A6EE0" w:rsidRPr="002A75F2">
        <w:rPr>
          <w:rFonts w:cs="Arial"/>
        </w:rPr>
        <w:t>inistry</w:t>
      </w:r>
      <w:r w:rsidRPr="002A75F2">
        <w:rPr>
          <w:rFonts w:cs="Arial"/>
        </w:rPr>
        <w:t xml:space="preserve">, as the understanding of site conditions may develop and/or change during the course of the risk assessment. For this </w:t>
      </w:r>
      <w:r w:rsidRPr="002A75F2">
        <w:rPr>
          <w:rFonts w:cs="Arial"/>
        </w:rPr>
        <w:lastRenderedPageBreak/>
        <w:t xml:space="preserve">reason, the </w:t>
      </w:r>
      <w:r w:rsidR="002D7DFD" w:rsidRPr="002A75F2">
        <w:rPr>
          <w:rFonts w:cs="Arial"/>
        </w:rPr>
        <w:t>M</w:t>
      </w:r>
      <w:r w:rsidR="002A6EE0" w:rsidRPr="002A75F2">
        <w:rPr>
          <w:rFonts w:cs="Arial"/>
        </w:rPr>
        <w:t>inistry</w:t>
      </w:r>
      <w:r w:rsidRPr="002A75F2">
        <w:rPr>
          <w:rFonts w:cs="Arial"/>
        </w:rPr>
        <w:t xml:space="preserve"> comment on the PSF does not in any way indicate acceptance of the final risk assessment approach or other conclusions or acceptance of the risk assessment by the Director pursuant to s</w:t>
      </w:r>
      <w:r w:rsidR="00FC05E9" w:rsidRPr="002A75F2">
        <w:rPr>
          <w:rFonts w:cs="Arial"/>
        </w:rPr>
        <w:t xml:space="preserve">ection </w:t>
      </w:r>
      <w:r w:rsidRPr="002A75F2">
        <w:rPr>
          <w:rFonts w:cs="Arial"/>
        </w:rPr>
        <w:t>168.5 of the EPA.</w:t>
      </w:r>
    </w:p>
    <w:p w14:paraId="5117F215" w14:textId="6345125B" w:rsidR="00E93FE0" w:rsidRPr="002A75F2" w:rsidRDefault="00E93FE0" w:rsidP="006F25DD">
      <w:pPr>
        <w:pStyle w:val="Heading2"/>
        <w:rPr>
          <w:rFonts w:cs="Arial"/>
        </w:rPr>
      </w:pPr>
      <w:bookmarkStart w:id="71" w:name="_Toc41905650"/>
      <w:r w:rsidRPr="002A75F2">
        <w:rPr>
          <w:rFonts w:cs="Arial"/>
        </w:rPr>
        <w:t>PSF Requirements</w:t>
      </w:r>
      <w:bookmarkEnd w:id="71"/>
    </w:p>
    <w:p w14:paraId="1EAEFEAD" w14:textId="2930E2CB" w:rsidR="00FC05E9" w:rsidRPr="002A75F2" w:rsidRDefault="00FC05E9" w:rsidP="00840964">
      <w:pPr>
        <w:rPr>
          <w:rFonts w:cs="Arial"/>
        </w:rPr>
      </w:pPr>
      <w:r w:rsidRPr="002A75F2">
        <w:rPr>
          <w:rFonts w:cs="Arial"/>
        </w:rPr>
        <w:t xml:space="preserve">The PSF </w:t>
      </w:r>
      <w:r w:rsidR="00DC4D82" w:rsidRPr="002A75F2">
        <w:rPr>
          <w:rFonts w:cs="Arial"/>
        </w:rPr>
        <w:t xml:space="preserve">that is approved </w:t>
      </w:r>
      <w:r w:rsidR="004451CE" w:rsidRPr="002A75F2">
        <w:rPr>
          <w:rFonts w:cs="Arial"/>
        </w:rPr>
        <w:t xml:space="preserve">is available at </w:t>
      </w:r>
      <w:r w:rsidR="002D7DFD" w:rsidRPr="002A75F2">
        <w:rPr>
          <w:rFonts w:cs="Arial"/>
        </w:rPr>
        <w:t>the M</w:t>
      </w:r>
      <w:r w:rsidRPr="002A75F2">
        <w:rPr>
          <w:rFonts w:cs="Arial"/>
        </w:rPr>
        <w:t>inistry’s brownfields website</w:t>
      </w:r>
      <w:r w:rsidR="00A01E3B" w:rsidRPr="002A75F2">
        <w:rPr>
          <w:rFonts w:cs="Arial"/>
        </w:rPr>
        <w:t xml:space="preserve"> and may be updated from time to time</w:t>
      </w:r>
      <w:r w:rsidRPr="002A75F2">
        <w:rPr>
          <w:rFonts w:cs="Arial"/>
        </w:rPr>
        <w:t xml:space="preserve">. </w:t>
      </w:r>
      <w:r w:rsidR="00DC4D82" w:rsidRPr="002A75F2">
        <w:rPr>
          <w:rFonts w:cs="Arial"/>
        </w:rPr>
        <w:t>The QP</w:t>
      </w:r>
      <w:r w:rsidR="00DC4D82" w:rsidRPr="002A75F2">
        <w:rPr>
          <w:rFonts w:cs="Arial"/>
          <w:vertAlign w:val="subscript"/>
        </w:rPr>
        <w:t>RA</w:t>
      </w:r>
      <w:r w:rsidR="00DC4D82" w:rsidRPr="002A75F2">
        <w:rPr>
          <w:rFonts w:cs="Arial"/>
        </w:rPr>
        <w:t xml:space="preserve"> should refer to the following section regarding r</w:t>
      </w:r>
      <w:r w:rsidR="00B736F9" w:rsidRPr="002A75F2">
        <w:rPr>
          <w:rFonts w:cs="Arial"/>
        </w:rPr>
        <w:t xml:space="preserve">equirements for </w:t>
      </w:r>
      <w:r w:rsidR="00DC4D82" w:rsidRPr="002A75F2">
        <w:rPr>
          <w:rFonts w:cs="Arial"/>
        </w:rPr>
        <w:t xml:space="preserve">the preparation and </w:t>
      </w:r>
      <w:r w:rsidR="00B736F9" w:rsidRPr="002A75F2">
        <w:rPr>
          <w:rFonts w:cs="Arial"/>
        </w:rPr>
        <w:t>submission of a PSF</w:t>
      </w:r>
      <w:r w:rsidRPr="002A75F2">
        <w:rPr>
          <w:rFonts w:cs="Arial"/>
        </w:rPr>
        <w:t>:</w:t>
      </w:r>
    </w:p>
    <w:p w14:paraId="3A6CEDAB" w14:textId="77777777" w:rsidR="00FC05E9" w:rsidRPr="002A75F2" w:rsidRDefault="00B736F9" w:rsidP="00A47B50">
      <w:pPr>
        <w:numPr>
          <w:ilvl w:val="0"/>
          <w:numId w:val="22"/>
        </w:numPr>
        <w:shd w:val="clear" w:color="auto" w:fill="D9D9D9"/>
        <w:rPr>
          <w:rFonts w:cs="Arial"/>
        </w:rPr>
      </w:pPr>
      <w:r w:rsidRPr="002A75F2">
        <w:rPr>
          <w:rFonts w:cs="Arial"/>
        </w:rPr>
        <w:t xml:space="preserve"> </w:t>
      </w:r>
      <w:r w:rsidR="00BC7AAD" w:rsidRPr="002A75F2">
        <w:rPr>
          <w:rFonts w:cs="Arial"/>
        </w:rPr>
        <w:t>Section</w:t>
      </w:r>
      <w:r w:rsidRPr="002A75F2">
        <w:rPr>
          <w:rFonts w:cs="Arial"/>
        </w:rPr>
        <w:t xml:space="preserve"> 3 of Schedule C</w:t>
      </w:r>
    </w:p>
    <w:p w14:paraId="7FE68326" w14:textId="450DA8F9" w:rsidR="00DC4D82" w:rsidRPr="002A75F2" w:rsidRDefault="00DC4D82" w:rsidP="0067367A">
      <w:pPr>
        <w:rPr>
          <w:rFonts w:cs="Arial"/>
        </w:rPr>
      </w:pPr>
      <w:r w:rsidRPr="002A75F2">
        <w:rPr>
          <w:rFonts w:cs="Arial"/>
        </w:rPr>
        <w:t>The Regulation specifies that the PSF must include the information listed in subsections 3 (5) to 3 (11) of Schedule C (e.g. property ownership and location information, the type of risk assessment approach, and conceptual site models), as well as any other information required by the Director (i.e. required by the Director through the PSF).</w:t>
      </w:r>
    </w:p>
    <w:p w14:paraId="49423454" w14:textId="057EEC0B" w:rsidR="00C56F82" w:rsidRPr="002A75F2" w:rsidRDefault="00C56F82" w:rsidP="00DE496B">
      <w:pPr>
        <w:pStyle w:val="Heading3"/>
        <w:rPr>
          <w:rFonts w:cs="Arial"/>
        </w:rPr>
      </w:pPr>
      <w:bookmarkStart w:id="72" w:name="_Toc41905651"/>
      <w:r w:rsidRPr="002A75F2">
        <w:rPr>
          <w:rFonts w:cs="Arial"/>
        </w:rPr>
        <w:t>Property Ownership and Location</w:t>
      </w:r>
      <w:bookmarkEnd w:id="72"/>
    </w:p>
    <w:p w14:paraId="0BDE472C" w14:textId="77777777" w:rsidR="00C56F82" w:rsidRPr="002A75F2" w:rsidRDefault="0054417C" w:rsidP="0067367A">
      <w:pPr>
        <w:rPr>
          <w:rFonts w:cs="Arial"/>
        </w:rPr>
      </w:pPr>
      <w:r w:rsidRPr="002A75F2">
        <w:rPr>
          <w:rFonts w:cs="Arial"/>
        </w:rPr>
        <w:t>Requiremen</w:t>
      </w:r>
      <w:r w:rsidR="008D5002" w:rsidRPr="002A75F2">
        <w:rPr>
          <w:rFonts w:cs="Arial"/>
        </w:rPr>
        <w:t>t</w:t>
      </w:r>
      <w:r w:rsidRPr="002A75F2">
        <w:rPr>
          <w:rFonts w:cs="Arial"/>
        </w:rPr>
        <w:t>s regarding p</w:t>
      </w:r>
      <w:r w:rsidR="00C56F82" w:rsidRPr="002A75F2">
        <w:rPr>
          <w:rFonts w:cs="Arial"/>
        </w:rPr>
        <w:t xml:space="preserve">roperty ownership and location information are listed in: </w:t>
      </w:r>
    </w:p>
    <w:p w14:paraId="695D0F7D" w14:textId="77777777" w:rsidR="00C56F82" w:rsidRPr="002A75F2" w:rsidRDefault="00C56F82" w:rsidP="00A47B50">
      <w:pPr>
        <w:numPr>
          <w:ilvl w:val="0"/>
          <w:numId w:val="22"/>
        </w:numPr>
        <w:shd w:val="clear" w:color="auto" w:fill="D9D9D9"/>
        <w:rPr>
          <w:rFonts w:cs="Arial"/>
        </w:rPr>
      </w:pPr>
      <w:r w:rsidRPr="002A75F2">
        <w:rPr>
          <w:rFonts w:cs="Arial"/>
        </w:rPr>
        <w:t>Subsection 3 (5) of Schedule C</w:t>
      </w:r>
    </w:p>
    <w:p w14:paraId="32282A91" w14:textId="53794655" w:rsidR="000058F1" w:rsidRPr="002A75F2" w:rsidRDefault="00D559DE" w:rsidP="0067367A">
      <w:pPr>
        <w:rPr>
          <w:rFonts w:cs="Arial"/>
        </w:rPr>
      </w:pPr>
      <w:r w:rsidRPr="002A75F2">
        <w:rPr>
          <w:rFonts w:cs="Arial"/>
        </w:rPr>
        <w:t>The</w:t>
      </w:r>
      <w:r w:rsidR="00E43278" w:rsidRPr="002A75F2">
        <w:rPr>
          <w:rFonts w:cs="Arial"/>
        </w:rPr>
        <w:t xml:space="preserve"> Regulation states that the PSF must include</w:t>
      </w:r>
      <w:r w:rsidRPr="002A75F2">
        <w:rPr>
          <w:rFonts w:cs="Arial"/>
        </w:rPr>
        <w:t xml:space="preserve"> </w:t>
      </w:r>
      <w:r w:rsidR="00095EB6" w:rsidRPr="002A75F2">
        <w:rPr>
          <w:rFonts w:cs="Arial"/>
        </w:rPr>
        <w:t xml:space="preserve">details concerning </w:t>
      </w:r>
      <w:r w:rsidR="00E43278" w:rsidRPr="002A75F2">
        <w:rPr>
          <w:rFonts w:cs="Arial"/>
        </w:rPr>
        <w:t>the owners of the RA property</w:t>
      </w:r>
      <w:r w:rsidR="00095EB6" w:rsidRPr="002A75F2">
        <w:rPr>
          <w:rFonts w:cs="Arial"/>
        </w:rPr>
        <w:t>, the owner responsible for the submission of the risk assessment and any other current owner</w:t>
      </w:r>
      <w:r w:rsidR="00E43278" w:rsidRPr="002A75F2">
        <w:rPr>
          <w:rFonts w:cs="Arial"/>
        </w:rPr>
        <w:t xml:space="preserve"> and</w:t>
      </w:r>
      <w:r w:rsidR="00095EB6" w:rsidRPr="002A75F2">
        <w:rPr>
          <w:rFonts w:cs="Arial"/>
        </w:rPr>
        <w:t xml:space="preserve"> for the RA property, a lawyer’s letter providing a legal description of the RA property and a list of its owners and </w:t>
      </w:r>
      <w:r w:rsidR="00E43278" w:rsidRPr="002A75F2">
        <w:rPr>
          <w:rFonts w:cs="Arial"/>
        </w:rPr>
        <w:t>a description of the nature of their interest, and any munic</w:t>
      </w:r>
      <w:r w:rsidR="00EC2DDF" w:rsidRPr="002A75F2">
        <w:rPr>
          <w:rFonts w:cs="Arial"/>
        </w:rPr>
        <w:t>i</w:t>
      </w:r>
      <w:r w:rsidR="00E43278" w:rsidRPr="002A75F2">
        <w:rPr>
          <w:rFonts w:cs="Arial"/>
        </w:rPr>
        <w:t xml:space="preserve">pal address, assessment roll number and property identification number (PIN), </w:t>
      </w:r>
      <w:r w:rsidR="007B2BBC" w:rsidRPr="002A75F2">
        <w:rPr>
          <w:rFonts w:cs="Arial"/>
        </w:rPr>
        <w:t xml:space="preserve">that has been </w:t>
      </w:r>
      <w:r w:rsidR="0054417C" w:rsidRPr="002A75F2">
        <w:rPr>
          <w:rFonts w:cs="Arial"/>
        </w:rPr>
        <w:t>prepared by a lawyer</w:t>
      </w:r>
      <w:r w:rsidR="00E43278" w:rsidRPr="002A75F2">
        <w:rPr>
          <w:rFonts w:cs="Arial"/>
        </w:rPr>
        <w:t xml:space="preserve"> after reviewing </w:t>
      </w:r>
      <w:r w:rsidR="0054417C" w:rsidRPr="002A75F2">
        <w:rPr>
          <w:rFonts w:cs="Arial"/>
        </w:rPr>
        <w:t>a current plan of survey</w:t>
      </w:r>
      <w:r w:rsidR="00E43278" w:rsidRPr="002A75F2">
        <w:rPr>
          <w:rFonts w:cs="Arial"/>
        </w:rPr>
        <w:t xml:space="preserve"> and all other necessary documents</w:t>
      </w:r>
      <w:r w:rsidR="007B2BBC" w:rsidRPr="002A75F2">
        <w:rPr>
          <w:rFonts w:cs="Arial"/>
        </w:rPr>
        <w:t xml:space="preserve">. Note that the </w:t>
      </w:r>
      <w:r w:rsidR="000058F1" w:rsidRPr="002A75F2">
        <w:rPr>
          <w:rFonts w:cs="Arial"/>
        </w:rPr>
        <w:t xml:space="preserve">current </w:t>
      </w:r>
      <w:r w:rsidR="007B2BBC" w:rsidRPr="002A75F2">
        <w:rPr>
          <w:rFonts w:cs="Arial"/>
        </w:rPr>
        <w:t xml:space="preserve">plan of survey </w:t>
      </w:r>
      <w:r w:rsidR="0054417C" w:rsidRPr="002A75F2">
        <w:rPr>
          <w:rFonts w:cs="Arial"/>
        </w:rPr>
        <w:t xml:space="preserve">must </w:t>
      </w:r>
      <w:r w:rsidR="000058F1" w:rsidRPr="002A75F2">
        <w:rPr>
          <w:rFonts w:cs="Arial"/>
        </w:rPr>
        <w:t>be submitted with the PSF.</w:t>
      </w:r>
    </w:p>
    <w:p w14:paraId="49F5D5B1" w14:textId="77777777" w:rsidR="000058F1" w:rsidRPr="002A75F2" w:rsidRDefault="000058F1" w:rsidP="000058F1">
      <w:pPr>
        <w:rPr>
          <w:rFonts w:cs="Arial"/>
        </w:rPr>
      </w:pPr>
      <w:r w:rsidRPr="002A75F2">
        <w:rPr>
          <w:rFonts w:cs="Arial"/>
        </w:rPr>
        <w:t xml:space="preserve">In listing the owners of the property and describing the nature of their interest, the lawyer’s letter should indicate which owner(s) are registered owner(s) and which owner(s) are beneficial owner(s), if applicable. In addition, the lawyer’s letter should attach and refer to the following: </w:t>
      </w:r>
    </w:p>
    <w:p w14:paraId="7713B90B" w14:textId="77777777" w:rsidR="000058F1" w:rsidRPr="002A75F2" w:rsidRDefault="000058F1" w:rsidP="000058F1">
      <w:pPr>
        <w:numPr>
          <w:ilvl w:val="0"/>
          <w:numId w:val="43"/>
        </w:numPr>
        <w:rPr>
          <w:rFonts w:cs="Arial"/>
        </w:rPr>
      </w:pPr>
      <w:r w:rsidRPr="002A75F2">
        <w:rPr>
          <w:rFonts w:cs="Arial"/>
        </w:rPr>
        <w:t>the plan of survey;</w:t>
      </w:r>
    </w:p>
    <w:p w14:paraId="4AAEE1B8" w14:textId="77777777" w:rsidR="000058F1" w:rsidRPr="002A75F2" w:rsidRDefault="000058F1" w:rsidP="000058F1">
      <w:pPr>
        <w:numPr>
          <w:ilvl w:val="0"/>
          <w:numId w:val="43"/>
        </w:numPr>
        <w:rPr>
          <w:rFonts w:cs="Arial"/>
        </w:rPr>
      </w:pPr>
      <w:r w:rsidRPr="002A75F2">
        <w:rPr>
          <w:rFonts w:cs="Arial"/>
        </w:rPr>
        <w:t>the parcel registers/PIN abstracts for the RA property;</w:t>
      </w:r>
    </w:p>
    <w:p w14:paraId="32161A19" w14:textId="77777777" w:rsidR="000058F1" w:rsidRPr="002A75F2" w:rsidRDefault="000058F1" w:rsidP="000058F1">
      <w:pPr>
        <w:numPr>
          <w:ilvl w:val="0"/>
          <w:numId w:val="43"/>
        </w:numPr>
        <w:rPr>
          <w:rFonts w:cs="Arial"/>
        </w:rPr>
      </w:pPr>
      <w:r w:rsidRPr="002A75F2">
        <w:rPr>
          <w:rFonts w:cs="Arial"/>
        </w:rPr>
        <w:t>the transfer instrument(s) whereby the property owner(s) acquired the RA property;</w:t>
      </w:r>
    </w:p>
    <w:p w14:paraId="14F40B26" w14:textId="6D40C750" w:rsidR="000058F1" w:rsidRPr="002A75F2" w:rsidRDefault="000058F1" w:rsidP="000058F1">
      <w:pPr>
        <w:numPr>
          <w:ilvl w:val="0"/>
          <w:numId w:val="43"/>
        </w:numPr>
        <w:rPr>
          <w:rFonts w:cs="Arial"/>
        </w:rPr>
      </w:pPr>
      <w:r w:rsidRPr="002A75F2">
        <w:rPr>
          <w:rFonts w:cs="Arial"/>
        </w:rPr>
        <w:t>documents regarding the owners of the property;</w:t>
      </w:r>
      <w:r w:rsidR="008B496F" w:rsidRPr="002A75F2">
        <w:rPr>
          <w:rFonts w:cs="Arial"/>
        </w:rPr>
        <w:t xml:space="preserve"> and</w:t>
      </w:r>
    </w:p>
    <w:p w14:paraId="026899D9" w14:textId="77777777" w:rsidR="000058F1" w:rsidRPr="002A75F2" w:rsidRDefault="000058F1" w:rsidP="000058F1">
      <w:pPr>
        <w:numPr>
          <w:ilvl w:val="0"/>
          <w:numId w:val="43"/>
        </w:numPr>
        <w:rPr>
          <w:rFonts w:cs="Arial"/>
        </w:rPr>
      </w:pPr>
      <w:r w:rsidRPr="002A75F2">
        <w:rPr>
          <w:rFonts w:cs="Arial"/>
        </w:rPr>
        <w:t>other necessary documents.</w:t>
      </w:r>
    </w:p>
    <w:p w14:paraId="01E2C2D2" w14:textId="42CD7960" w:rsidR="000058F1" w:rsidRPr="002A75F2" w:rsidRDefault="000058F1" w:rsidP="0067367A">
      <w:pPr>
        <w:rPr>
          <w:rFonts w:cs="Arial"/>
        </w:rPr>
      </w:pPr>
      <w:r w:rsidRPr="002A75F2">
        <w:rPr>
          <w:rFonts w:cs="Arial"/>
        </w:rPr>
        <w:t xml:space="preserve">Please refer to Appendix </w:t>
      </w:r>
      <w:r w:rsidR="00C57721" w:rsidRPr="002A75F2">
        <w:rPr>
          <w:rFonts w:cs="Arial"/>
        </w:rPr>
        <w:t>A</w:t>
      </w:r>
      <w:r w:rsidRPr="002A75F2">
        <w:rPr>
          <w:rFonts w:cs="Arial"/>
        </w:rPr>
        <w:t xml:space="preserve"> for a suggested template for the lawyer’s letter.</w:t>
      </w:r>
    </w:p>
    <w:p w14:paraId="7358B37A" w14:textId="6B0B019A" w:rsidR="00C56F82" w:rsidRPr="002A75F2" w:rsidRDefault="00C56F82" w:rsidP="0067367A">
      <w:pPr>
        <w:rPr>
          <w:rFonts w:cs="Arial"/>
        </w:rPr>
      </w:pPr>
      <w:r w:rsidRPr="002A75F2">
        <w:rPr>
          <w:rFonts w:cs="Arial"/>
        </w:rPr>
        <w:t xml:space="preserve">Note that in most cases, the phase two </w:t>
      </w:r>
      <w:r w:rsidR="00625BEA" w:rsidRPr="002A75F2">
        <w:rPr>
          <w:rFonts w:cs="Arial"/>
        </w:rPr>
        <w:t xml:space="preserve">ESA </w:t>
      </w:r>
      <w:r w:rsidRPr="002A75F2">
        <w:rPr>
          <w:rFonts w:cs="Arial"/>
        </w:rPr>
        <w:t xml:space="preserve">property, RA property and RSC property </w:t>
      </w:r>
      <w:r w:rsidR="00C57721" w:rsidRPr="002A75F2">
        <w:rPr>
          <w:rFonts w:cs="Arial"/>
        </w:rPr>
        <w:t>all have the same vertical boundaries</w:t>
      </w:r>
      <w:r w:rsidRPr="002A75F2">
        <w:rPr>
          <w:rFonts w:cs="Arial"/>
        </w:rPr>
        <w:t xml:space="preserve">, and </w:t>
      </w:r>
      <w:r w:rsidR="00C57721" w:rsidRPr="002A75F2">
        <w:rPr>
          <w:rFonts w:cs="Arial"/>
        </w:rPr>
        <w:t xml:space="preserve">are </w:t>
      </w:r>
      <w:r w:rsidR="00171E4E" w:rsidRPr="002A75F2">
        <w:rPr>
          <w:rFonts w:cs="Arial"/>
        </w:rPr>
        <w:t xml:space="preserve">owned by a </w:t>
      </w:r>
      <w:r w:rsidRPr="002A75F2">
        <w:rPr>
          <w:rFonts w:cs="Arial"/>
        </w:rPr>
        <w:t xml:space="preserve">single entity throughout the </w:t>
      </w:r>
      <w:r w:rsidR="003D407C" w:rsidRPr="002A75F2">
        <w:rPr>
          <w:rFonts w:cs="Arial"/>
        </w:rPr>
        <w:t>risk assessment</w:t>
      </w:r>
      <w:r w:rsidRPr="002A75F2">
        <w:rPr>
          <w:rFonts w:cs="Arial"/>
        </w:rPr>
        <w:t xml:space="preserve"> process. In cases where the phase two</w:t>
      </w:r>
      <w:r w:rsidR="00625BEA" w:rsidRPr="002A75F2">
        <w:rPr>
          <w:rFonts w:cs="Arial"/>
        </w:rPr>
        <w:t xml:space="preserve"> ESA</w:t>
      </w:r>
      <w:r w:rsidRPr="002A75F2">
        <w:rPr>
          <w:rFonts w:cs="Arial"/>
        </w:rPr>
        <w:t xml:space="preserve">, RA and RSC properties </w:t>
      </w:r>
      <w:r w:rsidR="00C57721" w:rsidRPr="002A75F2">
        <w:rPr>
          <w:rFonts w:cs="Arial"/>
        </w:rPr>
        <w:t xml:space="preserve">do not have the same vertical boundaries </w:t>
      </w:r>
      <w:r w:rsidR="00611C2B" w:rsidRPr="002A75F2">
        <w:rPr>
          <w:rFonts w:cs="Arial"/>
        </w:rPr>
        <w:t>(e.g. multiple RSCs will be sought for the RA property)</w:t>
      </w:r>
      <w:r w:rsidRPr="002A75F2">
        <w:rPr>
          <w:rFonts w:cs="Arial"/>
        </w:rPr>
        <w:t xml:space="preserve">, or in cases where property ownership is more complex (e.g. multiple owners of </w:t>
      </w:r>
      <w:r w:rsidR="00611C2B" w:rsidRPr="002A75F2">
        <w:rPr>
          <w:rFonts w:cs="Arial"/>
        </w:rPr>
        <w:t xml:space="preserve">the </w:t>
      </w:r>
      <w:r w:rsidRPr="002A75F2">
        <w:rPr>
          <w:rFonts w:cs="Arial"/>
        </w:rPr>
        <w:t xml:space="preserve">RA property), </w:t>
      </w:r>
      <w:r w:rsidR="00611C2B" w:rsidRPr="002A75F2">
        <w:rPr>
          <w:rFonts w:cs="Arial"/>
        </w:rPr>
        <w:lastRenderedPageBreak/>
        <w:t xml:space="preserve">this </w:t>
      </w:r>
      <w:r w:rsidR="002E4B17" w:rsidRPr="002A75F2">
        <w:rPr>
          <w:rFonts w:cs="Arial"/>
        </w:rPr>
        <w:t xml:space="preserve">must </w:t>
      </w:r>
      <w:r w:rsidR="00611C2B" w:rsidRPr="002A75F2">
        <w:rPr>
          <w:rFonts w:cs="Arial"/>
        </w:rPr>
        <w:t xml:space="preserve">be </w:t>
      </w:r>
      <w:r w:rsidRPr="002A75F2">
        <w:rPr>
          <w:rFonts w:cs="Arial"/>
        </w:rPr>
        <w:t>clearly identif</w:t>
      </w:r>
      <w:r w:rsidR="00611C2B" w:rsidRPr="002A75F2">
        <w:rPr>
          <w:rFonts w:cs="Arial"/>
        </w:rPr>
        <w:t>ied</w:t>
      </w:r>
      <w:r w:rsidRPr="002A75F2">
        <w:rPr>
          <w:rFonts w:cs="Arial"/>
        </w:rPr>
        <w:t xml:space="preserve"> in the PSF</w:t>
      </w:r>
      <w:r w:rsidR="00C57721" w:rsidRPr="002A75F2">
        <w:rPr>
          <w:rFonts w:cs="Arial"/>
        </w:rPr>
        <w:t xml:space="preserve"> and thoroughly explained in the lawyer’s letter</w:t>
      </w:r>
      <w:r w:rsidRPr="002A75F2">
        <w:rPr>
          <w:rFonts w:cs="Arial"/>
        </w:rPr>
        <w:t xml:space="preserve">. As these circumstances may limit the possible approaches taken in the </w:t>
      </w:r>
      <w:r w:rsidR="003D407C" w:rsidRPr="002A75F2">
        <w:rPr>
          <w:rFonts w:cs="Arial"/>
        </w:rPr>
        <w:t>risk assessment</w:t>
      </w:r>
      <w:r w:rsidRPr="002A75F2">
        <w:rPr>
          <w:rFonts w:cs="Arial"/>
        </w:rPr>
        <w:t xml:space="preserve"> and </w:t>
      </w:r>
      <w:r w:rsidR="00611C2B" w:rsidRPr="002A75F2">
        <w:rPr>
          <w:rFonts w:cs="Arial"/>
        </w:rPr>
        <w:t xml:space="preserve">ultimately </w:t>
      </w:r>
      <w:r w:rsidRPr="002A75F2">
        <w:rPr>
          <w:rFonts w:cs="Arial"/>
        </w:rPr>
        <w:t>the a</w:t>
      </w:r>
      <w:r w:rsidR="00611C2B" w:rsidRPr="002A75F2">
        <w:rPr>
          <w:rFonts w:cs="Arial"/>
        </w:rPr>
        <w:t xml:space="preserve">bility to </w:t>
      </w:r>
      <w:r w:rsidR="00C57721" w:rsidRPr="002A75F2">
        <w:rPr>
          <w:rFonts w:cs="Arial"/>
        </w:rPr>
        <w:t xml:space="preserve">have RSC(s) filed in the Environmental Site Registry, </w:t>
      </w:r>
      <w:r w:rsidR="00611C2B" w:rsidRPr="002A75F2">
        <w:rPr>
          <w:rFonts w:cs="Arial"/>
        </w:rPr>
        <w:t>a</w:t>
      </w:r>
      <w:r w:rsidRPr="002A75F2">
        <w:rPr>
          <w:rFonts w:cs="Arial"/>
        </w:rPr>
        <w:t xml:space="preserve">dditional consultation with the Ministry </w:t>
      </w:r>
      <w:r w:rsidR="002E4B17" w:rsidRPr="002A75F2">
        <w:rPr>
          <w:rFonts w:cs="Arial"/>
        </w:rPr>
        <w:t>may be required in some cases.</w:t>
      </w:r>
    </w:p>
    <w:p w14:paraId="2CEA4135" w14:textId="77777777" w:rsidR="004C6927" w:rsidRPr="002A75F2" w:rsidRDefault="004C6927" w:rsidP="0067367A">
      <w:pPr>
        <w:rPr>
          <w:rFonts w:cs="Arial"/>
        </w:rPr>
      </w:pPr>
      <w:r w:rsidRPr="002A75F2">
        <w:rPr>
          <w:rFonts w:cs="Arial"/>
        </w:rPr>
        <w:t xml:space="preserve">In addition to the above, note that in cases where there is more than one owner of the RA property, each owner must be identified in the appropriate section of the PSF and must sign the PSF. </w:t>
      </w:r>
    </w:p>
    <w:p w14:paraId="31D46433" w14:textId="5A21732B" w:rsidR="002A1FD1" w:rsidRPr="002A75F2" w:rsidRDefault="002A1FD1" w:rsidP="00DE496B">
      <w:pPr>
        <w:pStyle w:val="Heading3"/>
        <w:rPr>
          <w:rFonts w:cs="Arial"/>
        </w:rPr>
      </w:pPr>
      <w:bookmarkStart w:id="73" w:name="_Toc41905652"/>
      <w:r w:rsidRPr="002A75F2">
        <w:rPr>
          <w:rFonts w:cs="Arial"/>
        </w:rPr>
        <w:t>Risk Assessment Approach</w:t>
      </w:r>
      <w:bookmarkEnd w:id="73"/>
    </w:p>
    <w:p w14:paraId="3C14B91E" w14:textId="0FEAF27F" w:rsidR="00407EFC" w:rsidRPr="002A75F2" w:rsidRDefault="00C7527A" w:rsidP="00407EFC">
      <w:pPr>
        <w:rPr>
          <w:rFonts w:cs="Arial"/>
        </w:rPr>
      </w:pPr>
      <w:r w:rsidRPr="002A75F2">
        <w:rPr>
          <w:rFonts w:cs="Arial"/>
        </w:rPr>
        <w:t xml:space="preserve">The Ministry’s risk assessment program identifies two </w:t>
      </w:r>
      <w:r w:rsidR="00D16E0E" w:rsidRPr="002A75F2">
        <w:rPr>
          <w:rFonts w:cs="Arial"/>
        </w:rPr>
        <w:t xml:space="preserve">main </w:t>
      </w:r>
      <w:r w:rsidRPr="002A75F2">
        <w:rPr>
          <w:rFonts w:cs="Arial"/>
        </w:rPr>
        <w:t>risk assessment approaches: Tier 2 and Tier 3. Schedule C</w:t>
      </w:r>
      <w:r w:rsidR="00113832" w:rsidRPr="002A75F2">
        <w:rPr>
          <w:rFonts w:cs="Arial"/>
        </w:rPr>
        <w:t xml:space="preserve"> of</w:t>
      </w:r>
      <w:r w:rsidRPr="002A75F2">
        <w:rPr>
          <w:rFonts w:cs="Arial"/>
        </w:rPr>
        <w:t xml:space="preserve"> the Regulation provides additional </w:t>
      </w:r>
      <w:r w:rsidR="00FB5924" w:rsidRPr="002A75F2">
        <w:rPr>
          <w:rFonts w:cs="Arial"/>
        </w:rPr>
        <w:t>details regarding the different type</w:t>
      </w:r>
      <w:r w:rsidR="00113832" w:rsidRPr="002A75F2">
        <w:rPr>
          <w:rFonts w:cs="Arial"/>
        </w:rPr>
        <w:t>s</w:t>
      </w:r>
      <w:r w:rsidR="00FB5924" w:rsidRPr="002A75F2">
        <w:rPr>
          <w:rFonts w:cs="Arial"/>
        </w:rPr>
        <w:t xml:space="preserve"> of risk assessment (e.g. standard risk assessment, limited scope risk assessment (which includes MGRA/Tier</w:t>
      </w:r>
      <w:r w:rsidR="00B36140" w:rsidRPr="002A75F2">
        <w:rPr>
          <w:rFonts w:cs="Arial"/>
        </w:rPr>
        <w:t xml:space="preserve"> </w:t>
      </w:r>
      <w:r w:rsidR="00FB5924" w:rsidRPr="002A75F2">
        <w:rPr>
          <w:rFonts w:cs="Arial"/>
        </w:rPr>
        <w:t>2), estimation of natural local background concentration risk assessment, wider area of abatement risk assessment)</w:t>
      </w:r>
      <w:r w:rsidR="00D65A47" w:rsidRPr="002A75F2">
        <w:rPr>
          <w:rFonts w:cs="Arial"/>
        </w:rPr>
        <w:t xml:space="preserve"> conducted under the Regulation</w:t>
      </w:r>
      <w:r w:rsidR="00FB5924" w:rsidRPr="002A75F2">
        <w:rPr>
          <w:rFonts w:cs="Arial"/>
        </w:rPr>
        <w:t>. At the PSF stage, the QP</w:t>
      </w:r>
      <w:r w:rsidR="00FB5924" w:rsidRPr="002A75F2">
        <w:rPr>
          <w:rFonts w:cs="Arial"/>
          <w:vertAlign w:val="subscript"/>
        </w:rPr>
        <w:t>RA</w:t>
      </w:r>
      <w:r w:rsidR="00FB5924" w:rsidRPr="002A75F2">
        <w:rPr>
          <w:rFonts w:cs="Arial"/>
        </w:rPr>
        <w:t xml:space="preserve"> must identify the proposed risk assessment approach</w:t>
      </w:r>
      <w:r w:rsidR="00407EFC" w:rsidRPr="002A75F2">
        <w:rPr>
          <w:rFonts w:cs="Arial"/>
        </w:rPr>
        <w:t xml:space="preserve">; this requirement is specified in: </w:t>
      </w:r>
    </w:p>
    <w:p w14:paraId="020E7D68" w14:textId="77777777" w:rsidR="00407EFC" w:rsidRPr="002A75F2" w:rsidRDefault="00407EFC" w:rsidP="00A47B50">
      <w:pPr>
        <w:numPr>
          <w:ilvl w:val="0"/>
          <w:numId w:val="22"/>
        </w:numPr>
        <w:shd w:val="clear" w:color="auto" w:fill="D9D9D9"/>
        <w:rPr>
          <w:rFonts w:cs="Arial"/>
        </w:rPr>
      </w:pPr>
      <w:r w:rsidRPr="002A75F2">
        <w:rPr>
          <w:rFonts w:cs="Arial"/>
        </w:rPr>
        <w:t>Subsections 3 (6) of Schedule C</w:t>
      </w:r>
    </w:p>
    <w:p w14:paraId="00EDB987" w14:textId="0DF71FA6" w:rsidR="00C7527A" w:rsidRPr="002A75F2" w:rsidRDefault="00C7527A" w:rsidP="0067367A">
      <w:pPr>
        <w:rPr>
          <w:rFonts w:cs="Arial"/>
        </w:rPr>
      </w:pPr>
      <w:r w:rsidRPr="002A75F2">
        <w:rPr>
          <w:rFonts w:cs="Arial"/>
        </w:rPr>
        <w:t xml:space="preserve">The different types of risk assessment approaches are discussed in further detail in Section 9 of this </w:t>
      </w:r>
      <w:r w:rsidR="008C5708" w:rsidRPr="002A75F2">
        <w:rPr>
          <w:rFonts w:cs="Arial"/>
        </w:rPr>
        <w:t>P</w:t>
      </w:r>
      <w:r w:rsidRPr="002A75F2">
        <w:rPr>
          <w:rFonts w:cs="Arial"/>
        </w:rPr>
        <w:t>rocedures document.</w:t>
      </w:r>
    </w:p>
    <w:p w14:paraId="3AF3331B" w14:textId="3D00B39F" w:rsidR="00C56F82" w:rsidRPr="002A75F2" w:rsidRDefault="00C56F82" w:rsidP="00DE496B">
      <w:pPr>
        <w:pStyle w:val="Heading3"/>
        <w:rPr>
          <w:rFonts w:cs="Arial"/>
        </w:rPr>
      </w:pPr>
      <w:bookmarkStart w:id="74" w:name="_Toc41905653"/>
      <w:r w:rsidRPr="002A75F2">
        <w:rPr>
          <w:rFonts w:cs="Arial"/>
        </w:rPr>
        <w:t>Conceptual Site Model</w:t>
      </w:r>
      <w:bookmarkEnd w:id="74"/>
    </w:p>
    <w:p w14:paraId="1EFC7317" w14:textId="3C80D0D0" w:rsidR="0067367A" w:rsidRPr="002A75F2" w:rsidRDefault="0067367A" w:rsidP="0067367A">
      <w:pPr>
        <w:rPr>
          <w:rFonts w:cs="Arial"/>
        </w:rPr>
      </w:pPr>
      <w:r w:rsidRPr="002A75F2">
        <w:rPr>
          <w:rFonts w:cs="Arial"/>
          <w:lang w:val="en-CA"/>
        </w:rPr>
        <w:t xml:space="preserve">Explanatory notes should be provided to the extent necessary for the reader to understand </w:t>
      </w:r>
      <w:r w:rsidRPr="002A75F2">
        <w:rPr>
          <w:rFonts w:cs="Arial"/>
        </w:rPr>
        <w:t>the hazards, transport and exposure pathways, receptors and key site data on which the risk assessment approach is based, and including the rationale for why receptors will or will not be exposed to the contaminated media, with and without risk management, and the type of risk management which is contemplated.</w:t>
      </w:r>
    </w:p>
    <w:p w14:paraId="55D7E962" w14:textId="4365B533" w:rsidR="0067367A" w:rsidRPr="002A75F2" w:rsidRDefault="00736F0F" w:rsidP="0067367A">
      <w:pPr>
        <w:rPr>
          <w:rFonts w:cs="Arial"/>
        </w:rPr>
      </w:pPr>
      <w:r w:rsidRPr="002A75F2">
        <w:rPr>
          <w:rFonts w:cs="Arial"/>
        </w:rPr>
        <w:t>Clearly describing the proposed conceptual site model in the PSF is key to obtaining useful Ministry comment.</w:t>
      </w:r>
      <w:r w:rsidR="0067367A" w:rsidRPr="002A75F2">
        <w:rPr>
          <w:rFonts w:cs="Arial"/>
        </w:rPr>
        <w:t xml:space="preserve"> The complete requirements of the Regulation with respect to the PSF and attached drawings are specified in section 3 of Schedule C.</w:t>
      </w:r>
    </w:p>
    <w:p w14:paraId="57213F00" w14:textId="77777777" w:rsidR="0067367A" w:rsidRPr="002A75F2" w:rsidRDefault="0067367A" w:rsidP="0067367A">
      <w:pPr>
        <w:rPr>
          <w:rFonts w:cs="Arial"/>
        </w:rPr>
      </w:pPr>
      <w:r w:rsidRPr="002A75F2">
        <w:rPr>
          <w:rFonts w:cs="Arial"/>
        </w:rPr>
        <w:t xml:space="preserve">The </w:t>
      </w:r>
      <w:r w:rsidR="00203173" w:rsidRPr="002A75F2">
        <w:rPr>
          <w:rFonts w:cs="Arial"/>
        </w:rPr>
        <w:t>c</w:t>
      </w:r>
      <w:r w:rsidRPr="002A75F2">
        <w:rPr>
          <w:rFonts w:cs="Arial"/>
        </w:rPr>
        <w:t xml:space="preserve">onceptual </w:t>
      </w:r>
      <w:r w:rsidR="00203173" w:rsidRPr="002A75F2">
        <w:rPr>
          <w:rFonts w:cs="Arial"/>
        </w:rPr>
        <w:t>s</w:t>
      </w:r>
      <w:r w:rsidRPr="002A75F2">
        <w:rPr>
          <w:rFonts w:cs="Arial"/>
        </w:rPr>
        <w:t xml:space="preserve">ite </w:t>
      </w:r>
      <w:r w:rsidR="00203173" w:rsidRPr="002A75F2">
        <w:rPr>
          <w:rFonts w:cs="Arial"/>
        </w:rPr>
        <w:t>m</w:t>
      </w:r>
      <w:r w:rsidRPr="002A75F2">
        <w:rPr>
          <w:rFonts w:cs="Arial"/>
        </w:rPr>
        <w:t>odel can be broken down into the following parts:</w:t>
      </w:r>
    </w:p>
    <w:p w14:paraId="317ABA25" w14:textId="11299423" w:rsidR="0067367A" w:rsidRPr="002A75F2" w:rsidRDefault="00DB533E" w:rsidP="00A47B50">
      <w:pPr>
        <w:numPr>
          <w:ilvl w:val="0"/>
          <w:numId w:val="28"/>
        </w:numPr>
        <w:rPr>
          <w:rFonts w:cs="Arial"/>
        </w:rPr>
      </w:pPr>
      <w:r w:rsidRPr="002A75F2">
        <w:rPr>
          <w:rFonts w:cs="Arial"/>
        </w:rPr>
        <w:t>P</w:t>
      </w:r>
      <w:r w:rsidR="00760C90" w:rsidRPr="002A75F2">
        <w:rPr>
          <w:rFonts w:cs="Arial"/>
        </w:rPr>
        <w:t>hase two</w:t>
      </w:r>
      <w:r w:rsidR="008A78E1" w:rsidRPr="002A75F2">
        <w:rPr>
          <w:rFonts w:cs="Arial"/>
        </w:rPr>
        <w:t xml:space="preserve"> c</w:t>
      </w:r>
      <w:r w:rsidR="0067367A" w:rsidRPr="002A75F2">
        <w:rPr>
          <w:rFonts w:cs="Arial"/>
        </w:rPr>
        <w:t>onceptual site model;</w:t>
      </w:r>
      <w:r w:rsidR="00046A5F" w:rsidRPr="002A75F2">
        <w:rPr>
          <w:rFonts w:cs="Arial"/>
        </w:rPr>
        <w:t xml:space="preserve"> </w:t>
      </w:r>
    </w:p>
    <w:p w14:paraId="4C43DA6F" w14:textId="77777777" w:rsidR="00760C90" w:rsidRPr="002A75F2" w:rsidRDefault="00DB533E" w:rsidP="00A47B50">
      <w:pPr>
        <w:numPr>
          <w:ilvl w:val="0"/>
          <w:numId w:val="28"/>
        </w:numPr>
        <w:rPr>
          <w:rFonts w:cs="Arial"/>
        </w:rPr>
      </w:pPr>
      <w:r w:rsidRPr="002A75F2">
        <w:rPr>
          <w:rFonts w:cs="Arial"/>
        </w:rPr>
        <w:t>H</w:t>
      </w:r>
      <w:r w:rsidR="0067367A" w:rsidRPr="002A75F2">
        <w:rPr>
          <w:rFonts w:cs="Arial"/>
        </w:rPr>
        <w:t xml:space="preserve">uman health </w:t>
      </w:r>
      <w:r w:rsidR="00760C90" w:rsidRPr="002A75F2">
        <w:rPr>
          <w:rFonts w:cs="Arial"/>
        </w:rPr>
        <w:t>conceptual site model; and</w:t>
      </w:r>
    </w:p>
    <w:p w14:paraId="621FA89E" w14:textId="77777777" w:rsidR="0067367A" w:rsidRPr="002A75F2" w:rsidRDefault="00DB533E" w:rsidP="00A47B50">
      <w:pPr>
        <w:numPr>
          <w:ilvl w:val="0"/>
          <w:numId w:val="28"/>
        </w:numPr>
        <w:rPr>
          <w:rFonts w:cs="Arial"/>
        </w:rPr>
      </w:pPr>
      <w:r w:rsidRPr="002A75F2">
        <w:rPr>
          <w:rFonts w:cs="Arial"/>
        </w:rPr>
        <w:t>E</w:t>
      </w:r>
      <w:r w:rsidR="00046A5F" w:rsidRPr="002A75F2">
        <w:rPr>
          <w:rFonts w:cs="Arial"/>
        </w:rPr>
        <w:t xml:space="preserve">cological </w:t>
      </w:r>
      <w:r w:rsidR="0067367A" w:rsidRPr="002A75F2">
        <w:rPr>
          <w:rFonts w:cs="Arial"/>
        </w:rPr>
        <w:t>conceptual site model</w:t>
      </w:r>
      <w:r w:rsidR="00760C90" w:rsidRPr="002A75F2">
        <w:rPr>
          <w:rFonts w:cs="Arial"/>
        </w:rPr>
        <w:t>.</w:t>
      </w:r>
    </w:p>
    <w:p w14:paraId="73949C7F" w14:textId="77777777" w:rsidR="0067367A" w:rsidRPr="002A75F2" w:rsidRDefault="0067367A" w:rsidP="0067367A">
      <w:pPr>
        <w:rPr>
          <w:rFonts w:cs="Arial"/>
        </w:rPr>
      </w:pPr>
      <w:r w:rsidRPr="002A75F2">
        <w:rPr>
          <w:rFonts w:cs="Arial"/>
        </w:rPr>
        <w:t xml:space="preserve">The </w:t>
      </w:r>
      <w:r w:rsidR="00760C90" w:rsidRPr="002A75F2">
        <w:rPr>
          <w:rFonts w:cs="Arial"/>
        </w:rPr>
        <w:t xml:space="preserve">different parts of the </w:t>
      </w:r>
      <w:r w:rsidR="00203173" w:rsidRPr="002A75F2">
        <w:rPr>
          <w:rFonts w:cs="Arial"/>
        </w:rPr>
        <w:t>c</w:t>
      </w:r>
      <w:r w:rsidRPr="002A75F2">
        <w:rPr>
          <w:rFonts w:cs="Arial"/>
        </w:rPr>
        <w:t xml:space="preserve">onceptual </w:t>
      </w:r>
      <w:r w:rsidR="00203173" w:rsidRPr="002A75F2">
        <w:rPr>
          <w:rFonts w:cs="Arial"/>
        </w:rPr>
        <w:t>s</w:t>
      </w:r>
      <w:r w:rsidRPr="002A75F2">
        <w:rPr>
          <w:rFonts w:cs="Arial"/>
        </w:rPr>
        <w:t xml:space="preserve">ite </w:t>
      </w:r>
      <w:r w:rsidR="00203173" w:rsidRPr="002A75F2">
        <w:rPr>
          <w:rFonts w:cs="Arial"/>
        </w:rPr>
        <w:t>m</w:t>
      </w:r>
      <w:r w:rsidRPr="002A75F2">
        <w:rPr>
          <w:rFonts w:cs="Arial"/>
        </w:rPr>
        <w:t xml:space="preserve">odel </w:t>
      </w:r>
      <w:r w:rsidR="00760C90" w:rsidRPr="002A75F2">
        <w:rPr>
          <w:rFonts w:cs="Arial"/>
        </w:rPr>
        <w:t xml:space="preserve">are further </w:t>
      </w:r>
      <w:r w:rsidRPr="002A75F2">
        <w:rPr>
          <w:rFonts w:cs="Arial"/>
        </w:rPr>
        <w:t xml:space="preserve">discussed </w:t>
      </w:r>
      <w:r w:rsidR="00760C90" w:rsidRPr="002A75F2">
        <w:rPr>
          <w:rFonts w:cs="Arial"/>
        </w:rPr>
        <w:t>below</w:t>
      </w:r>
      <w:r w:rsidRPr="002A75F2">
        <w:rPr>
          <w:rFonts w:cs="Arial"/>
        </w:rPr>
        <w:t>.</w:t>
      </w:r>
    </w:p>
    <w:p w14:paraId="2744B1F1" w14:textId="18525C44" w:rsidR="00E93FE0" w:rsidRPr="002A75F2" w:rsidRDefault="00760C90" w:rsidP="00DE496B">
      <w:pPr>
        <w:pStyle w:val="Heading3"/>
        <w:rPr>
          <w:rFonts w:cs="Arial"/>
        </w:rPr>
      </w:pPr>
      <w:bookmarkStart w:id="75" w:name="_Toc41905654"/>
      <w:r w:rsidRPr="002A75F2">
        <w:rPr>
          <w:rFonts w:cs="Arial"/>
        </w:rPr>
        <w:t>Phase Two</w:t>
      </w:r>
      <w:r w:rsidR="006F25DD" w:rsidRPr="002A75F2">
        <w:rPr>
          <w:rFonts w:cs="Arial"/>
        </w:rPr>
        <w:t xml:space="preserve"> Conceptual Site Model</w:t>
      </w:r>
      <w:bookmarkEnd w:id="75"/>
    </w:p>
    <w:p w14:paraId="116B437E" w14:textId="2FE52ECF" w:rsidR="007040F8" w:rsidRPr="002A75F2" w:rsidRDefault="000A21A7" w:rsidP="00840964">
      <w:pPr>
        <w:rPr>
          <w:rFonts w:cs="Arial"/>
        </w:rPr>
      </w:pPr>
      <w:r w:rsidRPr="002A75F2">
        <w:rPr>
          <w:rFonts w:cs="Arial"/>
        </w:rPr>
        <w:t xml:space="preserve">The purpose of the phase two conceptual site model is to </w:t>
      </w:r>
      <w:r w:rsidR="00EA04AC" w:rsidRPr="002A75F2">
        <w:rPr>
          <w:rFonts w:cs="Arial"/>
        </w:rPr>
        <w:t>summarize</w:t>
      </w:r>
      <w:r w:rsidRPr="002A75F2">
        <w:rPr>
          <w:rFonts w:cs="Arial"/>
        </w:rPr>
        <w:t xml:space="preserve"> the information on site characterization based on results of the completed phase one ESA and phase two ESA, and any other investigations that may have been conducted</w:t>
      </w:r>
      <w:bookmarkStart w:id="76" w:name="_Hlk35425963"/>
      <w:r w:rsidRPr="002A75F2">
        <w:rPr>
          <w:rFonts w:cs="Arial"/>
        </w:rPr>
        <w:t>.</w:t>
      </w:r>
      <w:r w:rsidR="005362BD" w:rsidRPr="002A75F2">
        <w:rPr>
          <w:rFonts w:cs="Arial"/>
        </w:rPr>
        <w:t xml:space="preserve"> </w:t>
      </w:r>
      <w:r w:rsidRPr="002A75F2">
        <w:rPr>
          <w:rFonts w:cs="Arial"/>
        </w:rPr>
        <w:t>At the PSF stage, the requirements for the phase two conceptual site model</w:t>
      </w:r>
      <w:r w:rsidR="007F45F0" w:rsidRPr="002A75F2">
        <w:rPr>
          <w:rFonts w:cs="Arial"/>
        </w:rPr>
        <w:t xml:space="preserve"> </w:t>
      </w:r>
      <w:r w:rsidRPr="002A75F2">
        <w:rPr>
          <w:rFonts w:cs="Arial"/>
        </w:rPr>
        <w:t>are</w:t>
      </w:r>
      <w:r w:rsidR="007040F8" w:rsidRPr="002A75F2">
        <w:rPr>
          <w:rFonts w:cs="Arial"/>
        </w:rPr>
        <w:t xml:space="preserve"> specified in:</w:t>
      </w:r>
    </w:p>
    <w:p w14:paraId="5B09038D" w14:textId="77777777" w:rsidR="007040F8" w:rsidRPr="002A75F2" w:rsidRDefault="007040F8" w:rsidP="00A47B50">
      <w:pPr>
        <w:numPr>
          <w:ilvl w:val="0"/>
          <w:numId w:val="22"/>
        </w:numPr>
        <w:shd w:val="clear" w:color="auto" w:fill="D9D9D9"/>
        <w:rPr>
          <w:rFonts w:cs="Arial"/>
        </w:rPr>
      </w:pPr>
      <w:r w:rsidRPr="002A75F2">
        <w:rPr>
          <w:rFonts w:cs="Arial"/>
        </w:rPr>
        <w:lastRenderedPageBreak/>
        <w:t>Subsections 3 (8)(a) to (a.4) of Schedule C</w:t>
      </w:r>
    </w:p>
    <w:p w14:paraId="03DA1CB5" w14:textId="77777777" w:rsidR="00760C90" w:rsidRPr="002A75F2" w:rsidRDefault="007040F8" w:rsidP="00840964">
      <w:pPr>
        <w:rPr>
          <w:rFonts w:cs="Arial"/>
        </w:rPr>
      </w:pPr>
      <w:bookmarkStart w:id="77" w:name="_Hlk35533511"/>
      <w:r w:rsidRPr="002A75F2">
        <w:rPr>
          <w:rFonts w:cs="Arial"/>
        </w:rPr>
        <w:t>The</w:t>
      </w:r>
      <w:r w:rsidR="008A78E1" w:rsidRPr="002A75F2">
        <w:rPr>
          <w:rFonts w:cs="Arial"/>
        </w:rPr>
        <w:t>s</w:t>
      </w:r>
      <w:r w:rsidRPr="002A75F2">
        <w:rPr>
          <w:rFonts w:cs="Arial"/>
        </w:rPr>
        <w:t xml:space="preserve">e requirements </w:t>
      </w:r>
      <w:r w:rsidR="00203173" w:rsidRPr="002A75F2">
        <w:rPr>
          <w:rFonts w:cs="Arial"/>
        </w:rPr>
        <w:t xml:space="preserve">mirror the phase two </w:t>
      </w:r>
      <w:r w:rsidR="002806D0" w:rsidRPr="002A75F2">
        <w:rPr>
          <w:rFonts w:cs="Arial"/>
        </w:rPr>
        <w:t xml:space="preserve">ESA </w:t>
      </w:r>
      <w:r w:rsidR="005825A4" w:rsidRPr="002A75F2">
        <w:rPr>
          <w:rFonts w:cs="Arial"/>
        </w:rPr>
        <w:t>rep</w:t>
      </w:r>
      <w:r w:rsidR="004F608F" w:rsidRPr="002A75F2">
        <w:rPr>
          <w:rFonts w:cs="Arial"/>
        </w:rPr>
        <w:t>o</w:t>
      </w:r>
      <w:r w:rsidR="005825A4" w:rsidRPr="002A75F2">
        <w:rPr>
          <w:rFonts w:cs="Arial"/>
        </w:rPr>
        <w:t xml:space="preserve">rting </w:t>
      </w:r>
      <w:bookmarkEnd w:id="76"/>
      <w:r w:rsidR="00203173" w:rsidRPr="002A75F2">
        <w:rPr>
          <w:rFonts w:cs="Arial"/>
        </w:rPr>
        <w:t xml:space="preserve">requirements for the phase two conceptual site model </w:t>
      </w:r>
      <w:r w:rsidR="005825A4" w:rsidRPr="002A75F2">
        <w:rPr>
          <w:rFonts w:cs="Arial"/>
        </w:rPr>
        <w:t xml:space="preserve">specified </w:t>
      </w:r>
      <w:r w:rsidR="00760C90" w:rsidRPr="002A75F2">
        <w:rPr>
          <w:rFonts w:cs="Arial"/>
        </w:rPr>
        <w:t>in Schedule E of the Regulation:</w:t>
      </w:r>
    </w:p>
    <w:p w14:paraId="618BEF1E" w14:textId="77777777" w:rsidR="00760C90" w:rsidRPr="002A75F2" w:rsidRDefault="00760C90" w:rsidP="00A47B50">
      <w:pPr>
        <w:numPr>
          <w:ilvl w:val="0"/>
          <w:numId w:val="22"/>
        </w:numPr>
        <w:shd w:val="clear" w:color="auto" w:fill="D9D9D9"/>
        <w:rPr>
          <w:rFonts w:cs="Arial"/>
        </w:rPr>
      </w:pPr>
      <w:r w:rsidRPr="002A75F2">
        <w:rPr>
          <w:rFonts w:cs="Arial"/>
        </w:rPr>
        <w:t>Table 1 of Schedule E (Section 6. Review and Evaluation</w:t>
      </w:r>
      <w:r w:rsidR="0026122B" w:rsidRPr="002A75F2">
        <w:rPr>
          <w:rFonts w:cs="Arial"/>
        </w:rPr>
        <w:t>)</w:t>
      </w:r>
    </w:p>
    <w:bookmarkEnd w:id="77"/>
    <w:p w14:paraId="506147E9" w14:textId="77777777" w:rsidR="00596AD3" w:rsidRPr="002A75F2" w:rsidRDefault="00861068" w:rsidP="00840964">
      <w:pPr>
        <w:rPr>
          <w:rFonts w:cs="Arial"/>
        </w:rPr>
      </w:pPr>
      <w:r w:rsidRPr="002A75F2">
        <w:rPr>
          <w:rFonts w:cs="Arial"/>
        </w:rPr>
        <w:t>For this reason, p</w:t>
      </w:r>
      <w:r w:rsidR="0026122B" w:rsidRPr="002A75F2">
        <w:rPr>
          <w:rFonts w:cs="Arial"/>
        </w:rPr>
        <w:t xml:space="preserve">roviding the </w:t>
      </w:r>
      <w:r w:rsidR="008A78E1" w:rsidRPr="002A75F2">
        <w:rPr>
          <w:rFonts w:cs="Arial"/>
        </w:rPr>
        <w:t>phase two conceptual site model</w:t>
      </w:r>
      <w:r w:rsidR="0026122B" w:rsidRPr="002A75F2">
        <w:rPr>
          <w:rFonts w:cs="Arial"/>
        </w:rPr>
        <w:t xml:space="preserve">, extracted </w:t>
      </w:r>
      <w:r w:rsidR="008A78E1" w:rsidRPr="002A75F2">
        <w:rPr>
          <w:rFonts w:cs="Arial"/>
        </w:rPr>
        <w:t>directly fr</w:t>
      </w:r>
      <w:r w:rsidR="00932759" w:rsidRPr="002A75F2">
        <w:rPr>
          <w:rFonts w:cs="Arial"/>
        </w:rPr>
        <w:t>o</w:t>
      </w:r>
      <w:r w:rsidR="008A78E1" w:rsidRPr="002A75F2">
        <w:rPr>
          <w:rFonts w:cs="Arial"/>
        </w:rPr>
        <w:t xml:space="preserve">m the phase two </w:t>
      </w:r>
      <w:r w:rsidR="002806D0" w:rsidRPr="002A75F2">
        <w:rPr>
          <w:rFonts w:cs="Arial"/>
        </w:rPr>
        <w:t xml:space="preserve">ESA </w:t>
      </w:r>
      <w:r w:rsidR="008A78E1" w:rsidRPr="002A75F2">
        <w:rPr>
          <w:rFonts w:cs="Arial"/>
        </w:rPr>
        <w:t>report</w:t>
      </w:r>
      <w:r w:rsidR="0026122B" w:rsidRPr="002A75F2">
        <w:rPr>
          <w:rFonts w:cs="Arial"/>
        </w:rPr>
        <w:t>,</w:t>
      </w:r>
      <w:r w:rsidR="008A78E1" w:rsidRPr="002A75F2">
        <w:rPr>
          <w:rFonts w:cs="Arial"/>
        </w:rPr>
        <w:t xml:space="preserve"> is recommend at </w:t>
      </w:r>
      <w:r w:rsidR="000A21A7" w:rsidRPr="002A75F2">
        <w:rPr>
          <w:rFonts w:cs="Arial"/>
        </w:rPr>
        <w:t>the PSF</w:t>
      </w:r>
      <w:r w:rsidR="008A78E1" w:rsidRPr="002A75F2">
        <w:rPr>
          <w:rFonts w:cs="Arial"/>
        </w:rPr>
        <w:t xml:space="preserve"> stage</w:t>
      </w:r>
      <w:r w:rsidR="00932759" w:rsidRPr="002A75F2">
        <w:rPr>
          <w:rFonts w:cs="Arial"/>
        </w:rPr>
        <w:t>.</w:t>
      </w:r>
    </w:p>
    <w:p w14:paraId="3F1092B5" w14:textId="77777777" w:rsidR="00F97D69" w:rsidRPr="002A75F2" w:rsidRDefault="000A21A7" w:rsidP="00F97D69">
      <w:pPr>
        <w:rPr>
          <w:rFonts w:cs="Arial"/>
        </w:rPr>
      </w:pPr>
      <w:r w:rsidRPr="002A75F2">
        <w:rPr>
          <w:rFonts w:cs="Arial"/>
        </w:rPr>
        <w:t xml:space="preserve">Specifically, </w:t>
      </w:r>
      <w:r w:rsidR="004D1B5A" w:rsidRPr="002A75F2">
        <w:rPr>
          <w:rFonts w:cs="Arial"/>
        </w:rPr>
        <w:t xml:space="preserve">the </w:t>
      </w:r>
      <w:r w:rsidRPr="002A75F2">
        <w:rPr>
          <w:rFonts w:cs="Arial"/>
        </w:rPr>
        <w:t>phase two conceptual site model</w:t>
      </w:r>
      <w:r w:rsidR="00476550" w:rsidRPr="002A75F2">
        <w:rPr>
          <w:rFonts w:cs="Arial"/>
        </w:rPr>
        <w:t xml:space="preserve"> </w:t>
      </w:r>
      <w:r w:rsidR="005303B6" w:rsidRPr="002A75F2">
        <w:rPr>
          <w:rFonts w:cs="Arial"/>
        </w:rPr>
        <w:t xml:space="preserve">provided with the PSF </w:t>
      </w:r>
      <w:r w:rsidR="00657352" w:rsidRPr="002A75F2">
        <w:rPr>
          <w:rFonts w:cs="Arial"/>
        </w:rPr>
        <w:t>is expected to</w:t>
      </w:r>
      <w:r w:rsidR="003A151C" w:rsidRPr="002A75F2">
        <w:rPr>
          <w:rFonts w:cs="Arial"/>
        </w:rPr>
        <w:t xml:space="preserve"> </w:t>
      </w:r>
      <w:r w:rsidR="00F97D69" w:rsidRPr="002A75F2">
        <w:rPr>
          <w:rFonts w:cs="Arial"/>
        </w:rPr>
        <w:t xml:space="preserve">include </w:t>
      </w:r>
      <w:r w:rsidR="003A151C" w:rsidRPr="002A75F2">
        <w:rPr>
          <w:rFonts w:cs="Arial"/>
        </w:rPr>
        <w:t>the following</w:t>
      </w:r>
      <w:r w:rsidR="00E87258" w:rsidRPr="002A75F2">
        <w:rPr>
          <w:rFonts w:cs="Arial"/>
        </w:rPr>
        <w:t xml:space="preserve"> information</w:t>
      </w:r>
      <w:r w:rsidR="00F97D69" w:rsidRPr="002A75F2">
        <w:rPr>
          <w:rFonts w:cs="Arial"/>
        </w:rPr>
        <w:t>:</w:t>
      </w:r>
    </w:p>
    <w:p w14:paraId="79D8F428" w14:textId="77777777" w:rsidR="00932759" w:rsidRPr="002A75F2" w:rsidRDefault="00932759"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Potentially contaminating activities (PCAs).</w:t>
      </w:r>
    </w:p>
    <w:p w14:paraId="131B8A89" w14:textId="77777777" w:rsidR="00932759" w:rsidRPr="002A75F2" w:rsidRDefault="00932759"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Areas of potential environmental concern (APECs).</w:t>
      </w:r>
    </w:p>
    <w:p w14:paraId="229E61BE" w14:textId="77777777" w:rsidR="00910963" w:rsidRPr="002A75F2" w:rsidRDefault="00657352"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Subsurface structures and utilities that may affect contaminant distribution</w:t>
      </w:r>
      <w:r w:rsidR="00910963" w:rsidRPr="002A75F2">
        <w:rPr>
          <w:rFonts w:cs="Arial"/>
          <w:lang w:val="en-CA"/>
        </w:rPr>
        <w:t>.</w:t>
      </w:r>
    </w:p>
    <w:p w14:paraId="311883CD" w14:textId="77777777" w:rsidR="00910963" w:rsidRPr="002A75F2" w:rsidRDefault="00910963"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Stratigraphy from ground surface to the deepest aquifer or aquitard investigated.</w:t>
      </w:r>
    </w:p>
    <w:p w14:paraId="148517C8" w14:textId="77777777" w:rsidR="00910963" w:rsidRPr="002A75F2" w:rsidRDefault="00910963"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Hydrogeological characteristics (including aquifers, aquitards and lateral and vertical hydraulic gradients).</w:t>
      </w:r>
    </w:p>
    <w:p w14:paraId="50EE11FF" w14:textId="77777777" w:rsidR="00910963" w:rsidRPr="002A75F2" w:rsidRDefault="00910963"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Depth to bedrock and water table(s).</w:t>
      </w:r>
    </w:p>
    <w:p w14:paraId="58354245" w14:textId="77777777" w:rsidR="00910963" w:rsidRPr="002A75F2" w:rsidRDefault="00910963"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Areas where soil has been brought from another property and placed on, in, or under the RA property.</w:t>
      </w:r>
    </w:p>
    <w:p w14:paraId="0E3C3AB8" w14:textId="77777777" w:rsidR="00910963" w:rsidRPr="002A75F2" w:rsidRDefault="00910963"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Locations of existing and proposed buildings and other structures</w:t>
      </w:r>
      <w:r w:rsidR="0040526D" w:rsidRPr="002A75F2">
        <w:rPr>
          <w:rFonts w:cs="Arial"/>
          <w:lang w:val="en-CA"/>
        </w:rPr>
        <w:t xml:space="preserve"> (if known)</w:t>
      </w:r>
      <w:r w:rsidRPr="002A75F2">
        <w:rPr>
          <w:rFonts w:cs="Arial"/>
          <w:lang w:val="en-CA"/>
        </w:rPr>
        <w:t>.</w:t>
      </w:r>
    </w:p>
    <w:p w14:paraId="37A55CAB" w14:textId="77777777" w:rsidR="00DA2B94" w:rsidRPr="002A75F2" w:rsidRDefault="00DA2B94" w:rsidP="00DA2B94">
      <w:pPr>
        <w:numPr>
          <w:ilvl w:val="0"/>
          <w:numId w:val="24"/>
        </w:numPr>
        <w:shd w:val="clear" w:color="auto" w:fill="FFFFFF"/>
        <w:tabs>
          <w:tab w:val="left" w:pos="720"/>
          <w:tab w:val="left" w:pos="3615"/>
        </w:tabs>
        <w:spacing w:before="0" w:after="0"/>
        <w:rPr>
          <w:rFonts w:cs="Arial"/>
          <w:lang w:val="en-CA"/>
        </w:rPr>
      </w:pPr>
      <w:r w:rsidRPr="002A75F2">
        <w:rPr>
          <w:rFonts w:cs="Arial"/>
          <w:lang w:val="en-CA"/>
        </w:rPr>
        <w:t>Identification of the applicable generic site condition standards.</w:t>
      </w:r>
    </w:p>
    <w:p w14:paraId="5DE0CBF5" w14:textId="6E78EBA2" w:rsidR="00910963" w:rsidRPr="002A75F2" w:rsidRDefault="006C3239"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 xml:space="preserve">Identification of </w:t>
      </w:r>
      <w:r w:rsidR="00910963" w:rsidRPr="002A75F2">
        <w:rPr>
          <w:rFonts w:cs="Arial"/>
          <w:lang w:val="en-CA"/>
        </w:rPr>
        <w:t xml:space="preserve">all </w:t>
      </w:r>
      <w:r w:rsidR="00D6435B" w:rsidRPr="002A75F2">
        <w:rPr>
          <w:rFonts w:cs="Arial"/>
          <w:lang w:val="en-CA"/>
        </w:rPr>
        <w:t>COCs</w:t>
      </w:r>
      <w:r w:rsidR="00DA2B94" w:rsidRPr="002A75F2">
        <w:rPr>
          <w:rFonts w:cs="Arial"/>
          <w:lang w:val="en-CA"/>
        </w:rPr>
        <w:t xml:space="preserve"> in soil, groundwater and sediment</w:t>
      </w:r>
      <w:r w:rsidR="00910963" w:rsidRPr="002A75F2">
        <w:rPr>
          <w:rFonts w:cs="Arial"/>
          <w:lang w:val="en-CA"/>
        </w:rPr>
        <w:t>.</w:t>
      </w:r>
    </w:p>
    <w:p w14:paraId="13FD6CEB" w14:textId="0E099487" w:rsidR="00910963" w:rsidRPr="002A75F2" w:rsidRDefault="00F97D69" w:rsidP="00A47B50">
      <w:pPr>
        <w:numPr>
          <w:ilvl w:val="0"/>
          <w:numId w:val="24"/>
        </w:numPr>
        <w:shd w:val="clear" w:color="auto" w:fill="FFFFFF"/>
        <w:tabs>
          <w:tab w:val="left" w:pos="720"/>
          <w:tab w:val="left" w:pos="3615"/>
        </w:tabs>
        <w:spacing w:before="0" w:after="0"/>
        <w:rPr>
          <w:rFonts w:cs="Arial"/>
          <w:lang w:val="en-CA"/>
        </w:rPr>
      </w:pPr>
      <w:r w:rsidRPr="002A75F2">
        <w:rPr>
          <w:rFonts w:cs="Arial"/>
          <w:lang w:val="en-CA"/>
        </w:rPr>
        <w:t xml:space="preserve">Lateral and vertical distribution </w:t>
      </w:r>
      <w:r w:rsidR="00657352" w:rsidRPr="002A75F2">
        <w:rPr>
          <w:rFonts w:cs="Arial"/>
          <w:lang w:val="en-CA"/>
        </w:rPr>
        <w:t xml:space="preserve">(i.e. delineation) </w:t>
      </w:r>
      <w:r w:rsidRPr="002A75F2">
        <w:rPr>
          <w:rFonts w:cs="Arial"/>
          <w:lang w:val="en-CA"/>
        </w:rPr>
        <w:t xml:space="preserve">of </w:t>
      </w:r>
      <w:r w:rsidR="00657352" w:rsidRPr="002A75F2">
        <w:rPr>
          <w:rFonts w:cs="Arial"/>
          <w:lang w:val="en-CA"/>
        </w:rPr>
        <w:t xml:space="preserve">all </w:t>
      </w:r>
      <w:r w:rsidR="00661AF9" w:rsidRPr="002A75F2">
        <w:rPr>
          <w:rFonts w:cs="Arial"/>
          <w:lang w:val="en-CA"/>
        </w:rPr>
        <w:t>COCs</w:t>
      </w:r>
      <w:r w:rsidR="00657352" w:rsidRPr="002A75F2">
        <w:rPr>
          <w:rFonts w:cs="Arial"/>
          <w:lang w:val="en-CA"/>
        </w:rPr>
        <w:t>. D</w:t>
      </w:r>
      <w:r w:rsidRPr="002A75F2">
        <w:rPr>
          <w:rFonts w:cs="Arial"/>
          <w:lang w:val="en-CA"/>
        </w:rPr>
        <w:t xml:space="preserve">elineation must </w:t>
      </w:r>
      <w:r w:rsidR="00082113" w:rsidRPr="002A75F2">
        <w:rPr>
          <w:rFonts w:cs="Arial"/>
          <w:lang w:val="en-CA"/>
        </w:rPr>
        <w:t>extend</w:t>
      </w:r>
      <w:r w:rsidRPr="002A75F2">
        <w:rPr>
          <w:rFonts w:cs="Arial"/>
          <w:lang w:val="en-CA"/>
        </w:rPr>
        <w:t xml:space="preserve"> to the next </w:t>
      </w:r>
      <w:r w:rsidR="00DA2B94" w:rsidRPr="002A75F2">
        <w:rPr>
          <w:rFonts w:cs="Arial"/>
          <w:lang w:val="en-CA"/>
        </w:rPr>
        <w:t>“</w:t>
      </w:r>
      <w:r w:rsidRPr="002A75F2">
        <w:rPr>
          <w:rFonts w:cs="Arial"/>
          <w:lang w:val="en-CA"/>
        </w:rPr>
        <w:t>clean</w:t>
      </w:r>
      <w:r w:rsidR="00DA2B94" w:rsidRPr="002A75F2">
        <w:rPr>
          <w:rFonts w:cs="Arial"/>
          <w:lang w:val="en-CA"/>
        </w:rPr>
        <w:t>”</w:t>
      </w:r>
      <w:r w:rsidRPr="002A75F2">
        <w:rPr>
          <w:rFonts w:cs="Arial"/>
          <w:lang w:val="en-CA"/>
        </w:rPr>
        <w:t xml:space="preserve"> </w:t>
      </w:r>
      <w:r w:rsidR="00DA2B94" w:rsidRPr="002A75F2">
        <w:rPr>
          <w:rFonts w:cs="Arial"/>
          <w:lang w:val="en-CA"/>
        </w:rPr>
        <w:t>s</w:t>
      </w:r>
      <w:r w:rsidR="00082113" w:rsidRPr="002A75F2">
        <w:rPr>
          <w:rFonts w:cs="Arial"/>
          <w:lang w:val="en-CA"/>
        </w:rPr>
        <w:t>ampling location</w:t>
      </w:r>
      <w:r w:rsidR="00DA2B94" w:rsidRPr="002A75F2">
        <w:rPr>
          <w:rFonts w:cs="Arial"/>
          <w:lang w:val="en-CA"/>
        </w:rPr>
        <w:t xml:space="preserve"> (i.e. next sampling location that meets the applicable generic standard)</w:t>
      </w:r>
      <w:r w:rsidR="00657352" w:rsidRPr="002A75F2">
        <w:rPr>
          <w:rFonts w:cs="Arial"/>
          <w:lang w:val="en-CA"/>
        </w:rPr>
        <w:t>, a</w:t>
      </w:r>
      <w:r w:rsidR="004F608F" w:rsidRPr="002A75F2">
        <w:rPr>
          <w:rFonts w:cs="Arial"/>
          <w:lang w:val="en-CA"/>
        </w:rPr>
        <w:t xml:space="preserve">lso refer to </w:t>
      </w:r>
      <w:r w:rsidR="004F608F" w:rsidRPr="002A75F2">
        <w:rPr>
          <w:rFonts w:cs="Arial"/>
        </w:rPr>
        <w:t>section</w:t>
      </w:r>
      <w:r w:rsidRPr="002A75F2">
        <w:rPr>
          <w:rFonts w:cs="Arial"/>
        </w:rPr>
        <w:t xml:space="preserve"> 7(3)(c) of </w:t>
      </w:r>
      <w:r w:rsidR="004F608F" w:rsidRPr="002A75F2">
        <w:rPr>
          <w:rFonts w:cs="Arial"/>
        </w:rPr>
        <w:t>Schedule E of the Regulation.</w:t>
      </w:r>
      <w:r w:rsidR="00910963" w:rsidRPr="002A75F2">
        <w:rPr>
          <w:rFonts w:cs="Arial"/>
          <w:lang w:val="en-CA"/>
        </w:rPr>
        <w:t xml:space="preserve"> </w:t>
      </w:r>
    </w:p>
    <w:p w14:paraId="7C4830F5" w14:textId="28C1ABA0" w:rsidR="006C0A86" w:rsidRPr="002A75F2" w:rsidRDefault="00736F0F" w:rsidP="005A1CD1">
      <w:pPr>
        <w:shd w:val="clear" w:color="auto" w:fill="FFFFFF"/>
        <w:tabs>
          <w:tab w:val="left" w:pos="720"/>
          <w:tab w:val="left" w:pos="3615"/>
        </w:tabs>
        <w:spacing w:after="0"/>
        <w:rPr>
          <w:rFonts w:cs="Arial"/>
        </w:rPr>
      </w:pPr>
      <w:r w:rsidRPr="002A75F2">
        <w:rPr>
          <w:rFonts w:cs="Arial"/>
        </w:rPr>
        <w:t>In certain circumstances, t</w:t>
      </w:r>
      <w:r w:rsidR="005B6427" w:rsidRPr="002A75F2">
        <w:rPr>
          <w:rFonts w:cs="Arial"/>
        </w:rPr>
        <w:t xml:space="preserve">he </w:t>
      </w:r>
      <w:r w:rsidR="006C0A86" w:rsidRPr="002A75F2">
        <w:rPr>
          <w:rFonts w:cs="Arial"/>
        </w:rPr>
        <w:t xml:space="preserve">Regulation </w:t>
      </w:r>
      <w:r w:rsidR="0041370B" w:rsidRPr="002A75F2">
        <w:rPr>
          <w:rFonts w:cs="Arial"/>
        </w:rPr>
        <w:t>allow</w:t>
      </w:r>
      <w:r w:rsidR="0048460B" w:rsidRPr="002A75F2">
        <w:rPr>
          <w:rFonts w:cs="Arial"/>
        </w:rPr>
        <w:t>s</w:t>
      </w:r>
      <w:r w:rsidR="0041370B" w:rsidRPr="002A75F2">
        <w:rPr>
          <w:rFonts w:cs="Arial"/>
        </w:rPr>
        <w:t xml:space="preserve"> </w:t>
      </w:r>
      <w:r w:rsidRPr="002A75F2">
        <w:rPr>
          <w:rFonts w:cs="Arial"/>
        </w:rPr>
        <w:t xml:space="preserve">QPs to conduct </w:t>
      </w:r>
      <w:r w:rsidR="006C0A86" w:rsidRPr="002A75F2">
        <w:rPr>
          <w:rFonts w:cs="Arial"/>
        </w:rPr>
        <w:t>non-standards delineation (</w:t>
      </w:r>
      <w:r w:rsidR="0041370B" w:rsidRPr="002A75F2">
        <w:rPr>
          <w:rFonts w:cs="Arial"/>
        </w:rPr>
        <w:t>NSD</w:t>
      </w:r>
      <w:r w:rsidR="006C0A86" w:rsidRPr="002A75F2">
        <w:rPr>
          <w:rFonts w:cs="Arial"/>
        </w:rPr>
        <w:t>)</w:t>
      </w:r>
      <w:r w:rsidR="0041370B" w:rsidRPr="002A75F2">
        <w:rPr>
          <w:rFonts w:cs="Arial"/>
        </w:rPr>
        <w:t xml:space="preserve"> </w:t>
      </w:r>
      <w:r w:rsidRPr="002A75F2">
        <w:rPr>
          <w:rFonts w:cs="Arial"/>
        </w:rPr>
        <w:t>as part of t</w:t>
      </w:r>
      <w:r w:rsidR="006C0A86" w:rsidRPr="002A75F2">
        <w:rPr>
          <w:rFonts w:cs="Arial"/>
        </w:rPr>
        <w:t xml:space="preserve">he </w:t>
      </w:r>
      <w:r w:rsidR="0001565C" w:rsidRPr="002A75F2">
        <w:rPr>
          <w:rFonts w:cs="Arial"/>
        </w:rPr>
        <w:t xml:space="preserve">phase two </w:t>
      </w:r>
      <w:r w:rsidRPr="002A75F2">
        <w:rPr>
          <w:rFonts w:cs="Arial"/>
        </w:rPr>
        <w:t xml:space="preserve">ESA, </w:t>
      </w:r>
      <w:r w:rsidR="0041370B" w:rsidRPr="002A75F2">
        <w:rPr>
          <w:rFonts w:cs="Arial"/>
        </w:rPr>
        <w:t xml:space="preserve">when using a </w:t>
      </w:r>
      <w:r w:rsidR="0001565C" w:rsidRPr="002A75F2">
        <w:rPr>
          <w:rFonts w:cs="Arial"/>
        </w:rPr>
        <w:t>risk assessment</w:t>
      </w:r>
      <w:r w:rsidR="0041370B" w:rsidRPr="002A75F2">
        <w:rPr>
          <w:rFonts w:cs="Arial"/>
        </w:rPr>
        <w:t xml:space="preserve"> approach.</w:t>
      </w:r>
      <w:r w:rsidR="005362BD" w:rsidRPr="002A75F2">
        <w:rPr>
          <w:rFonts w:cs="Arial"/>
        </w:rPr>
        <w:t xml:space="preserve"> </w:t>
      </w:r>
      <w:r w:rsidR="0041370B" w:rsidRPr="002A75F2">
        <w:rPr>
          <w:rFonts w:cs="Arial"/>
        </w:rPr>
        <w:t xml:space="preserve">NSD provides a limited </w:t>
      </w:r>
      <w:r w:rsidR="0048460B" w:rsidRPr="002A75F2">
        <w:rPr>
          <w:rFonts w:cs="Arial"/>
        </w:rPr>
        <w:t xml:space="preserve">ability to vary from </w:t>
      </w:r>
      <w:r w:rsidRPr="002A75F2">
        <w:rPr>
          <w:rFonts w:cs="Arial"/>
        </w:rPr>
        <w:t>the</w:t>
      </w:r>
      <w:r w:rsidR="0048460B" w:rsidRPr="002A75F2">
        <w:rPr>
          <w:rFonts w:cs="Arial"/>
        </w:rPr>
        <w:t xml:space="preserve"> </w:t>
      </w:r>
      <w:r w:rsidR="0041370B" w:rsidRPr="002A75F2">
        <w:rPr>
          <w:rFonts w:cs="Arial"/>
        </w:rPr>
        <w:t xml:space="preserve">delineation requirements </w:t>
      </w:r>
      <w:r w:rsidRPr="002A75F2">
        <w:rPr>
          <w:rFonts w:cs="Arial"/>
        </w:rPr>
        <w:t xml:space="preserve">set out in clause 7 (4) (c) of Schedule E </w:t>
      </w:r>
      <w:r w:rsidR="0041370B" w:rsidRPr="002A75F2">
        <w:rPr>
          <w:rFonts w:cs="Arial"/>
        </w:rPr>
        <w:t>when a QP provides a rationale that shows that a</w:t>
      </w:r>
      <w:r w:rsidR="00957F70" w:rsidRPr="002A75F2">
        <w:rPr>
          <w:rFonts w:cs="Arial"/>
        </w:rPr>
        <w:t>n</w:t>
      </w:r>
      <w:r w:rsidR="0041370B" w:rsidRPr="002A75F2">
        <w:rPr>
          <w:rFonts w:cs="Arial"/>
        </w:rPr>
        <w:t xml:space="preserve"> RA property is appropriately characterized and additional efforts to delineate are unlikely to contribute meaningful and significant information about the distribution and extent of contaminants at the property. Specifically, this relief is limited to the vertical and lateral investigation to the point where COCs in soil or groundwater meet the applicable site condition standard.</w:t>
      </w:r>
      <w:r w:rsidR="00DE4BB5" w:rsidRPr="002A75F2">
        <w:rPr>
          <w:rFonts w:cs="Arial"/>
        </w:rPr>
        <w:t xml:space="preserve"> </w:t>
      </w:r>
      <w:r w:rsidR="006C0A86" w:rsidRPr="002A75F2">
        <w:rPr>
          <w:rFonts w:cs="Arial"/>
        </w:rPr>
        <w:t xml:space="preserve">Refer to </w:t>
      </w:r>
      <w:r w:rsidRPr="002A75F2">
        <w:rPr>
          <w:rFonts w:cs="Arial"/>
        </w:rPr>
        <w:t xml:space="preserve">provisions of the Regulation, including </w:t>
      </w:r>
      <w:r w:rsidR="006C0A86" w:rsidRPr="002A75F2">
        <w:rPr>
          <w:rFonts w:cs="Arial"/>
        </w:rPr>
        <w:t>the following</w:t>
      </w:r>
      <w:r w:rsidRPr="002A75F2">
        <w:rPr>
          <w:rFonts w:cs="Arial"/>
        </w:rPr>
        <w:t>,</w:t>
      </w:r>
      <w:r w:rsidR="006C0A86" w:rsidRPr="002A75F2">
        <w:rPr>
          <w:rFonts w:cs="Arial"/>
        </w:rPr>
        <w:t xml:space="preserve"> regarding NSD:</w:t>
      </w:r>
    </w:p>
    <w:p w14:paraId="788B330B" w14:textId="77777777" w:rsidR="00FD02A8" w:rsidRPr="002A75F2" w:rsidRDefault="006C0A86" w:rsidP="00A47B50">
      <w:pPr>
        <w:numPr>
          <w:ilvl w:val="0"/>
          <w:numId w:val="22"/>
        </w:numPr>
        <w:shd w:val="clear" w:color="auto" w:fill="D9D9D9"/>
        <w:rPr>
          <w:rFonts w:cs="Arial"/>
        </w:rPr>
      </w:pPr>
      <w:r w:rsidRPr="002A75F2">
        <w:rPr>
          <w:rFonts w:cs="Arial"/>
        </w:rPr>
        <w:t>Subsections 3 (8)</w:t>
      </w:r>
      <w:r w:rsidR="00FD02A8" w:rsidRPr="002A75F2">
        <w:rPr>
          <w:rFonts w:cs="Arial"/>
        </w:rPr>
        <w:t xml:space="preserve"> </w:t>
      </w:r>
      <w:r w:rsidRPr="002A75F2">
        <w:rPr>
          <w:rFonts w:cs="Arial"/>
        </w:rPr>
        <w:t>(</w:t>
      </w:r>
      <w:r w:rsidR="00FD02A8" w:rsidRPr="002A75F2">
        <w:rPr>
          <w:rFonts w:cs="Arial"/>
        </w:rPr>
        <w:t>d</w:t>
      </w:r>
      <w:r w:rsidRPr="002A75F2">
        <w:rPr>
          <w:rFonts w:cs="Arial"/>
        </w:rPr>
        <w:t>) of Schedule C</w:t>
      </w:r>
      <w:r w:rsidR="00FD02A8" w:rsidRPr="002A75F2">
        <w:rPr>
          <w:rFonts w:cs="Arial"/>
        </w:rPr>
        <w:t xml:space="preserve"> </w:t>
      </w:r>
    </w:p>
    <w:p w14:paraId="0F321992" w14:textId="77777777" w:rsidR="006C0A86" w:rsidRPr="002A75F2" w:rsidRDefault="00FD02A8" w:rsidP="00A47B50">
      <w:pPr>
        <w:numPr>
          <w:ilvl w:val="0"/>
          <w:numId w:val="22"/>
        </w:numPr>
        <w:shd w:val="clear" w:color="auto" w:fill="D9D9D9"/>
        <w:rPr>
          <w:rFonts w:cs="Arial"/>
        </w:rPr>
      </w:pPr>
      <w:r w:rsidRPr="002A75F2">
        <w:rPr>
          <w:rFonts w:cs="Arial"/>
        </w:rPr>
        <w:t>Section 7.1 of Schedule E (Non-standard delineation)</w:t>
      </w:r>
    </w:p>
    <w:p w14:paraId="100BB129" w14:textId="28E1EFE5" w:rsidR="0032525E" w:rsidRPr="002A75F2" w:rsidRDefault="00583F27" w:rsidP="00F837E7">
      <w:pPr>
        <w:shd w:val="clear" w:color="auto" w:fill="FFFFFF"/>
        <w:tabs>
          <w:tab w:val="left" w:pos="720"/>
          <w:tab w:val="left" w:pos="3615"/>
        </w:tabs>
        <w:rPr>
          <w:rFonts w:cs="Arial"/>
        </w:rPr>
      </w:pPr>
      <w:r w:rsidRPr="002A75F2">
        <w:rPr>
          <w:rFonts w:cs="Arial"/>
        </w:rPr>
        <w:t xml:space="preserve">Note that </w:t>
      </w:r>
      <w:r w:rsidR="00FB51B3" w:rsidRPr="002A75F2">
        <w:rPr>
          <w:rFonts w:cs="Arial"/>
        </w:rPr>
        <w:t xml:space="preserve">the </w:t>
      </w:r>
      <w:r w:rsidRPr="002A75F2">
        <w:rPr>
          <w:rFonts w:cs="Arial"/>
        </w:rPr>
        <w:t xml:space="preserve">NSD </w:t>
      </w:r>
      <w:r w:rsidR="00FB51B3" w:rsidRPr="002A75F2">
        <w:rPr>
          <w:rFonts w:cs="Arial"/>
        </w:rPr>
        <w:t xml:space="preserve">approach </w:t>
      </w:r>
      <w:r w:rsidR="001A438C" w:rsidRPr="002A75F2">
        <w:rPr>
          <w:rFonts w:cs="Arial"/>
        </w:rPr>
        <w:t xml:space="preserve">is intended </w:t>
      </w:r>
      <w:r w:rsidR="00DE4BB5" w:rsidRPr="002A75F2">
        <w:rPr>
          <w:rFonts w:cs="Arial"/>
        </w:rPr>
        <w:t>for</w:t>
      </w:r>
      <w:r w:rsidRPr="002A75F2">
        <w:rPr>
          <w:rFonts w:cs="Arial"/>
        </w:rPr>
        <w:t xml:space="preserve"> Tier 3 </w:t>
      </w:r>
      <w:r w:rsidR="002B4755" w:rsidRPr="002A75F2">
        <w:rPr>
          <w:rFonts w:cs="Arial"/>
        </w:rPr>
        <w:t>risk assessments</w:t>
      </w:r>
      <w:r w:rsidR="00FB51B3" w:rsidRPr="002A75F2">
        <w:rPr>
          <w:rFonts w:cs="Arial"/>
        </w:rPr>
        <w:t xml:space="preserve">; </w:t>
      </w:r>
      <w:r w:rsidR="0041370B" w:rsidRPr="002A75F2">
        <w:rPr>
          <w:rFonts w:cs="Arial"/>
        </w:rPr>
        <w:t xml:space="preserve">QPs should contact the </w:t>
      </w:r>
      <w:r w:rsidR="00FB51B3" w:rsidRPr="002A75F2">
        <w:rPr>
          <w:rFonts w:cs="Arial"/>
        </w:rPr>
        <w:t xml:space="preserve">Ministry’s </w:t>
      </w:r>
      <w:r w:rsidR="0041370B" w:rsidRPr="002A75F2">
        <w:rPr>
          <w:rFonts w:cs="Arial"/>
        </w:rPr>
        <w:t xml:space="preserve">local </w:t>
      </w:r>
      <w:r w:rsidR="00FB51B3" w:rsidRPr="002A75F2">
        <w:rPr>
          <w:rFonts w:cs="Arial"/>
        </w:rPr>
        <w:t>D</w:t>
      </w:r>
      <w:r w:rsidR="0041370B" w:rsidRPr="002A75F2">
        <w:rPr>
          <w:rFonts w:cs="Arial"/>
        </w:rPr>
        <w:t xml:space="preserve">istrict </w:t>
      </w:r>
      <w:r w:rsidR="00FB51B3" w:rsidRPr="002A75F2">
        <w:rPr>
          <w:rFonts w:cs="Arial"/>
        </w:rPr>
        <w:t>O</w:t>
      </w:r>
      <w:r w:rsidR="0041370B" w:rsidRPr="002A75F2">
        <w:rPr>
          <w:rFonts w:cs="Arial"/>
        </w:rPr>
        <w:t xml:space="preserve">ffice if </w:t>
      </w:r>
      <w:r w:rsidR="00736F0F" w:rsidRPr="002A75F2">
        <w:rPr>
          <w:rFonts w:cs="Arial"/>
        </w:rPr>
        <w:t xml:space="preserve">they are considering </w:t>
      </w:r>
      <w:r w:rsidR="00FB51B3" w:rsidRPr="002A75F2">
        <w:rPr>
          <w:rFonts w:cs="Arial"/>
        </w:rPr>
        <w:t xml:space="preserve">this </w:t>
      </w:r>
      <w:r w:rsidR="0041370B" w:rsidRPr="002A75F2">
        <w:rPr>
          <w:rFonts w:cs="Arial"/>
        </w:rPr>
        <w:t xml:space="preserve">approach for their site. The local </w:t>
      </w:r>
      <w:r w:rsidR="00FB51B3" w:rsidRPr="002A75F2">
        <w:rPr>
          <w:rFonts w:cs="Arial"/>
        </w:rPr>
        <w:t>D</w:t>
      </w:r>
      <w:r w:rsidR="0041370B" w:rsidRPr="002A75F2">
        <w:rPr>
          <w:rFonts w:cs="Arial"/>
        </w:rPr>
        <w:t xml:space="preserve">istrict </w:t>
      </w:r>
      <w:r w:rsidR="00FB51B3" w:rsidRPr="002A75F2">
        <w:rPr>
          <w:rFonts w:cs="Arial"/>
        </w:rPr>
        <w:t>O</w:t>
      </w:r>
      <w:r w:rsidR="0041370B" w:rsidRPr="002A75F2">
        <w:rPr>
          <w:rFonts w:cs="Arial"/>
        </w:rPr>
        <w:t>ffice can provide support to help QPs understand Ministry expectations related to NSD.</w:t>
      </w:r>
    </w:p>
    <w:p w14:paraId="2B98316F" w14:textId="7EBCE4B3" w:rsidR="004B4ABC" w:rsidRPr="002A75F2" w:rsidRDefault="004B4ABC" w:rsidP="00F837E7">
      <w:pPr>
        <w:rPr>
          <w:rFonts w:cs="Arial"/>
        </w:rPr>
      </w:pPr>
      <w:r w:rsidRPr="002A75F2">
        <w:rPr>
          <w:rFonts w:cs="Arial"/>
        </w:rPr>
        <w:t xml:space="preserve">Based on the information included in the phase two conceptual site model, a complete list of COCs present in soil, groundwater and sediment at the RA property must be included with the </w:t>
      </w:r>
      <w:r w:rsidRPr="002A75F2">
        <w:rPr>
          <w:rFonts w:cs="Arial"/>
        </w:rPr>
        <w:lastRenderedPageBreak/>
        <w:t>PSF. The PSF must include a contaminant inventory, which includes all analytical results for all parameters that were analyzed in soil, groundwater and sediment as part of the phase two ESA; this information should be presented in tabular format to demonstrate proper COC screening.</w:t>
      </w:r>
    </w:p>
    <w:p w14:paraId="08AD4A5E" w14:textId="7FC897CF" w:rsidR="000A21A7" w:rsidRPr="002A75F2" w:rsidRDefault="000A21A7" w:rsidP="00F837E7">
      <w:pPr>
        <w:rPr>
          <w:rFonts w:cs="Arial"/>
        </w:rPr>
      </w:pPr>
      <w:r w:rsidRPr="002A75F2">
        <w:rPr>
          <w:rFonts w:cs="Arial"/>
        </w:rPr>
        <w:t>Finally, it is important that the QP</w:t>
      </w:r>
      <w:r w:rsidRPr="002A75F2">
        <w:rPr>
          <w:rFonts w:cs="Arial"/>
          <w:vertAlign w:val="subscript"/>
        </w:rPr>
        <w:t>RA</w:t>
      </w:r>
      <w:r w:rsidRPr="002A75F2">
        <w:rPr>
          <w:rFonts w:cs="Arial"/>
        </w:rPr>
        <w:t xml:space="preserve"> confer with the QP</w:t>
      </w:r>
      <w:r w:rsidRPr="002A75F2">
        <w:rPr>
          <w:rFonts w:cs="Arial"/>
          <w:vertAlign w:val="subscript"/>
        </w:rPr>
        <w:t>ESA</w:t>
      </w:r>
      <w:r w:rsidRPr="002A75F2">
        <w:rPr>
          <w:rFonts w:cs="Arial"/>
        </w:rPr>
        <w:t xml:space="preserve"> to ensure that the site characterization work meets the requirements of the </w:t>
      </w:r>
      <w:r w:rsidR="00F97C7B" w:rsidRPr="002A75F2">
        <w:rPr>
          <w:rFonts w:cs="Arial"/>
        </w:rPr>
        <w:t>Regulation</w:t>
      </w:r>
      <w:r w:rsidRPr="002A75F2">
        <w:rPr>
          <w:rFonts w:cs="Arial"/>
        </w:rPr>
        <w:t xml:space="preserve">, will be appropriate to support the </w:t>
      </w:r>
      <w:r w:rsidR="003D407C" w:rsidRPr="002A75F2">
        <w:rPr>
          <w:rFonts w:cs="Arial"/>
        </w:rPr>
        <w:t>risk assessment</w:t>
      </w:r>
      <w:r w:rsidRPr="002A75F2">
        <w:rPr>
          <w:rFonts w:cs="Arial"/>
        </w:rPr>
        <w:t xml:space="preserve"> (including any property specific standards that will be developed as part of the </w:t>
      </w:r>
      <w:r w:rsidR="003D407C" w:rsidRPr="002A75F2">
        <w:rPr>
          <w:rFonts w:cs="Arial"/>
        </w:rPr>
        <w:t>risk assessment</w:t>
      </w:r>
      <w:r w:rsidRPr="002A75F2">
        <w:rPr>
          <w:rFonts w:cs="Arial"/>
        </w:rPr>
        <w:t>) and will also support the eventual submission and filing of a</w:t>
      </w:r>
      <w:r w:rsidR="00957636" w:rsidRPr="002A75F2">
        <w:rPr>
          <w:rFonts w:cs="Arial"/>
        </w:rPr>
        <w:t>n</w:t>
      </w:r>
      <w:r w:rsidRPr="002A75F2">
        <w:rPr>
          <w:rFonts w:cs="Arial"/>
        </w:rPr>
        <w:t xml:space="preserve"> RSC in the Environmental Site Registry.</w:t>
      </w:r>
    </w:p>
    <w:p w14:paraId="7B0A9FDB" w14:textId="5AFF853F" w:rsidR="00286BFE" w:rsidRPr="002A75F2" w:rsidRDefault="00286BFE" w:rsidP="00DE496B">
      <w:pPr>
        <w:pStyle w:val="Heading3"/>
        <w:rPr>
          <w:rFonts w:cs="Arial"/>
        </w:rPr>
      </w:pPr>
      <w:bookmarkStart w:id="78" w:name="_Toc41905655"/>
      <w:r w:rsidRPr="002A75F2">
        <w:rPr>
          <w:rFonts w:cs="Arial"/>
        </w:rPr>
        <w:t>Hum</w:t>
      </w:r>
      <w:r w:rsidR="0045751C" w:rsidRPr="002A75F2">
        <w:rPr>
          <w:rFonts w:cs="Arial"/>
        </w:rPr>
        <w:t>a</w:t>
      </w:r>
      <w:r w:rsidRPr="002A75F2">
        <w:rPr>
          <w:rFonts w:cs="Arial"/>
        </w:rPr>
        <w:t>n Health and Ecological Conceptual Site Models</w:t>
      </w:r>
      <w:bookmarkEnd w:id="78"/>
    </w:p>
    <w:p w14:paraId="61A39F19" w14:textId="3AFACC1A" w:rsidR="007040F8" w:rsidRPr="002A75F2" w:rsidRDefault="00EA04AC" w:rsidP="00722714">
      <w:pPr>
        <w:rPr>
          <w:rFonts w:cs="Arial"/>
        </w:rPr>
      </w:pPr>
      <w:r w:rsidRPr="002A75F2">
        <w:rPr>
          <w:rFonts w:cs="Arial"/>
        </w:rPr>
        <w:t>Separate</w:t>
      </w:r>
      <w:r w:rsidR="000D172D" w:rsidRPr="002A75F2">
        <w:rPr>
          <w:rFonts w:cs="Arial"/>
        </w:rPr>
        <w:t xml:space="preserve"> human health and ecological conceptual site models</w:t>
      </w:r>
      <w:r w:rsidR="0033788E" w:rsidRPr="002A75F2">
        <w:rPr>
          <w:rFonts w:cs="Arial"/>
        </w:rPr>
        <w:t xml:space="preserve"> </w:t>
      </w:r>
      <w:r w:rsidR="000D172D" w:rsidRPr="002A75F2">
        <w:rPr>
          <w:rFonts w:cs="Arial"/>
        </w:rPr>
        <w:t>must be provided as diagrams; the requirements</w:t>
      </w:r>
      <w:r w:rsidR="00F940A6" w:rsidRPr="002A75F2">
        <w:rPr>
          <w:rFonts w:cs="Arial"/>
        </w:rPr>
        <w:t xml:space="preserve"> for these</w:t>
      </w:r>
      <w:r w:rsidR="000D172D" w:rsidRPr="002A75F2">
        <w:rPr>
          <w:rFonts w:cs="Arial"/>
        </w:rPr>
        <w:t xml:space="preserve"> are listed </w:t>
      </w:r>
      <w:r w:rsidR="007040F8" w:rsidRPr="002A75F2">
        <w:rPr>
          <w:rFonts w:cs="Arial"/>
        </w:rPr>
        <w:t>in:</w:t>
      </w:r>
    </w:p>
    <w:p w14:paraId="5D1B7CBD" w14:textId="77777777" w:rsidR="00286BFE" w:rsidRPr="002A75F2" w:rsidRDefault="007040F8" w:rsidP="00A47B50">
      <w:pPr>
        <w:numPr>
          <w:ilvl w:val="0"/>
          <w:numId w:val="22"/>
        </w:numPr>
        <w:shd w:val="clear" w:color="auto" w:fill="D9D9D9"/>
        <w:rPr>
          <w:rFonts w:cs="Arial"/>
        </w:rPr>
      </w:pPr>
      <w:r w:rsidRPr="002A75F2">
        <w:rPr>
          <w:rFonts w:cs="Arial"/>
        </w:rPr>
        <w:t>Subsections 3 (8)</w:t>
      </w:r>
      <w:r w:rsidR="00736F0F" w:rsidRPr="002A75F2">
        <w:rPr>
          <w:rFonts w:cs="Arial"/>
        </w:rPr>
        <w:t xml:space="preserve"> </w:t>
      </w:r>
      <w:r w:rsidRPr="002A75F2">
        <w:rPr>
          <w:rFonts w:cs="Arial"/>
        </w:rPr>
        <w:t>(b) and (c) and subsection 3 (9) of Schedule C</w:t>
      </w:r>
    </w:p>
    <w:p w14:paraId="028D45C4" w14:textId="77C1E0E5" w:rsidR="003778C2" w:rsidRPr="002A75F2" w:rsidRDefault="003778C2" w:rsidP="00722714">
      <w:pPr>
        <w:rPr>
          <w:rFonts w:cs="Arial"/>
        </w:rPr>
      </w:pPr>
      <w:r w:rsidRPr="002A75F2">
        <w:rPr>
          <w:rFonts w:cs="Arial"/>
        </w:rPr>
        <w:t>As a starting point, the QP</w:t>
      </w:r>
      <w:r w:rsidRPr="002A75F2">
        <w:rPr>
          <w:rFonts w:cs="Arial"/>
          <w:vertAlign w:val="subscript"/>
        </w:rPr>
        <w:t>RA</w:t>
      </w:r>
      <w:r w:rsidRPr="002A75F2">
        <w:rPr>
          <w:rFonts w:cs="Arial"/>
        </w:rPr>
        <w:t xml:space="preserve"> should review the Ministry’s generic conceptual model used in the development of the generic </w:t>
      </w:r>
      <w:r w:rsidR="005B614D" w:rsidRPr="002A75F2">
        <w:rPr>
          <w:rFonts w:cs="Arial"/>
        </w:rPr>
        <w:t>site condition standards</w:t>
      </w:r>
      <w:r w:rsidRPr="002A75F2">
        <w:rPr>
          <w:rFonts w:cs="Arial"/>
        </w:rPr>
        <w:t xml:space="preserve">, which is included in the Ministry’s 2011 </w:t>
      </w:r>
      <w:r w:rsidR="00EA04AC" w:rsidRPr="002A75F2">
        <w:rPr>
          <w:rFonts w:cs="Arial"/>
        </w:rPr>
        <w:t>Rationale</w:t>
      </w:r>
      <w:r w:rsidRPr="002A75F2">
        <w:rPr>
          <w:rFonts w:cs="Arial"/>
        </w:rPr>
        <w:t xml:space="preserve"> document (refer to </w:t>
      </w:r>
      <w:r w:rsidR="00ED0F89" w:rsidRPr="002A75F2">
        <w:rPr>
          <w:rFonts w:cs="Arial"/>
        </w:rPr>
        <w:t>S</w:t>
      </w:r>
      <w:r w:rsidRPr="002A75F2">
        <w:rPr>
          <w:rFonts w:cs="Arial"/>
        </w:rPr>
        <w:t xml:space="preserve">ection 1.3 and Figure 1.1 of the Rationale document). </w:t>
      </w:r>
    </w:p>
    <w:p w14:paraId="00BA2149" w14:textId="2719902C" w:rsidR="004A4B5D" w:rsidRPr="002A75F2" w:rsidRDefault="00B53C3B" w:rsidP="00722714">
      <w:pPr>
        <w:rPr>
          <w:rFonts w:cs="Arial"/>
        </w:rPr>
      </w:pPr>
      <w:r w:rsidRPr="002A75F2">
        <w:rPr>
          <w:rFonts w:cs="Arial"/>
        </w:rPr>
        <w:t>The human health and ecological conceptual site models</w:t>
      </w:r>
      <w:r w:rsidR="00465C26" w:rsidRPr="002A75F2">
        <w:rPr>
          <w:rFonts w:cs="Arial"/>
        </w:rPr>
        <w:t xml:space="preserve"> must include all potential receptors, including sensitive receptors (e.g. children, pregnant woman, species at risk, etc.) that are located both on and off the RA property.</w:t>
      </w:r>
    </w:p>
    <w:p w14:paraId="7F9BA005" w14:textId="22F463BA" w:rsidR="005721A3" w:rsidRPr="002A75F2" w:rsidRDefault="005721A3" w:rsidP="00722714">
      <w:pPr>
        <w:rPr>
          <w:rFonts w:cs="Arial"/>
        </w:rPr>
      </w:pPr>
      <w:r w:rsidRPr="002A75F2">
        <w:rPr>
          <w:rFonts w:cs="Arial"/>
        </w:rPr>
        <w:t xml:space="preserve">It is recommended that the </w:t>
      </w:r>
      <w:r w:rsidR="00B53C3B" w:rsidRPr="002A75F2">
        <w:rPr>
          <w:rFonts w:cs="Arial"/>
        </w:rPr>
        <w:t>human health and ecological conceptual site models</w:t>
      </w:r>
      <w:r w:rsidRPr="002A75F2">
        <w:rPr>
          <w:rFonts w:cs="Arial"/>
        </w:rPr>
        <w:t xml:space="preserve"> differentiate between the following</w:t>
      </w:r>
      <w:r w:rsidR="006651A4" w:rsidRPr="002A75F2">
        <w:rPr>
          <w:rFonts w:cs="Arial"/>
        </w:rPr>
        <w:t xml:space="preserve"> exposure pathways</w:t>
      </w:r>
      <w:r w:rsidRPr="002A75F2">
        <w:rPr>
          <w:rFonts w:cs="Arial"/>
        </w:rPr>
        <w:t xml:space="preserve">: </w:t>
      </w:r>
    </w:p>
    <w:p w14:paraId="1056E0FD" w14:textId="77777777" w:rsidR="005721A3" w:rsidRPr="002A75F2" w:rsidRDefault="00CC5588" w:rsidP="00A47B50">
      <w:pPr>
        <w:numPr>
          <w:ilvl w:val="0"/>
          <w:numId w:val="32"/>
        </w:numPr>
        <w:rPr>
          <w:rFonts w:cs="Arial"/>
        </w:rPr>
      </w:pPr>
      <w:r w:rsidRPr="002A75F2">
        <w:rPr>
          <w:rFonts w:cs="Arial"/>
        </w:rPr>
        <w:t>M</w:t>
      </w:r>
      <w:r w:rsidR="005721A3" w:rsidRPr="002A75F2">
        <w:rPr>
          <w:rFonts w:cs="Arial"/>
        </w:rPr>
        <w:t>ajor exposure pathways</w:t>
      </w:r>
      <w:r w:rsidR="00AB4612" w:rsidRPr="002A75F2">
        <w:rPr>
          <w:rFonts w:cs="Arial"/>
        </w:rPr>
        <w:t xml:space="preserve"> that are complete</w:t>
      </w:r>
      <w:r w:rsidR="005721A3" w:rsidRPr="002A75F2">
        <w:rPr>
          <w:rFonts w:cs="Arial"/>
        </w:rPr>
        <w:t xml:space="preserve"> (which will likely be assessed in a quantitative manner); </w:t>
      </w:r>
    </w:p>
    <w:p w14:paraId="70021669" w14:textId="77777777" w:rsidR="005721A3" w:rsidRPr="002A75F2" w:rsidRDefault="00CC5588" w:rsidP="00A47B50">
      <w:pPr>
        <w:numPr>
          <w:ilvl w:val="0"/>
          <w:numId w:val="32"/>
        </w:numPr>
        <w:rPr>
          <w:rFonts w:cs="Arial"/>
        </w:rPr>
      </w:pPr>
      <w:r w:rsidRPr="002A75F2">
        <w:rPr>
          <w:rFonts w:cs="Arial"/>
        </w:rPr>
        <w:t>M</w:t>
      </w:r>
      <w:r w:rsidR="005721A3" w:rsidRPr="002A75F2">
        <w:rPr>
          <w:rFonts w:cs="Arial"/>
        </w:rPr>
        <w:t>inor/</w:t>
      </w:r>
      <w:r w:rsidR="00EA04AC" w:rsidRPr="002A75F2">
        <w:rPr>
          <w:rFonts w:cs="Arial"/>
        </w:rPr>
        <w:t>negligible</w:t>
      </w:r>
      <w:r w:rsidR="005721A3" w:rsidRPr="002A75F2">
        <w:rPr>
          <w:rFonts w:cs="Arial"/>
        </w:rPr>
        <w:t xml:space="preserve"> </w:t>
      </w:r>
      <w:r w:rsidR="00507D25" w:rsidRPr="002A75F2">
        <w:rPr>
          <w:rFonts w:cs="Arial"/>
        </w:rPr>
        <w:t xml:space="preserve">exposure </w:t>
      </w:r>
      <w:r w:rsidR="005721A3" w:rsidRPr="002A75F2">
        <w:rPr>
          <w:rFonts w:cs="Arial"/>
        </w:rPr>
        <w:t xml:space="preserve">pathways </w:t>
      </w:r>
      <w:r w:rsidR="00697ECA" w:rsidRPr="002A75F2">
        <w:rPr>
          <w:rFonts w:cs="Arial"/>
        </w:rPr>
        <w:t xml:space="preserve">that are complete </w:t>
      </w:r>
      <w:r w:rsidR="005721A3" w:rsidRPr="002A75F2">
        <w:rPr>
          <w:rFonts w:cs="Arial"/>
        </w:rPr>
        <w:t xml:space="preserve">(which could be addressed using a qualitative approach); </w:t>
      </w:r>
    </w:p>
    <w:p w14:paraId="1B22A572" w14:textId="77777777" w:rsidR="00697ECA" w:rsidRPr="002A75F2" w:rsidRDefault="00CC5588" w:rsidP="00A47B50">
      <w:pPr>
        <w:numPr>
          <w:ilvl w:val="0"/>
          <w:numId w:val="32"/>
        </w:numPr>
        <w:rPr>
          <w:rFonts w:cs="Arial"/>
        </w:rPr>
      </w:pPr>
      <w:r w:rsidRPr="002A75F2">
        <w:rPr>
          <w:rFonts w:cs="Arial"/>
        </w:rPr>
        <w:t>P</w:t>
      </w:r>
      <w:r w:rsidR="005721A3" w:rsidRPr="002A75F2">
        <w:rPr>
          <w:rFonts w:cs="Arial"/>
        </w:rPr>
        <w:t xml:space="preserve">athways </w:t>
      </w:r>
      <w:r w:rsidR="006651A4" w:rsidRPr="002A75F2">
        <w:rPr>
          <w:rFonts w:cs="Arial"/>
        </w:rPr>
        <w:t xml:space="preserve">that are not present </w:t>
      </w:r>
      <w:r w:rsidR="00507D25" w:rsidRPr="002A75F2">
        <w:rPr>
          <w:rFonts w:cs="Arial"/>
        </w:rPr>
        <w:t>or incomplete</w:t>
      </w:r>
      <w:r w:rsidR="00697ECA" w:rsidRPr="002A75F2">
        <w:rPr>
          <w:rFonts w:cs="Arial"/>
        </w:rPr>
        <w:t xml:space="preserve">, </w:t>
      </w:r>
      <w:r w:rsidR="00507D25" w:rsidRPr="002A75F2">
        <w:rPr>
          <w:rFonts w:cs="Arial"/>
        </w:rPr>
        <w:t xml:space="preserve">based on the intrinsic physical/chemical properties of the contaminant </w:t>
      </w:r>
      <w:r w:rsidR="009F4D1B" w:rsidRPr="002A75F2">
        <w:rPr>
          <w:rFonts w:cs="Arial"/>
        </w:rPr>
        <w:t xml:space="preserve">(e.g. volatility) </w:t>
      </w:r>
      <w:r w:rsidR="00507D25" w:rsidRPr="002A75F2">
        <w:rPr>
          <w:rFonts w:cs="Arial"/>
        </w:rPr>
        <w:t>and the natural geology/hydrology of the site;</w:t>
      </w:r>
      <w:r w:rsidR="006651A4" w:rsidRPr="002A75F2">
        <w:rPr>
          <w:rFonts w:cs="Arial"/>
        </w:rPr>
        <w:t xml:space="preserve"> </w:t>
      </w:r>
    </w:p>
    <w:p w14:paraId="1B31BE17" w14:textId="76C41A1C" w:rsidR="00465C26" w:rsidRPr="002A75F2" w:rsidRDefault="00B53C3B" w:rsidP="00465C26">
      <w:pPr>
        <w:rPr>
          <w:rFonts w:cs="Arial"/>
        </w:rPr>
      </w:pPr>
      <w:r w:rsidRPr="002A75F2">
        <w:rPr>
          <w:rFonts w:cs="Arial"/>
        </w:rPr>
        <w:t>Both the human health and ecological conceptual site models</w:t>
      </w:r>
      <w:r w:rsidR="00465C26" w:rsidRPr="002A75F2">
        <w:rPr>
          <w:rFonts w:cs="Arial"/>
        </w:rPr>
        <w:t xml:space="preserve"> must also first be shown without any risk management measures, and then with any existing (or proposed) risk management measures, if applicable. </w:t>
      </w:r>
      <w:r w:rsidR="00F45B48" w:rsidRPr="002A75F2">
        <w:rPr>
          <w:rFonts w:cs="Arial"/>
        </w:rPr>
        <w:t>For the</w:t>
      </w:r>
      <w:r w:rsidRPr="002A75F2">
        <w:rPr>
          <w:rFonts w:cs="Arial"/>
        </w:rPr>
        <w:t xml:space="preserve"> conceptual site models</w:t>
      </w:r>
      <w:r w:rsidR="00465C26" w:rsidRPr="002A75F2">
        <w:rPr>
          <w:rFonts w:cs="Arial"/>
        </w:rPr>
        <w:t xml:space="preserve"> that show risk management measures, pathways that are considered incomplete based on the presence of a risk management measure (e.g. barrier or restriction, whether current and/or designed as part of the proposed land use and which relies on human intervention) must be clearly identified. This </w:t>
      </w:r>
      <w:r w:rsidR="00D559DE" w:rsidRPr="002A75F2">
        <w:rPr>
          <w:rFonts w:cs="Arial"/>
        </w:rPr>
        <w:t xml:space="preserve">approach </w:t>
      </w:r>
      <w:r w:rsidR="00465C26" w:rsidRPr="002A75F2">
        <w:rPr>
          <w:rFonts w:cs="Arial"/>
        </w:rPr>
        <w:t xml:space="preserve">will allow for these </w:t>
      </w:r>
      <w:r w:rsidR="003778C2" w:rsidRPr="002A75F2">
        <w:rPr>
          <w:rFonts w:cs="Arial"/>
        </w:rPr>
        <w:t>risk management measures</w:t>
      </w:r>
      <w:r w:rsidR="00465C26" w:rsidRPr="002A75F2">
        <w:rPr>
          <w:rFonts w:cs="Arial"/>
        </w:rPr>
        <w:t xml:space="preserve"> to be accounted for </w:t>
      </w:r>
      <w:r w:rsidR="003778C2" w:rsidRPr="002A75F2">
        <w:rPr>
          <w:rFonts w:cs="Arial"/>
        </w:rPr>
        <w:t xml:space="preserve">in the </w:t>
      </w:r>
      <w:r w:rsidR="00F45B48" w:rsidRPr="002A75F2">
        <w:rPr>
          <w:rFonts w:cs="Arial"/>
        </w:rPr>
        <w:t xml:space="preserve">risk assessment and </w:t>
      </w:r>
      <w:r w:rsidR="00465C26" w:rsidRPr="002A75F2">
        <w:rPr>
          <w:rFonts w:cs="Arial"/>
        </w:rPr>
        <w:t xml:space="preserve">carried forward to the </w:t>
      </w:r>
      <w:r w:rsidR="003778C2" w:rsidRPr="002A75F2">
        <w:rPr>
          <w:rFonts w:cs="Arial"/>
        </w:rPr>
        <w:t>risk management plan</w:t>
      </w:r>
      <w:r w:rsidR="00465C26" w:rsidRPr="002A75F2">
        <w:rPr>
          <w:rFonts w:cs="Arial"/>
        </w:rPr>
        <w:t xml:space="preserve">, if </w:t>
      </w:r>
      <w:r w:rsidR="003778C2" w:rsidRPr="002A75F2">
        <w:rPr>
          <w:rFonts w:cs="Arial"/>
        </w:rPr>
        <w:t>necessary</w:t>
      </w:r>
      <w:r w:rsidR="00465C26" w:rsidRPr="002A75F2">
        <w:rPr>
          <w:rFonts w:cs="Arial"/>
        </w:rPr>
        <w:t>, to ensure that they are put in place and communicated to future site owners/users.</w:t>
      </w:r>
    </w:p>
    <w:p w14:paraId="5E562A42" w14:textId="42F61D49" w:rsidR="00A91142" w:rsidRPr="002A75F2" w:rsidRDefault="00A91142" w:rsidP="00DE496B">
      <w:pPr>
        <w:pStyle w:val="Heading3"/>
        <w:rPr>
          <w:rFonts w:cs="Arial"/>
        </w:rPr>
      </w:pPr>
      <w:bookmarkStart w:id="79" w:name="_Toc41905656"/>
      <w:r w:rsidRPr="002A75F2">
        <w:rPr>
          <w:rFonts w:cs="Arial"/>
        </w:rPr>
        <w:lastRenderedPageBreak/>
        <w:t>Drawings</w:t>
      </w:r>
      <w:r w:rsidR="00C91AFB" w:rsidRPr="002A75F2">
        <w:rPr>
          <w:rFonts w:cs="Arial"/>
        </w:rPr>
        <w:t xml:space="preserve"> and Figures</w:t>
      </w:r>
      <w:r w:rsidR="00464152" w:rsidRPr="002A75F2">
        <w:rPr>
          <w:rFonts w:cs="Arial"/>
        </w:rPr>
        <w:t xml:space="preserve"> </w:t>
      </w:r>
      <w:r w:rsidR="002C0196" w:rsidRPr="002A75F2">
        <w:rPr>
          <w:rFonts w:cs="Arial"/>
        </w:rPr>
        <w:t xml:space="preserve">– </w:t>
      </w:r>
      <w:r w:rsidR="00464152" w:rsidRPr="002A75F2">
        <w:rPr>
          <w:rFonts w:cs="Arial"/>
        </w:rPr>
        <w:t>Additional</w:t>
      </w:r>
      <w:r w:rsidR="002C0196" w:rsidRPr="002A75F2">
        <w:rPr>
          <w:rFonts w:cs="Arial"/>
        </w:rPr>
        <w:t xml:space="preserve"> </w:t>
      </w:r>
      <w:r w:rsidR="00464152" w:rsidRPr="002A75F2">
        <w:rPr>
          <w:rFonts w:cs="Arial"/>
        </w:rPr>
        <w:t>Guidance</w:t>
      </w:r>
      <w:bookmarkEnd w:id="79"/>
    </w:p>
    <w:p w14:paraId="2A9FFEC5" w14:textId="677890A8" w:rsidR="00A91142" w:rsidRPr="002A75F2" w:rsidRDefault="00A91142" w:rsidP="00A91142">
      <w:pPr>
        <w:rPr>
          <w:rFonts w:cs="Arial"/>
        </w:rPr>
      </w:pPr>
      <w:r w:rsidRPr="002A75F2">
        <w:rPr>
          <w:rFonts w:cs="Arial"/>
        </w:rPr>
        <w:t>The PSF is comprised of a completed form and attached drawings</w:t>
      </w:r>
      <w:r w:rsidR="00C91AFB" w:rsidRPr="002A75F2">
        <w:rPr>
          <w:rFonts w:cs="Arial"/>
        </w:rPr>
        <w:t xml:space="preserve"> and figures</w:t>
      </w:r>
      <w:r w:rsidRPr="002A75F2">
        <w:rPr>
          <w:rFonts w:cs="Arial"/>
        </w:rPr>
        <w:t>. Drawings that support and elaborate on the content of the form are to include a scale site plan, one or more cross-sections of the property and other line drawings, including pictures, line art, flow diagrams, text and tabulated data at the discretion of the proponent and QP.</w:t>
      </w:r>
      <w:r w:rsidR="003F53F4" w:rsidRPr="002A75F2">
        <w:rPr>
          <w:rFonts w:cs="Arial"/>
        </w:rPr>
        <w:t xml:space="preserve"> </w:t>
      </w:r>
      <w:r w:rsidR="007F7DC5" w:rsidRPr="002A75F2">
        <w:rPr>
          <w:rFonts w:cs="Arial"/>
        </w:rPr>
        <w:t>Note that any i</w:t>
      </w:r>
      <w:r w:rsidR="003F53F4" w:rsidRPr="002A75F2">
        <w:rPr>
          <w:rFonts w:cs="Arial"/>
        </w:rPr>
        <w:t xml:space="preserve">nformation that is already included </w:t>
      </w:r>
      <w:r w:rsidR="007F7DC5" w:rsidRPr="002A75F2">
        <w:rPr>
          <w:rFonts w:cs="Arial"/>
        </w:rPr>
        <w:t xml:space="preserve">as part of the </w:t>
      </w:r>
      <w:r w:rsidR="003F53F4" w:rsidRPr="002A75F2">
        <w:rPr>
          <w:rFonts w:cs="Arial"/>
        </w:rPr>
        <w:t>phase two conceptual site model does not need to be duplicated here.</w:t>
      </w:r>
    </w:p>
    <w:p w14:paraId="56FD8868" w14:textId="49BBCC75" w:rsidR="00B736F9" w:rsidRPr="002A75F2" w:rsidRDefault="00B736F9" w:rsidP="00840964">
      <w:pPr>
        <w:rPr>
          <w:rFonts w:cs="Arial"/>
        </w:rPr>
      </w:pPr>
      <w:r w:rsidRPr="002A75F2">
        <w:rPr>
          <w:rFonts w:cs="Arial"/>
        </w:rPr>
        <w:t xml:space="preserve">The goal of the drawings is to provide a three dimensional illustration </w:t>
      </w:r>
      <w:r w:rsidR="00F43B74" w:rsidRPr="002A75F2">
        <w:rPr>
          <w:rFonts w:cs="Arial"/>
        </w:rPr>
        <w:t xml:space="preserve">(site area and depth) </w:t>
      </w:r>
      <w:r w:rsidRPr="002A75F2">
        <w:rPr>
          <w:rFonts w:cs="Arial"/>
        </w:rPr>
        <w:t>of the subsurface hydrogeological conditions, contaminant source</w:t>
      </w:r>
      <w:r w:rsidR="00C91AFB" w:rsidRPr="002A75F2">
        <w:rPr>
          <w:rFonts w:cs="Arial"/>
        </w:rPr>
        <w:t>(</w:t>
      </w:r>
      <w:r w:rsidRPr="002A75F2">
        <w:rPr>
          <w:rFonts w:cs="Arial"/>
        </w:rPr>
        <w:t>s</w:t>
      </w:r>
      <w:r w:rsidR="00C91AFB" w:rsidRPr="002A75F2">
        <w:rPr>
          <w:rFonts w:cs="Arial"/>
        </w:rPr>
        <w:t>)</w:t>
      </w:r>
      <w:r w:rsidRPr="002A75F2">
        <w:rPr>
          <w:rFonts w:cs="Arial"/>
        </w:rPr>
        <w:t>, extent of contamination, transport pathways, receptors and routes of exposure which, together, comprise a preliminary conceptual site model. The soil layers and groundwater units identified on the PSF should be clearly identified in the drawings</w:t>
      </w:r>
      <w:r w:rsidR="00C91AFB" w:rsidRPr="002A75F2">
        <w:rPr>
          <w:rFonts w:cs="Arial"/>
        </w:rPr>
        <w:t xml:space="preserve"> and figures</w:t>
      </w:r>
      <w:r w:rsidRPr="002A75F2">
        <w:rPr>
          <w:rFonts w:cs="Arial"/>
        </w:rPr>
        <w:t xml:space="preserve">. Combined with the information provided in the </w:t>
      </w:r>
      <w:r w:rsidR="00C91AFB" w:rsidRPr="002A75F2">
        <w:rPr>
          <w:rFonts w:cs="Arial"/>
        </w:rPr>
        <w:t>PSF</w:t>
      </w:r>
      <w:r w:rsidRPr="002A75F2">
        <w:rPr>
          <w:rFonts w:cs="Arial"/>
        </w:rPr>
        <w:t xml:space="preserve">, the drawings </w:t>
      </w:r>
      <w:r w:rsidR="00C91AFB" w:rsidRPr="002A75F2">
        <w:rPr>
          <w:rFonts w:cs="Arial"/>
        </w:rPr>
        <w:t xml:space="preserve">and figures </w:t>
      </w:r>
      <w:r w:rsidRPr="002A75F2">
        <w:rPr>
          <w:rFonts w:cs="Arial"/>
        </w:rPr>
        <w:t xml:space="preserve">are intended to convey to the </w:t>
      </w:r>
      <w:r w:rsidR="002D7DFD" w:rsidRPr="002A75F2">
        <w:rPr>
          <w:rFonts w:cs="Arial"/>
        </w:rPr>
        <w:t>M</w:t>
      </w:r>
      <w:r w:rsidR="002A6EE0" w:rsidRPr="002A75F2">
        <w:rPr>
          <w:rFonts w:cs="Arial"/>
        </w:rPr>
        <w:t>inistry</w:t>
      </w:r>
      <w:r w:rsidRPr="002A75F2">
        <w:rPr>
          <w:rFonts w:cs="Arial"/>
        </w:rPr>
        <w:t xml:space="preserve"> the risk assessment team’s current understanding of the types and location of hazards, potential exposure pathways and barriers </w:t>
      </w:r>
      <w:r w:rsidR="00C91AFB" w:rsidRPr="002A75F2">
        <w:rPr>
          <w:rFonts w:cs="Arial"/>
        </w:rPr>
        <w:t>to</w:t>
      </w:r>
      <w:r w:rsidRPr="002A75F2">
        <w:rPr>
          <w:rFonts w:cs="Arial"/>
        </w:rPr>
        <w:t xml:space="preserve"> pathways, and the type and location of potential receptors consistent with the proposed land use. Sufficient site information data should be provided to determine if there is adequate knowledge of the site on which to base a risk assessment consistent with the illustrated conceptual site model and the planned risk assessment approach. </w:t>
      </w:r>
    </w:p>
    <w:p w14:paraId="5766EA80" w14:textId="77777777" w:rsidR="00B736F9" w:rsidRPr="002A75F2" w:rsidRDefault="00E56000" w:rsidP="00840964">
      <w:pPr>
        <w:rPr>
          <w:rFonts w:cs="Arial"/>
        </w:rPr>
      </w:pPr>
      <w:r w:rsidRPr="002A75F2">
        <w:rPr>
          <w:rFonts w:cs="Arial"/>
        </w:rPr>
        <w:t>I</w:t>
      </w:r>
      <w:r w:rsidR="00B736F9" w:rsidRPr="002A75F2">
        <w:rPr>
          <w:rFonts w:cs="Arial"/>
        </w:rPr>
        <w:t xml:space="preserve">t is suggested that a location map showing the property in context to the local </w:t>
      </w:r>
      <w:proofErr w:type="spellStart"/>
      <w:r w:rsidR="00EA04AC" w:rsidRPr="002A75F2">
        <w:rPr>
          <w:rFonts w:cs="Arial"/>
        </w:rPr>
        <w:t>neighbourhood</w:t>
      </w:r>
      <w:proofErr w:type="spellEnd"/>
      <w:r w:rsidR="00B736F9" w:rsidRPr="002A75F2">
        <w:rPr>
          <w:rFonts w:cs="Arial"/>
        </w:rPr>
        <w:t xml:space="preserve"> and adjacent land uses be included.</w:t>
      </w:r>
    </w:p>
    <w:p w14:paraId="223F1FD8" w14:textId="4A01EAD4" w:rsidR="00B736F9" w:rsidRPr="002A75F2" w:rsidRDefault="00B736F9" w:rsidP="00840964">
      <w:pPr>
        <w:rPr>
          <w:rFonts w:cs="Arial"/>
        </w:rPr>
      </w:pPr>
      <w:r w:rsidRPr="002A75F2">
        <w:rPr>
          <w:rFonts w:cs="Arial"/>
        </w:rPr>
        <w:t>The proponent should include with the PSF any additional supporting information</w:t>
      </w:r>
      <w:r w:rsidR="00F43B74" w:rsidRPr="002A75F2">
        <w:rPr>
          <w:rFonts w:cs="Arial"/>
        </w:rPr>
        <w:t xml:space="preserve"> </w:t>
      </w:r>
      <w:r w:rsidRPr="002A75F2">
        <w:rPr>
          <w:rFonts w:cs="Arial"/>
        </w:rPr>
        <w:t>which they believe provides additional information to support the proposed risk assessment as well as any plans for the collection of additional information.</w:t>
      </w:r>
    </w:p>
    <w:p w14:paraId="6AB57829" w14:textId="48721045" w:rsidR="00B736F9" w:rsidRPr="002A75F2" w:rsidRDefault="00B736F9" w:rsidP="00840964">
      <w:pPr>
        <w:rPr>
          <w:rFonts w:cs="Arial"/>
        </w:rPr>
      </w:pPr>
      <w:r w:rsidRPr="002A75F2">
        <w:rPr>
          <w:rFonts w:cs="Arial"/>
        </w:rPr>
        <w:t xml:space="preserve">In developing and illustrating a conceptual site model, the </w:t>
      </w:r>
      <w:r w:rsidR="009C3DA4" w:rsidRPr="002A75F2">
        <w:rPr>
          <w:rFonts w:cs="Arial"/>
        </w:rPr>
        <w:t xml:space="preserve">QP </w:t>
      </w:r>
      <w:r w:rsidRPr="002A75F2">
        <w:rPr>
          <w:rFonts w:cs="Arial"/>
        </w:rPr>
        <w:t>should consider</w:t>
      </w:r>
      <w:r w:rsidR="005E3A93" w:rsidRPr="002A75F2">
        <w:rPr>
          <w:rFonts w:cs="Arial"/>
        </w:rPr>
        <w:t xml:space="preserve"> whether:</w:t>
      </w:r>
    </w:p>
    <w:p w14:paraId="4ECF9CCD" w14:textId="469A9A30" w:rsidR="00B736F9" w:rsidRPr="002A75F2" w:rsidRDefault="00DB533E" w:rsidP="000E72E5">
      <w:pPr>
        <w:pStyle w:val="ListBullet2"/>
        <w:rPr>
          <w:rFonts w:cs="Arial"/>
        </w:rPr>
      </w:pPr>
      <w:r w:rsidRPr="002A75F2">
        <w:rPr>
          <w:rFonts w:cs="Arial"/>
        </w:rPr>
        <w:t>S</w:t>
      </w:r>
      <w:r w:rsidR="00B736F9" w:rsidRPr="002A75F2">
        <w:rPr>
          <w:rFonts w:cs="Arial"/>
        </w:rPr>
        <w:t>ite and local knowledge are sufficient to support the geological and hydrogeological interpretation. For example;</w:t>
      </w:r>
    </w:p>
    <w:p w14:paraId="0DBF517F" w14:textId="77777777" w:rsidR="00B736F9" w:rsidRPr="002A75F2" w:rsidRDefault="00B736F9" w:rsidP="00756E24">
      <w:pPr>
        <w:pStyle w:val="ListBullet3"/>
        <w:rPr>
          <w:rFonts w:cs="Arial"/>
        </w:rPr>
      </w:pPr>
      <w:r w:rsidRPr="002A75F2">
        <w:rPr>
          <w:rFonts w:cs="Arial"/>
        </w:rPr>
        <w:t>are all contaminant sources identified?</w:t>
      </w:r>
    </w:p>
    <w:p w14:paraId="7FA633A0" w14:textId="77777777" w:rsidR="00B736F9" w:rsidRPr="002A75F2" w:rsidRDefault="00B736F9" w:rsidP="00756E24">
      <w:pPr>
        <w:pStyle w:val="ListBullet3"/>
        <w:rPr>
          <w:rFonts w:cs="Arial"/>
        </w:rPr>
      </w:pPr>
      <w:r w:rsidRPr="002A75F2">
        <w:rPr>
          <w:rFonts w:cs="Arial"/>
        </w:rPr>
        <w:t xml:space="preserve">have contaminant plumes been adequately delineated and characterized for the purpose of the risk assessment? </w:t>
      </w:r>
    </w:p>
    <w:p w14:paraId="26176DB3" w14:textId="77777777" w:rsidR="00B736F9" w:rsidRPr="002A75F2" w:rsidRDefault="00DB533E" w:rsidP="000E72E5">
      <w:pPr>
        <w:pStyle w:val="ListBullet2"/>
        <w:rPr>
          <w:rFonts w:cs="Arial"/>
        </w:rPr>
      </w:pPr>
      <w:r w:rsidRPr="002A75F2">
        <w:rPr>
          <w:rFonts w:cs="Arial"/>
        </w:rPr>
        <w:t>S</w:t>
      </w:r>
      <w:r w:rsidR="00B736F9" w:rsidRPr="002A75F2">
        <w:rPr>
          <w:rFonts w:cs="Arial"/>
        </w:rPr>
        <w:t>ampled media and sample locations address all potential transport pathways</w:t>
      </w:r>
      <w:r w:rsidR="00C91AFB" w:rsidRPr="002A75F2">
        <w:rPr>
          <w:rFonts w:cs="Arial"/>
        </w:rPr>
        <w:t>;</w:t>
      </w:r>
      <w:r w:rsidR="00D55B9A" w:rsidRPr="002A75F2">
        <w:rPr>
          <w:rFonts w:cs="Arial"/>
        </w:rPr>
        <w:t xml:space="preserve"> and</w:t>
      </w:r>
    </w:p>
    <w:p w14:paraId="6BD82725" w14:textId="77777777" w:rsidR="00B736F9" w:rsidRPr="002A75F2" w:rsidRDefault="00DB533E" w:rsidP="000E72E5">
      <w:pPr>
        <w:pStyle w:val="ListBullet2"/>
        <w:rPr>
          <w:rFonts w:cs="Arial"/>
        </w:rPr>
      </w:pPr>
      <w:r w:rsidRPr="002A75F2">
        <w:rPr>
          <w:rFonts w:cs="Arial"/>
        </w:rPr>
        <w:t>T</w:t>
      </w:r>
      <w:r w:rsidR="00B736F9" w:rsidRPr="002A75F2">
        <w:rPr>
          <w:rFonts w:cs="Arial"/>
        </w:rPr>
        <w:t>he models to be used;</w:t>
      </w:r>
    </w:p>
    <w:p w14:paraId="5E629C58" w14:textId="77777777" w:rsidR="00B736F9" w:rsidRPr="002A75F2" w:rsidRDefault="00B736F9" w:rsidP="00756E24">
      <w:pPr>
        <w:pStyle w:val="ListBullet3"/>
        <w:rPr>
          <w:rFonts w:cs="Arial"/>
        </w:rPr>
      </w:pPr>
      <w:r w:rsidRPr="002A75F2">
        <w:rPr>
          <w:rFonts w:cs="Arial"/>
        </w:rPr>
        <w:t xml:space="preserve">are suited to the conceptual site model, </w:t>
      </w:r>
      <w:r w:rsidR="00432C50" w:rsidRPr="002A75F2">
        <w:rPr>
          <w:rFonts w:cs="Arial"/>
        </w:rPr>
        <w:t>and</w:t>
      </w:r>
    </w:p>
    <w:p w14:paraId="0814B703" w14:textId="77777777" w:rsidR="00B736F9" w:rsidRPr="002A75F2" w:rsidRDefault="00B736F9" w:rsidP="00756E24">
      <w:pPr>
        <w:pStyle w:val="ListBullet3"/>
        <w:rPr>
          <w:rFonts w:cs="Arial"/>
        </w:rPr>
      </w:pPr>
      <w:r w:rsidRPr="002A75F2">
        <w:rPr>
          <w:rFonts w:cs="Arial"/>
        </w:rPr>
        <w:t>will have adequate site data to support assumptions</w:t>
      </w:r>
      <w:r w:rsidR="00432C50" w:rsidRPr="002A75F2">
        <w:rPr>
          <w:rFonts w:cs="Arial"/>
        </w:rPr>
        <w:t>.</w:t>
      </w:r>
    </w:p>
    <w:p w14:paraId="1DBD95CE" w14:textId="77777777" w:rsidR="00B736F9" w:rsidRPr="002A75F2" w:rsidRDefault="00B14C51" w:rsidP="00840964">
      <w:pPr>
        <w:rPr>
          <w:rFonts w:cs="Arial"/>
        </w:rPr>
      </w:pPr>
      <w:r w:rsidRPr="002A75F2">
        <w:rPr>
          <w:rFonts w:cs="Arial"/>
        </w:rPr>
        <w:t>Based on Ministry feedback, t</w:t>
      </w:r>
      <w:r w:rsidR="00B736F9" w:rsidRPr="002A75F2">
        <w:rPr>
          <w:rFonts w:cs="Arial"/>
        </w:rPr>
        <w:t xml:space="preserve">he conceptual site model presented in the PSF </w:t>
      </w:r>
      <w:r w:rsidRPr="002A75F2">
        <w:rPr>
          <w:rFonts w:cs="Arial"/>
        </w:rPr>
        <w:t xml:space="preserve">may still need to be modified, updated or refined further prior to the </w:t>
      </w:r>
      <w:r w:rsidR="00B736F9" w:rsidRPr="002A75F2">
        <w:rPr>
          <w:rFonts w:cs="Arial"/>
        </w:rPr>
        <w:t>submission of the risk assessment.</w:t>
      </w:r>
    </w:p>
    <w:p w14:paraId="0D28BDA8" w14:textId="43E61065" w:rsidR="00B736F9" w:rsidRPr="002A75F2" w:rsidRDefault="00B736F9" w:rsidP="00DE496B">
      <w:pPr>
        <w:pStyle w:val="Heading3"/>
        <w:rPr>
          <w:rFonts w:cs="Arial"/>
        </w:rPr>
      </w:pPr>
      <w:bookmarkStart w:id="80" w:name="_Toc41905657"/>
      <w:r w:rsidRPr="002A75F2">
        <w:rPr>
          <w:rFonts w:cs="Arial"/>
        </w:rPr>
        <w:t>Other Attached Documents</w:t>
      </w:r>
      <w:r w:rsidR="00464152" w:rsidRPr="002A75F2">
        <w:rPr>
          <w:rFonts w:cs="Arial"/>
        </w:rPr>
        <w:t xml:space="preserve"> – Additional Guidance</w:t>
      </w:r>
      <w:bookmarkEnd w:id="80"/>
    </w:p>
    <w:p w14:paraId="6F0083E3" w14:textId="77777777" w:rsidR="00B736F9" w:rsidRPr="002A75F2" w:rsidRDefault="00B736F9" w:rsidP="00840964">
      <w:pPr>
        <w:rPr>
          <w:rFonts w:cs="Arial"/>
        </w:rPr>
      </w:pPr>
      <w:r w:rsidRPr="002A75F2">
        <w:rPr>
          <w:rFonts w:cs="Arial"/>
        </w:rPr>
        <w:t>The proponent may attach other documents which they believe support the risk assessment approach</w:t>
      </w:r>
      <w:r w:rsidR="00F139FC" w:rsidRPr="002A75F2">
        <w:rPr>
          <w:rFonts w:cs="Arial"/>
        </w:rPr>
        <w:t xml:space="preserve">, including </w:t>
      </w:r>
      <w:r w:rsidRPr="002A75F2">
        <w:rPr>
          <w:rFonts w:cs="Arial"/>
        </w:rPr>
        <w:t>any documentation which supports deviation from best practice</w:t>
      </w:r>
      <w:r w:rsidR="00D82679" w:rsidRPr="002A75F2">
        <w:rPr>
          <w:rFonts w:cs="Arial"/>
        </w:rPr>
        <w:t xml:space="preserve">, reliance </w:t>
      </w:r>
      <w:r w:rsidR="00D82679" w:rsidRPr="002A75F2">
        <w:rPr>
          <w:rFonts w:cs="Arial"/>
        </w:rPr>
        <w:lastRenderedPageBreak/>
        <w:t>on updated science (e.g. new TRVs)</w:t>
      </w:r>
      <w:r w:rsidRPr="002A75F2">
        <w:rPr>
          <w:rFonts w:cs="Arial"/>
        </w:rPr>
        <w:t xml:space="preserve"> </w:t>
      </w:r>
      <w:r w:rsidR="00D82679" w:rsidRPr="002A75F2">
        <w:rPr>
          <w:rFonts w:cs="Arial"/>
        </w:rPr>
        <w:t>or</w:t>
      </w:r>
      <w:r w:rsidRPr="002A75F2">
        <w:rPr>
          <w:rFonts w:cs="Arial"/>
        </w:rPr>
        <w:t xml:space="preserve"> plans for additional data collection</w:t>
      </w:r>
      <w:r w:rsidR="006C1C09" w:rsidRPr="002A75F2">
        <w:rPr>
          <w:rFonts w:cs="Arial"/>
        </w:rPr>
        <w:t xml:space="preserve"> (e.g. sampling, site-specific toxicity testing)</w:t>
      </w:r>
      <w:r w:rsidRPr="002A75F2">
        <w:rPr>
          <w:rFonts w:cs="Arial"/>
        </w:rPr>
        <w:t>, if any are contemplated at the time of PSF submission.</w:t>
      </w:r>
    </w:p>
    <w:p w14:paraId="01D07B9A" w14:textId="449F8E87" w:rsidR="00C115AF" w:rsidRPr="002A75F2" w:rsidRDefault="000412CE" w:rsidP="00840964">
      <w:pPr>
        <w:rPr>
          <w:rFonts w:cs="Arial"/>
        </w:rPr>
      </w:pPr>
      <w:r w:rsidRPr="002A75F2">
        <w:rPr>
          <w:rFonts w:cs="Arial"/>
        </w:rPr>
        <w:t>T</w:t>
      </w:r>
      <w:r w:rsidR="00C115AF" w:rsidRPr="002A75F2">
        <w:rPr>
          <w:rFonts w:cs="Arial"/>
        </w:rPr>
        <w:t xml:space="preserve">he proponent may also include in the PSF any toxicological information relating to potential adverse human health effects and surrogate ecological test species, if these have been considered at the time of submitting the PSF, on which the proponent wishes to seek </w:t>
      </w:r>
      <w:r w:rsidR="002D7DFD" w:rsidRPr="002A75F2">
        <w:rPr>
          <w:rFonts w:cs="Arial"/>
        </w:rPr>
        <w:t>M</w:t>
      </w:r>
      <w:r w:rsidR="002A6EE0" w:rsidRPr="002A75F2">
        <w:rPr>
          <w:rFonts w:cs="Arial"/>
        </w:rPr>
        <w:t>inistry</w:t>
      </w:r>
      <w:r w:rsidR="00C115AF" w:rsidRPr="002A75F2">
        <w:rPr>
          <w:rFonts w:cs="Arial"/>
        </w:rPr>
        <w:t xml:space="preserve"> comment. For example, if at the time of preparing the PSF</w:t>
      </w:r>
      <w:r w:rsidR="001626A4" w:rsidRPr="002A75F2">
        <w:rPr>
          <w:rFonts w:cs="Arial"/>
        </w:rPr>
        <w:t>,</w:t>
      </w:r>
      <w:r w:rsidR="00C115AF" w:rsidRPr="002A75F2">
        <w:rPr>
          <w:rFonts w:cs="Arial"/>
        </w:rPr>
        <w:t xml:space="preserve"> the </w:t>
      </w:r>
      <w:r w:rsidR="00B24C01" w:rsidRPr="002A75F2">
        <w:rPr>
          <w:rFonts w:cs="Arial"/>
        </w:rPr>
        <w:t>risk assessment</w:t>
      </w:r>
      <w:r w:rsidR="00C115AF" w:rsidRPr="002A75F2">
        <w:rPr>
          <w:rFonts w:cs="Arial"/>
        </w:rPr>
        <w:t xml:space="preserve"> team has selected surrogate species which they intend to represent the site </w:t>
      </w:r>
      <w:r w:rsidR="00C60164" w:rsidRPr="002A75F2">
        <w:rPr>
          <w:rFonts w:cs="Arial"/>
        </w:rPr>
        <w:t>valued ecological components (</w:t>
      </w:r>
      <w:r w:rsidR="00C115AF" w:rsidRPr="002A75F2">
        <w:rPr>
          <w:rFonts w:cs="Arial"/>
        </w:rPr>
        <w:t>VECs</w:t>
      </w:r>
      <w:r w:rsidR="00C60164" w:rsidRPr="002A75F2">
        <w:rPr>
          <w:rFonts w:cs="Arial"/>
        </w:rPr>
        <w:t>)</w:t>
      </w:r>
      <w:r w:rsidR="001626A4" w:rsidRPr="002A75F2">
        <w:rPr>
          <w:rFonts w:cs="Arial"/>
        </w:rPr>
        <w:t>,</w:t>
      </w:r>
      <w:r w:rsidR="00C115AF" w:rsidRPr="002A75F2">
        <w:rPr>
          <w:rFonts w:cs="Arial"/>
        </w:rPr>
        <w:t xml:space="preserve"> they may provide by way of a table the VECs selected for the site (a subset of the species present on the site) and the species selected from the literature to be used for determining the toxicity reference value (e.</w:t>
      </w:r>
      <w:r w:rsidR="001626A4" w:rsidRPr="002A75F2">
        <w:rPr>
          <w:rFonts w:cs="Arial"/>
        </w:rPr>
        <w:t>g.</w:t>
      </w:r>
      <w:r w:rsidR="00C115AF" w:rsidRPr="002A75F2">
        <w:rPr>
          <w:rFonts w:cs="Arial"/>
        </w:rPr>
        <w:t xml:space="preserve"> whether dog or rat toxicity data will be used </w:t>
      </w:r>
      <w:r w:rsidR="001626A4" w:rsidRPr="002A75F2">
        <w:rPr>
          <w:rFonts w:cs="Arial"/>
        </w:rPr>
        <w:t xml:space="preserve">as a surrogate for the </w:t>
      </w:r>
      <w:r w:rsidR="00C115AF" w:rsidRPr="002A75F2">
        <w:rPr>
          <w:rFonts w:cs="Arial"/>
        </w:rPr>
        <w:t>red fox).</w:t>
      </w:r>
    </w:p>
    <w:p w14:paraId="36227838" w14:textId="77777777" w:rsidR="00B736F9" w:rsidRPr="002A75F2" w:rsidRDefault="00B736F9" w:rsidP="00840964">
      <w:pPr>
        <w:rPr>
          <w:rFonts w:cs="Arial"/>
        </w:rPr>
      </w:pPr>
      <w:r w:rsidRPr="002A75F2">
        <w:rPr>
          <w:rFonts w:cs="Arial"/>
        </w:rPr>
        <w:t xml:space="preserve">If a public communication plan has been developed at the time of the PSF submission, this may </w:t>
      </w:r>
      <w:r w:rsidR="001626A4" w:rsidRPr="002A75F2">
        <w:rPr>
          <w:rFonts w:cs="Arial"/>
        </w:rPr>
        <w:t xml:space="preserve">also </w:t>
      </w:r>
      <w:r w:rsidRPr="002A75F2">
        <w:rPr>
          <w:rFonts w:cs="Arial"/>
        </w:rPr>
        <w:t>be attached</w:t>
      </w:r>
      <w:r w:rsidR="001626A4" w:rsidRPr="002A75F2">
        <w:rPr>
          <w:rFonts w:cs="Arial"/>
        </w:rPr>
        <w:t>,</w:t>
      </w:r>
      <w:r w:rsidRPr="002A75F2">
        <w:rPr>
          <w:rFonts w:cs="Arial"/>
        </w:rPr>
        <w:t xml:space="preserve"> for </w:t>
      </w:r>
      <w:r w:rsidR="002D7DFD" w:rsidRPr="002A75F2">
        <w:rPr>
          <w:rFonts w:cs="Arial"/>
        </w:rPr>
        <w:t>M</w:t>
      </w:r>
      <w:r w:rsidR="002A6EE0" w:rsidRPr="002A75F2">
        <w:rPr>
          <w:rFonts w:cs="Arial"/>
        </w:rPr>
        <w:t>inistry</w:t>
      </w:r>
      <w:r w:rsidRPr="002A75F2">
        <w:rPr>
          <w:rFonts w:cs="Arial"/>
        </w:rPr>
        <w:t xml:space="preserve"> comment.</w:t>
      </w:r>
    </w:p>
    <w:p w14:paraId="636ADBCE" w14:textId="61E8B78D" w:rsidR="00DF2BA2" w:rsidRPr="002A75F2" w:rsidRDefault="00C94E48" w:rsidP="00DF2BA2">
      <w:pPr>
        <w:rPr>
          <w:rFonts w:cs="Arial"/>
        </w:rPr>
      </w:pPr>
      <w:r w:rsidRPr="002A75F2">
        <w:rPr>
          <w:rFonts w:cs="Arial"/>
        </w:rPr>
        <w:t xml:space="preserve">Proponents </w:t>
      </w:r>
      <w:r w:rsidR="00DF2BA2" w:rsidRPr="002A75F2">
        <w:rPr>
          <w:rFonts w:cs="Arial"/>
        </w:rPr>
        <w:t>are also strongly encouraged to include an appendix (in text and or tabular form) that describes the planned risk assessment approach. This can include a list of COCs, an overview of how the QP</w:t>
      </w:r>
      <w:r w:rsidR="00DF2BA2" w:rsidRPr="002A75F2">
        <w:rPr>
          <w:rFonts w:cs="Arial"/>
          <w:vertAlign w:val="subscript"/>
        </w:rPr>
        <w:t>RA</w:t>
      </w:r>
      <w:r w:rsidR="00DF2BA2" w:rsidRPr="002A75F2">
        <w:rPr>
          <w:rFonts w:cs="Arial"/>
        </w:rPr>
        <w:t xml:space="preserve"> intends to perform the human health and ecological risk assessments (i.e. receptor pathways, secondary screening processes, etc.), and any other pertinent information. </w:t>
      </w:r>
      <w:r w:rsidR="00EF2762" w:rsidRPr="002A75F2">
        <w:rPr>
          <w:rFonts w:cs="Arial"/>
        </w:rPr>
        <w:t>Providing t</w:t>
      </w:r>
      <w:r w:rsidR="00DF2BA2" w:rsidRPr="002A75F2">
        <w:rPr>
          <w:rFonts w:cs="Arial"/>
        </w:rPr>
        <w:t xml:space="preserve">his </w:t>
      </w:r>
      <w:r w:rsidR="00006D1C" w:rsidRPr="002A75F2">
        <w:rPr>
          <w:rFonts w:cs="Arial"/>
        </w:rPr>
        <w:t xml:space="preserve">information </w:t>
      </w:r>
      <w:r w:rsidR="00DF2BA2" w:rsidRPr="002A75F2">
        <w:rPr>
          <w:rFonts w:cs="Arial"/>
        </w:rPr>
        <w:t>can provide reviewers with the opportunity to provide useful feedback to improve the overall quality of the risk assessment.</w:t>
      </w:r>
    </w:p>
    <w:p w14:paraId="157F480D" w14:textId="52EB1F1E" w:rsidR="001A287D" w:rsidRPr="002A75F2" w:rsidRDefault="00DF2BA2" w:rsidP="00DF2BA2">
      <w:pPr>
        <w:rPr>
          <w:rFonts w:cs="Arial"/>
        </w:rPr>
      </w:pPr>
      <w:r w:rsidRPr="002A75F2">
        <w:rPr>
          <w:rFonts w:cs="Arial"/>
        </w:rPr>
        <w:t xml:space="preserve">The </w:t>
      </w:r>
      <w:r w:rsidR="0032339F" w:rsidRPr="002A75F2">
        <w:rPr>
          <w:rFonts w:cs="Arial"/>
        </w:rPr>
        <w:t>p</w:t>
      </w:r>
      <w:r w:rsidRPr="002A75F2">
        <w:rPr>
          <w:rFonts w:cs="Arial"/>
        </w:rPr>
        <w:t xml:space="preserve">hase one and </w:t>
      </w:r>
      <w:r w:rsidR="0032339F" w:rsidRPr="002A75F2">
        <w:rPr>
          <w:rFonts w:cs="Arial"/>
        </w:rPr>
        <w:t>p</w:t>
      </w:r>
      <w:r w:rsidRPr="002A75F2">
        <w:rPr>
          <w:rFonts w:cs="Arial"/>
        </w:rPr>
        <w:t xml:space="preserve">hase two ESA reports </w:t>
      </w:r>
      <w:r w:rsidR="00BC1D8A" w:rsidRPr="002A75F2">
        <w:rPr>
          <w:rFonts w:cs="Arial"/>
        </w:rPr>
        <w:t xml:space="preserve">(and any other reports deemed to be relevant by the QP) </w:t>
      </w:r>
      <w:r w:rsidRPr="002A75F2">
        <w:rPr>
          <w:rFonts w:cs="Arial"/>
        </w:rPr>
        <w:t xml:space="preserve">may also be attached, for reference. Although ESA reports are not reviewed as part of the PSF review process, these documents can help further inform the PSF, when necessary. </w:t>
      </w:r>
    </w:p>
    <w:p w14:paraId="4EFBE8DF" w14:textId="53E50044" w:rsidR="00DF2BA2" w:rsidRPr="002A75F2" w:rsidRDefault="001A287D" w:rsidP="00DF2BA2">
      <w:pPr>
        <w:rPr>
          <w:rFonts w:cs="Arial"/>
        </w:rPr>
      </w:pPr>
      <w:r w:rsidRPr="002A75F2">
        <w:rPr>
          <w:rFonts w:cs="Arial"/>
        </w:rPr>
        <w:t>Borehole logs, certificates of analysis, chain of custody information, grain size analysis results and pH sampling results should also be provided with the PSF.</w:t>
      </w:r>
      <w:r w:rsidR="00D77402" w:rsidRPr="002A75F2">
        <w:rPr>
          <w:rFonts w:cs="Arial"/>
        </w:rPr>
        <w:t xml:space="preserve"> </w:t>
      </w:r>
      <w:r w:rsidRPr="002A75F2">
        <w:rPr>
          <w:rFonts w:cs="Arial"/>
        </w:rPr>
        <w:t xml:space="preserve">Note that the Ministry may request that additional ESA information be provided at the </w:t>
      </w:r>
      <w:r w:rsidR="003D407C" w:rsidRPr="002A75F2">
        <w:rPr>
          <w:rFonts w:cs="Arial"/>
        </w:rPr>
        <w:t>risk assessment</w:t>
      </w:r>
      <w:r w:rsidRPr="002A75F2">
        <w:rPr>
          <w:rFonts w:cs="Arial"/>
        </w:rPr>
        <w:t xml:space="preserve"> stage on a case by case basis.</w:t>
      </w:r>
    </w:p>
    <w:p w14:paraId="31219E29" w14:textId="1538CF52" w:rsidR="00E93FE0" w:rsidRPr="002A75F2" w:rsidRDefault="00E93FE0" w:rsidP="006F25DD">
      <w:pPr>
        <w:pStyle w:val="Heading2"/>
        <w:rPr>
          <w:rFonts w:cs="Arial"/>
        </w:rPr>
      </w:pPr>
      <w:bookmarkStart w:id="81" w:name="_Toc41905658"/>
      <w:r w:rsidRPr="002A75F2">
        <w:rPr>
          <w:rFonts w:cs="Arial"/>
        </w:rPr>
        <w:t>Self</w:t>
      </w:r>
      <w:r w:rsidR="00143545" w:rsidRPr="002A75F2">
        <w:rPr>
          <w:rFonts w:cs="Arial"/>
        </w:rPr>
        <w:t>-</w:t>
      </w:r>
      <w:r w:rsidRPr="002A75F2">
        <w:rPr>
          <w:rFonts w:cs="Arial"/>
        </w:rPr>
        <w:t>Declaring Qualifications in PSF</w:t>
      </w:r>
      <w:bookmarkEnd w:id="81"/>
    </w:p>
    <w:p w14:paraId="71BD5AFD" w14:textId="4C3C9A04" w:rsidR="00B736F9" w:rsidRPr="002A75F2" w:rsidRDefault="00B736F9" w:rsidP="00840964">
      <w:pPr>
        <w:rPr>
          <w:rFonts w:cs="Arial"/>
        </w:rPr>
      </w:pPr>
      <w:r w:rsidRPr="002A75F2">
        <w:rPr>
          <w:rFonts w:cs="Arial"/>
        </w:rPr>
        <w:t xml:space="preserve">If the </w:t>
      </w:r>
      <w:r w:rsidR="000767FF" w:rsidRPr="002A75F2">
        <w:rPr>
          <w:rFonts w:cs="Arial"/>
        </w:rPr>
        <w:t>QP</w:t>
      </w:r>
      <w:r w:rsidR="00FB0178" w:rsidRPr="002A75F2">
        <w:rPr>
          <w:rFonts w:cs="Arial"/>
          <w:vertAlign w:val="subscript"/>
        </w:rPr>
        <w:t>RA</w:t>
      </w:r>
      <w:r w:rsidRPr="002A75F2">
        <w:rPr>
          <w:rFonts w:cs="Arial"/>
        </w:rPr>
        <w:t xml:space="preserve"> has not previously self</w:t>
      </w:r>
      <w:r w:rsidR="00143545" w:rsidRPr="002A75F2">
        <w:rPr>
          <w:rFonts w:cs="Arial"/>
        </w:rPr>
        <w:t>-</w:t>
      </w:r>
      <w:r w:rsidRPr="002A75F2">
        <w:rPr>
          <w:rFonts w:cs="Arial"/>
        </w:rPr>
        <w:t xml:space="preserve">declared their qualifications to the </w:t>
      </w:r>
      <w:r w:rsidR="002D7DFD" w:rsidRPr="002A75F2">
        <w:rPr>
          <w:rFonts w:cs="Arial"/>
        </w:rPr>
        <w:t>M</w:t>
      </w:r>
      <w:r w:rsidR="002A6EE0" w:rsidRPr="002A75F2">
        <w:rPr>
          <w:rFonts w:cs="Arial"/>
        </w:rPr>
        <w:t>inistry</w:t>
      </w:r>
      <w:r w:rsidRPr="002A75F2">
        <w:rPr>
          <w:rFonts w:cs="Arial"/>
        </w:rPr>
        <w:t>, the PSF will have attached the resume, work references and post-secondary transcripts</w:t>
      </w:r>
      <w:r w:rsidR="00D31A4F" w:rsidRPr="002A75F2">
        <w:rPr>
          <w:rFonts w:cs="Arial"/>
        </w:rPr>
        <w:t xml:space="preserve"> </w:t>
      </w:r>
      <w:r w:rsidR="001468C9" w:rsidRPr="002A75F2">
        <w:rPr>
          <w:rFonts w:cs="Arial"/>
        </w:rPr>
        <w:t xml:space="preserve">(originals, in an institution-sealed envelope) </w:t>
      </w:r>
      <w:r w:rsidRPr="002A75F2">
        <w:rPr>
          <w:rFonts w:cs="Arial"/>
        </w:rPr>
        <w:t xml:space="preserve">that support the </w:t>
      </w:r>
      <w:r w:rsidR="000767FF" w:rsidRPr="002A75F2">
        <w:rPr>
          <w:rFonts w:cs="Arial"/>
        </w:rPr>
        <w:t>QP</w:t>
      </w:r>
      <w:r w:rsidR="00FB0178" w:rsidRPr="002A75F2">
        <w:rPr>
          <w:rFonts w:cs="Arial"/>
          <w:vertAlign w:val="subscript"/>
        </w:rPr>
        <w:t>RA</w:t>
      </w:r>
      <w:r w:rsidRPr="002A75F2">
        <w:rPr>
          <w:rFonts w:cs="Arial"/>
        </w:rPr>
        <w:t xml:space="preserve"> declaration. </w:t>
      </w:r>
      <w:r w:rsidR="00FB474A" w:rsidRPr="002A75F2">
        <w:rPr>
          <w:rFonts w:cs="Arial"/>
        </w:rPr>
        <w:t>While attached to the PSF submission, the QP</w:t>
      </w:r>
      <w:r w:rsidR="00FB0178" w:rsidRPr="002A75F2">
        <w:rPr>
          <w:rFonts w:cs="Arial"/>
          <w:vertAlign w:val="subscript"/>
        </w:rPr>
        <w:t>RA</w:t>
      </w:r>
      <w:r w:rsidR="00FB474A" w:rsidRPr="002A75F2">
        <w:rPr>
          <w:rFonts w:cs="Arial"/>
        </w:rPr>
        <w:t xml:space="preserve"> qualifications should be bound separately from the rest of the PSF material and provided to </w:t>
      </w:r>
      <w:r w:rsidR="00683E92" w:rsidRPr="002A75F2">
        <w:rPr>
          <w:rFonts w:cs="Arial"/>
        </w:rPr>
        <w:t xml:space="preserve">the </w:t>
      </w:r>
      <w:r w:rsidR="002D7DFD" w:rsidRPr="002A75F2">
        <w:rPr>
          <w:rFonts w:cs="Arial"/>
        </w:rPr>
        <w:t>M</w:t>
      </w:r>
      <w:r w:rsidR="00683E92" w:rsidRPr="002A75F2">
        <w:rPr>
          <w:rFonts w:cs="Arial"/>
        </w:rPr>
        <w:t>inistry</w:t>
      </w:r>
      <w:r w:rsidR="00FB474A" w:rsidRPr="002A75F2">
        <w:rPr>
          <w:rFonts w:cs="Arial"/>
        </w:rPr>
        <w:t xml:space="preserve"> as a single copy, so that it can easily be separated from the rest of the submission and handled in a manner which respects the privacy of the QP</w:t>
      </w:r>
      <w:r w:rsidR="00FB0178" w:rsidRPr="002A75F2">
        <w:rPr>
          <w:rFonts w:cs="Arial"/>
          <w:vertAlign w:val="subscript"/>
        </w:rPr>
        <w:t>RA</w:t>
      </w:r>
      <w:r w:rsidR="00FB474A" w:rsidRPr="002A75F2">
        <w:rPr>
          <w:rFonts w:cs="Arial"/>
        </w:rPr>
        <w:t xml:space="preserve">. </w:t>
      </w:r>
      <w:r w:rsidRPr="002A75F2">
        <w:rPr>
          <w:rFonts w:cs="Arial"/>
        </w:rPr>
        <w:t xml:space="preserve">If a </w:t>
      </w:r>
      <w:r w:rsidR="000767FF" w:rsidRPr="002A75F2">
        <w:rPr>
          <w:rFonts w:cs="Arial"/>
        </w:rPr>
        <w:t>QP</w:t>
      </w:r>
      <w:r w:rsidR="00FB0178" w:rsidRPr="002A75F2">
        <w:rPr>
          <w:rFonts w:cs="Arial"/>
          <w:vertAlign w:val="subscript"/>
        </w:rPr>
        <w:t>RA</w:t>
      </w:r>
      <w:r w:rsidRPr="002A75F2">
        <w:rPr>
          <w:rFonts w:cs="Arial"/>
        </w:rPr>
        <w:t xml:space="preserve"> has previously self</w:t>
      </w:r>
      <w:r w:rsidR="00143545" w:rsidRPr="002A75F2">
        <w:rPr>
          <w:rFonts w:cs="Arial"/>
        </w:rPr>
        <w:t>-</w:t>
      </w:r>
      <w:r w:rsidRPr="002A75F2">
        <w:rPr>
          <w:rFonts w:cs="Arial"/>
        </w:rPr>
        <w:t>declared, they are not required to attach supporting documentation to subsequent PSFs.</w:t>
      </w:r>
    </w:p>
    <w:p w14:paraId="0858A2C9" w14:textId="7B7093F4" w:rsidR="00E93FE0" w:rsidRPr="002A75F2" w:rsidRDefault="00E93FE0" w:rsidP="006F25DD">
      <w:pPr>
        <w:pStyle w:val="Heading2"/>
        <w:rPr>
          <w:rFonts w:cs="Arial"/>
        </w:rPr>
      </w:pPr>
      <w:bookmarkStart w:id="82" w:name="_Toc41905659"/>
      <w:r w:rsidRPr="002A75F2">
        <w:rPr>
          <w:rFonts w:cs="Arial"/>
        </w:rPr>
        <w:t>Change in Circumstance</w:t>
      </w:r>
      <w:bookmarkEnd w:id="82"/>
    </w:p>
    <w:p w14:paraId="4B69AAB2" w14:textId="77777777" w:rsidR="00E93FE0" w:rsidRPr="002A75F2" w:rsidRDefault="00E93FE0" w:rsidP="00E93FE0">
      <w:pPr>
        <w:rPr>
          <w:rFonts w:cs="Arial"/>
        </w:rPr>
      </w:pPr>
      <w:r w:rsidRPr="002A75F2">
        <w:rPr>
          <w:rFonts w:cs="Arial"/>
        </w:rPr>
        <w:t>If, at any time after submitting the PSF</w:t>
      </w:r>
      <w:r w:rsidR="00F822F7" w:rsidRPr="002A75F2">
        <w:rPr>
          <w:rFonts w:cs="Arial"/>
        </w:rPr>
        <w:t xml:space="preserve"> (and any time before a decision is made on the </w:t>
      </w:r>
      <w:r w:rsidR="00E970B1" w:rsidRPr="002A75F2">
        <w:rPr>
          <w:rFonts w:cs="Arial"/>
        </w:rPr>
        <w:t>risk assessment</w:t>
      </w:r>
      <w:r w:rsidR="00F822F7" w:rsidRPr="002A75F2">
        <w:rPr>
          <w:rFonts w:cs="Arial"/>
        </w:rPr>
        <w:t>)</w:t>
      </w:r>
      <w:r w:rsidRPr="002A75F2">
        <w:rPr>
          <w:rFonts w:cs="Arial"/>
        </w:rPr>
        <w:t>, there is a change in ownership of the RA property or change in QP</w:t>
      </w:r>
      <w:r w:rsidRPr="002A75F2">
        <w:rPr>
          <w:rFonts w:cs="Arial"/>
          <w:vertAlign w:val="subscript"/>
        </w:rPr>
        <w:t>RA</w:t>
      </w:r>
      <w:r w:rsidRPr="002A75F2">
        <w:rPr>
          <w:rFonts w:cs="Arial"/>
        </w:rPr>
        <w:t xml:space="preserve">, the </w:t>
      </w:r>
      <w:r w:rsidRPr="002A75F2">
        <w:rPr>
          <w:rFonts w:cs="Arial"/>
        </w:rPr>
        <w:lastRenderedPageBreak/>
        <w:t>property owner shall give notice to the Director of the change in c</w:t>
      </w:r>
      <w:smartTag w:uri="urn:schemas-microsoft-com:office:smarttags" w:element="PersonName">
        <w:r w:rsidRPr="002A75F2">
          <w:rPr>
            <w:rFonts w:cs="Arial"/>
          </w:rPr>
          <w:t>irc</w:t>
        </w:r>
      </w:smartTag>
      <w:r w:rsidRPr="002A75F2">
        <w:rPr>
          <w:rFonts w:cs="Arial"/>
        </w:rPr>
        <w:t>umstance, as per the Regulation:</w:t>
      </w:r>
    </w:p>
    <w:p w14:paraId="2FC658EA" w14:textId="77777777" w:rsidR="00E93FE0" w:rsidRPr="002A75F2" w:rsidRDefault="00BC7AAD" w:rsidP="00A47B50">
      <w:pPr>
        <w:numPr>
          <w:ilvl w:val="0"/>
          <w:numId w:val="22"/>
        </w:numPr>
        <w:shd w:val="clear" w:color="auto" w:fill="D9D9D9"/>
        <w:rPr>
          <w:rFonts w:cs="Arial"/>
        </w:rPr>
      </w:pPr>
      <w:r w:rsidRPr="002A75F2">
        <w:rPr>
          <w:rFonts w:cs="Arial"/>
        </w:rPr>
        <w:t>S</w:t>
      </w:r>
      <w:r w:rsidR="00E93FE0" w:rsidRPr="002A75F2">
        <w:rPr>
          <w:rFonts w:cs="Arial"/>
        </w:rPr>
        <w:t>ubsection 3 (13) of Schedule C</w:t>
      </w:r>
    </w:p>
    <w:p w14:paraId="674DD236" w14:textId="77777777" w:rsidR="00F822F7" w:rsidRPr="002A75F2" w:rsidRDefault="00A52D10" w:rsidP="00F822F7">
      <w:pPr>
        <w:rPr>
          <w:rFonts w:cs="Arial"/>
        </w:rPr>
      </w:pPr>
      <w:bookmarkStart w:id="83" w:name="_Public_Communication"/>
      <w:bookmarkStart w:id="84" w:name="_Toc91393533"/>
      <w:bookmarkStart w:id="85" w:name="_Toc112727399"/>
      <w:bookmarkEnd w:id="83"/>
      <w:r w:rsidRPr="002A75F2">
        <w:rPr>
          <w:rFonts w:cs="Arial"/>
        </w:rPr>
        <w:t xml:space="preserve">Note that </w:t>
      </w:r>
      <w:r w:rsidR="00F822F7" w:rsidRPr="002A75F2">
        <w:rPr>
          <w:rFonts w:cs="Arial"/>
        </w:rPr>
        <w:t xml:space="preserve">failure to provide this information </w:t>
      </w:r>
      <w:r w:rsidRPr="002A75F2">
        <w:rPr>
          <w:rFonts w:cs="Arial"/>
        </w:rPr>
        <w:t xml:space="preserve">to the </w:t>
      </w:r>
      <w:r w:rsidR="00EA04AC" w:rsidRPr="002A75F2">
        <w:rPr>
          <w:rFonts w:cs="Arial"/>
        </w:rPr>
        <w:t>Ministry</w:t>
      </w:r>
      <w:r w:rsidRPr="002A75F2">
        <w:rPr>
          <w:rFonts w:cs="Arial"/>
        </w:rPr>
        <w:t xml:space="preserve"> </w:t>
      </w:r>
      <w:r w:rsidR="00F822F7" w:rsidRPr="002A75F2">
        <w:rPr>
          <w:rFonts w:cs="Arial"/>
        </w:rPr>
        <w:t xml:space="preserve">in timely way </w:t>
      </w:r>
      <w:r w:rsidRPr="002A75F2">
        <w:rPr>
          <w:rFonts w:cs="Arial"/>
        </w:rPr>
        <w:t xml:space="preserve">may </w:t>
      </w:r>
      <w:r w:rsidR="00F822F7" w:rsidRPr="002A75F2">
        <w:rPr>
          <w:rFonts w:cs="Arial"/>
        </w:rPr>
        <w:t xml:space="preserve">cause delays in Ministry’s review of </w:t>
      </w:r>
      <w:r w:rsidR="006D5F75" w:rsidRPr="002A75F2">
        <w:rPr>
          <w:rFonts w:cs="Arial"/>
        </w:rPr>
        <w:t xml:space="preserve">the </w:t>
      </w:r>
      <w:r w:rsidRPr="002A75F2">
        <w:rPr>
          <w:rFonts w:cs="Arial"/>
        </w:rPr>
        <w:t>risk assessment</w:t>
      </w:r>
      <w:r w:rsidR="00F822F7" w:rsidRPr="002A75F2">
        <w:rPr>
          <w:rFonts w:cs="Arial"/>
        </w:rPr>
        <w:t>.</w:t>
      </w:r>
    </w:p>
    <w:p w14:paraId="2F864D37" w14:textId="3C09708C" w:rsidR="00B736F9" w:rsidRPr="002A75F2" w:rsidRDefault="00B736F9" w:rsidP="006F25DD">
      <w:pPr>
        <w:pStyle w:val="Heading2"/>
        <w:rPr>
          <w:rFonts w:cs="Arial"/>
        </w:rPr>
      </w:pPr>
      <w:bookmarkStart w:id="86" w:name="_Toc41905660"/>
      <w:r w:rsidRPr="002A75F2">
        <w:rPr>
          <w:rFonts w:cs="Arial"/>
        </w:rPr>
        <w:t>Public Communication</w:t>
      </w:r>
      <w:bookmarkEnd w:id="84"/>
      <w:bookmarkEnd w:id="85"/>
      <w:bookmarkEnd w:id="86"/>
    </w:p>
    <w:p w14:paraId="4E4D0A86" w14:textId="4BED5E19" w:rsidR="00B736F9" w:rsidRPr="002A75F2" w:rsidRDefault="00B736F9" w:rsidP="00840964">
      <w:pPr>
        <w:rPr>
          <w:rFonts w:cs="Arial"/>
        </w:rPr>
      </w:pPr>
      <w:bookmarkStart w:id="87" w:name="_Toc78162199"/>
      <w:r w:rsidRPr="002A75F2">
        <w:rPr>
          <w:rFonts w:cs="Arial"/>
        </w:rPr>
        <w:t xml:space="preserve">The RA property owner </w:t>
      </w:r>
      <w:r w:rsidR="003C4688" w:rsidRPr="002A75F2">
        <w:rPr>
          <w:rFonts w:cs="Arial"/>
        </w:rPr>
        <w:t>is encouraged to prepare</w:t>
      </w:r>
      <w:r w:rsidRPr="002A75F2">
        <w:rPr>
          <w:rFonts w:cs="Arial"/>
        </w:rPr>
        <w:t xml:space="preserve"> a public communication plan, which includes both the general public and the local municipality when choosing the risk assessment approach. This Procedure</w:t>
      </w:r>
      <w:r w:rsidR="001626A4" w:rsidRPr="002A75F2">
        <w:rPr>
          <w:rFonts w:cs="Arial"/>
        </w:rPr>
        <w:t>s</w:t>
      </w:r>
      <w:r w:rsidRPr="002A75F2">
        <w:rPr>
          <w:rFonts w:cs="Arial"/>
        </w:rPr>
        <w:t xml:space="preserve"> document uses the term “public communication” to include both consultation and notification. </w:t>
      </w:r>
    </w:p>
    <w:p w14:paraId="7C99A4D2" w14:textId="77777777" w:rsidR="005B177D" w:rsidRPr="002A75F2" w:rsidRDefault="00EA04AC" w:rsidP="00840964">
      <w:pPr>
        <w:rPr>
          <w:rFonts w:cs="Arial"/>
        </w:rPr>
      </w:pPr>
      <w:r w:rsidRPr="002A75F2">
        <w:rPr>
          <w:rFonts w:cs="Arial"/>
        </w:rPr>
        <w:t>There</w:t>
      </w:r>
      <w:r w:rsidR="005B177D" w:rsidRPr="002A75F2">
        <w:rPr>
          <w:rFonts w:cs="Arial"/>
        </w:rPr>
        <w:t xml:space="preserve"> are two situations when public communication or notification is required in the conduct of an RA: </w:t>
      </w:r>
    </w:p>
    <w:p w14:paraId="2D550CF1" w14:textId="668EBE41" w:rsidR="005B177D" w:rsidRPr="002A75F2" w:rsidRDefault="00B736F9" w:rsidP="00A47B50">
      <w:pPr>
        <w:numPr>
          <w:ilvl w:val="0"/>
          <w:numId w:val="25"/>
        </w:numPr>
        <w:rPr>
          <w:rFonts w:cs="Arial"/>
        </w:rPr>
      </w:pPr>
      <w:r w:rsidRPr="002A75F2">
        <w:rPr>
          <w:rFonts w:cs="Arial"/>
        </w:rPr>
        <w:t xml:space="preserve">Notification of the </w:t>
      </w:r>
      <w:r w:rsidR="003D407C" w:rsidRPr="002A75F2">
        <w:rPr>
          <w:rFonts w:cs="Arial"/>
        </w:rPr>
        <w:t>risk assessment</w:t>
      </w:r>
      <w:r w:rsidRPr="002A75F2">
        <w:rPr>
          <w:rFonts w:cs="Arial"/>
        </w:rPr>
        <w:t xml:space="preserve"> approach to the municipality is </w:t>
      </w:r>
      <w:r w:rsidR="003C4688" w:rsidRPr="002A75F2">
        <w:rPr>
          <w:rFonts w:cs="Arial"/>
        </w:rPr>
        <w:t>required</w:t>
      </w:r>
      <w:r w:rsidRPr="002A75F2">
        <w:rPr>
          <w:rFonts w:cs="Arial"/>
        </w:rPr>
        <w:t xml:space="preserve"> where the </w:t>
      </w:r>
      <w:r w:rsidR="000767FF" w:rsidRPr="002A75F2">
        <w:rPr>
          <w:rFonts w:cs="Arial"/>
        </w:rPr>
        <w:t>QP</w:t>
      </w:r>
      <w:r w:rsidR="000767FF" w:rsidRPr="002A75F2">
        <w:rPr>
          <w:rFonts w:cs="Arial"/>
          <w:vertAlign w:val="subscript"/>
        </w:rPr>
        <w:t>RA</w:t>
      </w:r>
      <w:r w:rsidRPr="002A75F2">
        <w:rPr>
          <w:rFonts w:cs="Arial"/>
        </w:rPr>
        <w:t xml:space="preserve"> intends to prepare a</w:t>
      </w:r>
      <w:r w:rsidR="003D407C" w:rsidRPr="002A75F2">
        <w:rPr>
          <w:rFonts w:cs="Arial"/>
        </w:rPr>
        <w:t xml:space="preserve"> risk assessment </w:t>
      </w:r>
      <w:r w:rsidRPr="002A75F2">
        <w:rPr>
          <w:rFonts w:cs="Arial"/>
        </w:rPr>
        <w:t xml:space="preserve">that assumes groundwater under the RA </w:t>
      </w:r>
      <w:r w:rsidR="00736F0F" w:rsidRPr="002A75F2">
        <w:rPr>
          <w:rFonts w:cs="Arial"/>
        </w:rPr>
        <w:t>property</w:t>
      </w:r>
      <w:r w:rsidRPr="002A75F2">
        <w:rPr>
          <w:rFonts w:cs="Arial"/>
        </w:rPr>
        <w:t xml:space="preserve"> does not or will not serve as a </w:t>
      </w:r>
      <w:r w:rsidR="00736F0F" w:rsidRPr="002A75F2">
        <w:rPr>
          <w:rFonts w:cs="Arial"/>
        </w:rPr>
        <w:t xml:space="preserve">raw </w:t>
      </w:r>
      <w:r w:rsidRPr="002A75F2">
        <w:rPr>
          <w:rFonts w:cs="Arial"/>
        </w:rPr>
        <w:t xml:space="preserve">water supply for a drinking water system </w:t>
      </w:r>
      <w:r w:rsidR="00736F0F" w:rsidRPr="002A75F2">
        <w:rPr>
          <w:rFonts w:cs="Arial"/>
        </w:rPr>
        <w:t xml:space="preserve">(as defined in the Safe Drinking Water Act, 2002) </w:t>
      </w:r>
      <w:r w:rsidRPr="002A75F2">
        <w:rPr>
          <w:rFonts w:cs="Arial"/>
        </w:rPr>
        <w:t>and non-potable standards are to be developed.</w:t>
      </w:r>
      <w:r w:rsidR="001A43A8" w:rsidRPr="002A75F2">
        <w:rPr>
          <w:rFonts w:cs="Arial"/>
        </w:rPr>
        <w:t xml:space="preserve"> </w:t>
      </w:r>
      <w:r w:rsidR="00736F0F" w:rsidRPr="002A75F2">
        <w:rPr>
          <w:rFonts w:cs="Arial"/>
        </w:rPr>
        <w:t xml:space="preserve">Refer </w:t>
      </w:r>
      <w:r w:rsidR="006021B3" w:rsidRPr="002A75F2">
        <w:rPr>
          <w:rFonts w:cs="Arial"/>
        </w:rPr>
        <w:t xml:space="preserve">to subsection 4 (5) of Schedule C of the Regulation. </w:t>
      </w:r>
      <w:r w:rsidR="001626A4" w:rsidRPr="002A75F2">
        <w:rPr>
          <w:rFonts w:cs="Arial"/>
        </w:rPr>
        <w:t>Note that in cases where the municipality objects to the non-potab</w:t>
      </w:r>
      <w:r w:rsidR="002D7DFD" w:rsidRPr="002A75F2">
        <w:rPr>
          <w:rFonts w:cs="Arial"/>
        </w:rPr>
        <w:t>le groundwater assumption, the M</w:t>
      </w:r>
      <w:r w:rsidR="001626A4" w:rsidRPr="002A75F2">
        <w:rPr>
          <w:rFonts w:cs="Arial"/>
        </w:rPr>
        <w:t xml:space="preserve">inistry may also request that </w:t>
      </w:r>
      <w:r w:rsidR="00661E96" w:rsidRPr="002A75F2">
        <w:rPr>
          <w:rFonts w:cs="Arial"/>
        </w:rPr>
        <w:t xml:space="preserve">the RA property owner provide </w:t>
      </w:r>
      <w:r w:rsidR="001626A4" w:rsidRPr="002A75F2">
        <w:rPr>
          <w:rFonts w:cs="Arial"/>
        </w:rPr>
        <w:t xml:space="preserve">copies of the PSF and all subsequent </w:t>
      </w:r>
      <w:r w:rsidR="003D407C" w:rsidRPr="002A75F2">
        <w:rPr>
          <w:rFonts w:cs="Arial"/>
        </w:rPr>
        <w:t>risk assessment</w:t>
      </w:r>
      <w:r w:rsidR="001626A4" w:rsidRPr="002A75F2">
        <w:rPr>
          <w:rFonts w:cs="Arial"/>
        </w:rPr>
        <w:t xml:space="preserve"> submissions to the municipality, for their consideration. </w:t>
      </w:r>
    </w:p>
    <w:p w14:paraId="32DE4EBF" w14:textId="0D25BAAE" w:rsidR="005B177D" w:rsidRPr="002A75F2" w:rsidRDefault="00B736F9" w:rsidP="00A47B50">
      <w:pPr>
        <w:numPr>
          <w:ilvl w:val="0"/>
          <w:numId w:val="25"/>
        </w:numPr>
        <w:rPr>
          <w:rFonts w:cs="Arial"/>
        </w:rPr>
      </w:pPr>
      <w:r w:rsidRPr="002A75F2">
        <w:rPr>
          <w:rFonts w:cs="Arial"/>
        </w:rPr>
        <w:t xml:space="preserve">The RA property owner is required to provide </w:t>
      </w:r>
      <w:r w:rsidR="00881432" w:rsidRPr="002A75F2">
        <w:rPr>
          <w:rFonts w:cs="Arial"/>
        </w:rPr>
        <w:t xml:space="preserve">broader </w:t>
      </w:r>
      <w:r w:rsidRPr="002A75F2">
        <w:rPr>
          <w:rFonts w:cs="Arial"/>
        </w:rPr>
        <w:t xml:space="preserve">public communication in situations where the </w:t>
      </w:r>
      <w:r w:rsidR="002D7DFD" w:rsidRPr="002A75F2">
        <w:rPr>
          <w:rFonts w:cs="Arial"/>
        </w:rPr>
        <w:t>M</w:t>
      </w:r>
      <w:r w:rsidR="00683E92" w:rsidRPr="002A75F2">
        <w:rPr>
          <w:rFonts w:cs="Arial"/>
        </w:rPr>
        <w:t>inistry</w:t>
      </w:r>
      <w:r w:rsidRPr="002A75F2">
        <w:rPr>
          <w:rFonts w:cs="Arial"/>
        </w:rPr>
        <w:t xml:space="preserve"> District Office has indicated by way of comment on the </w:t>
      </w:r>
      <w:r w:rsidR="0003694C" w:rsidRPr="002A75F2">
        <w:rPr>
          <w:rFonts w:cs="Arial"/>
        </w:rPr>
        <w:t>PSF</w:t>
      </w:r>
      <w:r w:rsidRPr="002A75F2">
        <w:rPr>
          <w:rFonts w:cs="Arial"/>
        </w:rPr>
        <w:t>, that the site is located in a wider area of abatement.</w:t>
      </w:r>
      <w:r w:rsidR="006021B3" w:rsidRPr="002A75F2">
        <w:rPr>
          <w:rFonts w:cs="Arial"/>
        </w:rPr>
        <w:t xml:space="preserve"> Refer to </w:t>
      </w:r>
      <w:bookmarkEnd w:id="87"/>
      <w:r w:rsidR="006021B3" w:rsidRPr="002A75F2">
        <w:rPr>
          <w:rFonts w:cs="Arial"/>
        </w:rPr>
        <w:t>subsection 10 (2) of Schedule C of the Regulation.</w:t>
      </w:r>
    </w:p>
    <w:p w14:paraId="157FBD05" w14:textId="0CF07115" w:rsidR="005B177D" w:rsidRPr="002A75F2" w:rsidRDefault="005B177D" w:rsidP="005B177D">
      <w:pPr>
        <w:rPr>
          <w:rFonts w:cs="Arial"/>
        </w:rPr>
      </w:pPr>
      <w:r w:rsidRPr="002A75F2">
        <w:rPr>
          <w:rFonts w:cs="Arial"/>
        </w:rPr>
        <w:t xml:space="preserve">The property owner is encouraged to undertake public communication if there is a likelihood of contaminant migration off the RA property and in relation to any property for which risk management is being proposed to </w:t>
      </w:r>
      <w:r w:rsidR="006A75D4" w:rsidRPr="002A75F2">
        <w:rPr>
          <w:rFonts w:cs="Arial"/>
        </w:rPr>
        <w:t xml:space="preserve">help </w:t>
      </w:r>
      <w:r w:rsidRPr="002A75F2">
        <w:rPr>
          <w:rFonts w:cs="Arial"/>
        </w:rPr>
        <w:t>control</w:t>
      </w:r>
      <w:r w:rsidR="006A75D4" w:rsidRPr="002A75F2">
        <w:rPr>
          <w:rFonts w:cs="Arial"/>
        </w:rPr>
        <w:t xml:space="preserve"> or </w:t>
      </w:r>
      <w:r w:rsidRPr="002A75F2">
        <w:rPr>
          <w:rFonts w:cs="Arial"/>
        </w:rPr>
        <w:t>limit contaminant migration off the RA property. Where public communication is undertaken, a summary of any public input must be provided to the Ministry.</w:t>
      </w:r>
    </w:p>
    <w:p w14:paraId="6083352B" w14:textId="77777777" w:rsidR="00B736F9" w:rsidRPr="002A75F2" w:rsidRDefault="00B736F9" w:rsidP="005B177D">
      <w:pPr>
        <w:rPr>
          <w:rFonts w:cs="Arial"/>
        </w:rPr>
      </w:pPr>
      <w:r w:rsidRPr="002A75F2">
        <w:rPr>
          <w:rFonts w:cs="Arial"/>
        </w:rPr>
        <w:t xml:space="preserve">Minimum requirements for reporting on public communication </w:t>
      </w:r>
      <w:r w:rsidR="00391A0F" w:rsidRPr="002A75F2">
        <w:rPr>
          <w:rFonts w:cs="Arial"/>
        </w:rPr>
        <w:t xml:space="preserve">as part of the risk assessment </w:t>
      </w:r>
      <w:r w:rsidRPr="002A75F2">
        <w:rPr>
          <w:rFonts w:cs="Arial"/>
        </w:rPr>
        <w:t>are provided in Schedule C, Table 1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984852" w:rsidRPr="002A75F2" w14:paraId="2A1CFF61" w14:textId="77777777" w:rsidTr="005B40DA">
        <w:trPr>
          <w:trHeight w:val="20"/>
          <w:tblHeader/>
        </w:trPr>
        <w:tc>
          <w:tcPr>
            <w:tcW w:w="2468" w:type="dxa"/>
          </w:tcPr>
          <w:p w14:paraId="249B8FFC" w14:textId="77777777" w:rsidR="00984852" w:rsidRPr="002A75F2" w:rsidRDefault="00984852" w:rsidP="000C0EF2">
            <w:pPr>
              <w:pStyle w:val="table-e"/>
              <w:spacing w:line="240" w:lineRule="auto"/>
              <w:rPr>
                <w:b/>
                <w:sz w:val="24"/>
              </w:rPr>
            </w:pPr>
            <w:r w:rsidRPr="002A75F2">
              <w:rPr>
                <w:b/>
                <w:sz w:val="24"/>
              </w:rPr>
              <w:t>Column 1</w:t>
            </w:r>
            <w:r w:rsidRPr="002A75F2">
              <w:rPr>
                <w:b/>
                <w:sz w:val="24"/>
              </w:rPr>
              <w:br/>
              <w:t>Report Section</w:t>
            </w:r>
          </w:p>
        </w:tc>
        <w:tc>
          <w:tcPr>
            <w:tcW w:w="2014" w:type="dxa"/>
          </w:tcPr>
          <w:p w14:paraId="7EEF7675" w14:textId="77777777" w:rsidR="00984852" w:rsidRPr="002A75F2" w:rsidRDefault="00984852" w:rsidP="000C0EF2">
            <w:pPr>
              <w:pStyle w:val="table-e"/>
              <w:spacing w:line="240" w:lineRule="auto"/>
              <w:rPr>
                <w:b/>
                <w:sz w:val="24"/>
              </w:rPr>
            </w:pPr>
            <w:r w:rsidRPr="002A75F2">
              <w:rPr>
                <w:b/>
                <w:sz w:val="24"/>
              </w:rPr>
              <w:t>Column 2</w:t>
            </w:r>
            <w:r w:rsidRPr="002A75F2">
              <w:rPr>
                <w:b/>
                <w:sz w:val="24"/>
              </w:rPr>
              <w:br/>
              <w:t>Heading</w:t>
            </w:r>
          </w:p>
        </w:tc>
        <w:tc>
          <w:tcPr>
            <w:tcW w:w="1839" w:type="dxa"/>
          </w:tcPr>
          <w:p w14:paraId="43A06462" w14:textId="77777777" w:rsidR="00984852" w:rsidRPr="002A75F2" w:rsidRDefault="00984852" w:rsidP="000C0EF2">
            <w:pPr>
              <w:pStyle w:val="table-e"/>
              <w:spacing w:line="240" w:lineRule="auto"/>
              <w:rPr>
                <w:b/>
                <w:sz w:val="24"/>
              </w:rPr>
            </w:pPr>
            <w:r w:rsidRPr="002A75F2">
              <w:rPr>
                <w:b/>
                <w:sz w:val="24"/>
              </w:rPr>
              <w:t>Column 3</w:t>
            </w:r>
            <w:r w:rsidRPr="002A75F2">
              <w:rPr>
                <w:b/>
                <w:sz w:val="24"/>
              </w:rPr>
              <w:br/>
              <w:t>Sub-Heading</w:t>
            </w:r>
          </w:p>
        </w:tc>
        <w:tc>
          <w:tcPr>
            <w:tcW w:w="3759" w:type="dxa"/>
          </w:tcPr>
          <w:p w14:paraId="7B37E36E" w14:textId="77777777" w:rsidR="00984852" w:rsidRPr="002A75F2" w:rsidRDefault="00984852" w:rsidP="000C0EF2">
            <w:pPr>
              <w:pStyle w:val="table-e"/>
              <w:spacing w:line="240" w:lineRule="auto"/>
              <w:rPr>
                <w:b/>
                <w:sz w:val="24"/>
              </w:rPr>
            </w:pPr>
            <w:r w:rsidRPr="002A75F2">
              <w:rPr>
                <w:b/>
                <w:sz w:val="24"/>
              </w:rPr>
              <w:t>Column 4</w:t>
            </w:r>
            <w:r w:rsidRPr="002A75F2">
              <w:rPr>
                <w:b/>
                <w:sz w:val="24"/>
              </w:rPr>
              <w:br/>
              <w:t>Minimum Requirements</w:t>
            </w:r>
          </w:p>
        </w:tc>
      </w:tr>
      <w:tr w:rsidR="00984852" w:rsidRPr="002A75F2" w14:paraId="104ACCBC" w14:textId="77777777" w:rsidTr="005B40DA">
        <w:trPr>
          <w:trHeight w:val="20"/>
        </w:trPr>
        <w:tc>
          <w:tcPr>
            <w:tcW w:w="2468" w:type="dxa"/>
          </w:tcPr>
          <w:p w14:paraId="357DEF00" w14:textId="77777777" w:rsidR="00984852" w:rsidRPr="002A75F2" w:rsidRDefault="00984852" w:rsidP="000C0EF2">
            <w:pPr>
              <w:pStyle w:val="table-e"/>
              <w:spacing w:line="240" w:lineRule="auto"/>
              <w:rPr>
                <w:sz w:val="24"/>
              </w:rPr>
            </w:pPr>
            <w:r w:rsidRPr="002A75F2">
              <w:rPr>
                <w:sz w:val="24"/>
              </w:rPr>
              <w:t>8.  Public Communication Plan (if applicable)</w:t>
            </w:r>
          </w:p>
        </w:tc>
        <w:tc>
          <w:tcPr>
            <w:tcW w:w="2014" w:type="dxa"/>
          </w:tcPr>
          <w:p w14:paraId="3B46A6C5" w14:textId="77777777" w:rsidR="00984852" w:rsidRPr="002A75F2" w:rsidRDefault="00984852" w:rsidP="000C0EF2">
            <w:pPr>
              <w:pStyle w:val="table-e"/>
              <w:spacing w:line="240" w:lineRule="auto"/>
              <w:rPr>
                <w:sz w:val="24"/>
              </w:rPr>
            </w:pPr>
            <w:r w:rsidRPr="002A75F2">
              <w:rPr>
                <w:sz w:val="24"/>
              </w:rPr>
              <w:t>(a)  Public Communication Plan</w:t>
            </w:r>
          </w:p>
        </w:tc>
        <w:tc>
          <w:tcPr>
            <w:tcW w:w="1839" w:type="dxa"/>
          </w:tcPr>
          <w:p w14:paraId="2078B041" w14:textId="77777777" w:rsidR="00984852" w:rsidRPr="002A75F2" w:rsidRDefault="00984852" w:rsidP="000C0EF2">
            <w:pPr>
              <w:pStyle w:val="table-e"/>
              <w:spacing w:line="240" w:lineRule="auto"/>
              <w:rPr>
                <w:sz w:val="24"/>
              </w:rPr>
            </w:pPr>
            <w:r w:rsidRPr="002A75F2">
              <w:rPr>
                <w:sz w:val="24"/>
              </w:rPr>
              <w:t>(</w:t>
            </w:r>
            <w:proofErr w:type="spellStart"/>
            <w:r w:rsidRPr="002A75F2">
              <w:rPr>
                <w:sz w:val="24"/>
              </w:rPr>
              <w:t>i</w:t>
            </w:r>
            <w:proofErr w:type="spellEnd"/>
            <w:r w:rsidRPr="002A75F2">
              <w:rPr>
                <w:sz w:val="24"/>
              </w:rPr>
              <w:t>)  Optional Communication Plans</w:t>
            </w:r>
          </w:p>
        </w:tc>
        <w:tc>
          <w:tcPr>
            <w:tcW w:w="3759" w:type="dxa"/>
          </w:tcPr>
          <w:p w14:paraId="510E7B8A" w14:textId="77777777" w:rsidR="00984852" w:rsidRPr="002A75F2" w:rsidRDefault="00984852" w:rsidP="000C0EF2">
            <w:pPr>
              <w:pStyle w:val="table-e"/>
              <w:spacing w:line="240" w:lineRule="auto"/>
              <w:rPr>
                <w:sz w:val="24"/>
              </w:rPr>
            </w:pPr>
            <w:r w:rsidRPr="002A75F2">
              <w:rPr>
                <w:sz w:val="24"/>
              </w:rPr>
              <w:t>If the owner has implemented a plan to consult the public as part of the development of the risk assessment, provide,</w:t>
            </w:r>
          </w:p>
          <w:p w14:paraId="33A63360" w14:textId="77777777" w:rsidR="00984852" w:rsidRPr="002A75F2" w:rsidRDefault="00984852" w:rsidP="000C0EF2">
            <w:pPr>
              <w:pStyle w:val="table-e"/>
              <w:spacing w:line="240" w:lineRule="auto"/>
              <w:rPr>
                <w:sz w:val="24"/>
              </w:rPr>
            </w:pPr>
            <w:r w:rsidRPr="002A75F2">
              <w:rPr>
                <w:sz w:val="24"/>
              </w:rPr>
              <w:t xml:space="preserve">(a)  a description of the plan, including any opportunities given to </w:t>
            </w:r>
            <w:r w:rsidRPr="002A75F2">
              <w:rPr>
                <w:sz w:val="24"/>
              </w:rPr>
              <w:lastRenderedPageBreak/>
              <w:t>the public to comment on the proposed risk assessment;</w:t>
            </w:r>
          </w:p>
          <w:p w14:paraId="0A0DC657" w14:textId="77777777" w:rsidR="00984852" w:rsidRPr="002A75F2" w:rsidRDefault="00984852" w:rsidP="000C0EF2">
            <w:pPr>
              <w:pStyle w:val="table-e"/>
              <w:spacing w:line="240" w:lineRule="auto"/>
              <w:rPr>
                <w:sz w:val="24"/>
              </w:rPr>
            </w:pPr>
            <w:r w:rsidRPr="002A75F2">
              <w:rPr>
                <w:sz w:val="24"/>
              </w:rPr>
              <w:t>(b)  a summary of the comments received during the consultation; and</w:t>
            </w:r>
          </w:p>
          <w:p w14:paraId="4D7EB0A0" w14:textId="77777777" w:rsidR="00984852" w:rsidRPr="002A75F2" w:rsidRDefault="00984852" w:rsidP="000C0EF2">
            <w:pPr>
              <w:pStyle w:val="table-e"/>
              <w:spacing w:line="240" w:lineRule="auto"/>
              <w:rPr>
                <w:sz w:val="24"/>
              </w:rPr>
            </w:pPr>
            <w:r w:rsidRPr="002A75F2">
              <w:rPr>
                <w:sz w:val="24"/>
              </w:rPr>
              <w:t>(c)  a description of how the public comments were considered as part of the risk assessment process.</w:t>
            </w:r>
          </w:p>
        </w:tc>
      </w:tr>
      <w:tr w:rsidR="00984852" w:rsidRPr="002A75F2" w14:paraId="4E4C1FE7" w14:textId="77777777" w:rsidTr="005B40DA">
        <w:trPr>
          <w:trHeight w:val="20"/>
        </w:trPr>
        <w:tc>
          <w:tcPr>
            <w:tcW w:w="2468" w:type="dxa"/>
          </w:tcPr>
          <w:p w14:paraId="209CFD46" w14:textId="77777777" w:rsidR="00984852" w:rsidRPr="002A75F2" w:rsidRDefault="00984852" w:rsidP="000C0EF2">
            <w:pPr>
              <w:pStyle w:val="table-e"/>
              <w:spacing w:line="240" w:lineRule="auto"/>
              <w:rPr>
                <w:sz w:val="24"/>
              </w:rPr>
            </w:pPr>
            <w:r w:rsidRPr="002A75F2">
              <w:rPr>
                <w:sz w:val="24"/>
              </w:rPr>
              <w:lastRenderedPageBreak/>
              <w:t>8.  Public Communication Plan (if applicable)</w:t>
            </w:r>
          </w:p>
        </w:tc>
        <w:tc>
          <w:tcPr>
            <w:tcW w:w="2014" w:type="dxa"/>
          </w:tcPr>
          <w:p w14:paraId="41AD2A04" w14:textId="77777777" w:rsidR="00984852" w:rsidRPr="002A75F2" w:rsidRDefault="00984852" w:rsidP="000C0EF2">
            <w:pPr>
              <w:pStyle w:val="table-e"/>
              <w:spacing w:line="240" w:lineRule="auto"/>
              <w:rPr>
                <w:sz w:val="24"/>
              </w:rPr>
            </w:pPr>
            <w:r w:rsidRPr="002A75F2">
              <w:rPr>
                <w:sz w:val="24"/>
              </w:rPr>
              <w:t>(a)  Public Communication Plan</w:t>
            </w:r>
          </w:p>
        </w:tc>
        <w:tc>
          <w:tcPr>
            <w:tcW w:w="1839" w:type="dxa"/>
          </w:tcPr>
          <w:p w14:paraId="2B31AF26" w14:textId="77777777" w:rsidR="00984852" w:rsidRPr="002A75F2" w:rsidRDefault="00984852" w:rsidP="000C0EF2">
            <w:pPr>
              <w:pStyle w:val="table-e"/>
              <w:spacing w:line="240" w:lineRule="auto"/>
              <w:rPr>
                <w:sz w:val="24"/>
              </w:rPr>
            </w:pPr>
            <w:r w:rsidRPr="002A75F2">
              <w:rPr>
                <w:sz w:val="24"/>
              </w:rPr>
              <w:t>(ii)  Required Communication Plans For RA Properties in Wider Area of Abatement</w:t>
            </w:r>
          </w:p>
        </w:tc>
        <w:tc>
          <w:tcPr>
            <w:tcW w:w="3759" w:type="dxa"/>
          </w:tcPr>
          <w:p w14:paraId="2C191A86" w14:textId="77777777" w:rsidR="00984852" w:rsidRPr="002A75F2" w:rsidRDefault="00984852" w:rsidP="000C0EF2">
            <w:pPr>
              <w:pStyle w:val="table-e"/>
              <w:spacing w:line="240" w:lineRule="auto"/>
              <w:rPr>
                <w:sz w:val="24"/>
              </w:rPr>
            </w:pPr>
            <w:r w:rsidRPr="002A75F2">
              <w:rPr>
                <w:sz w:val="24"/>
              </w:rPr>
              <w:t>If the risk assessment has been identified by the Ministry as relating to a property located within a wider area of abatement under section 10, the risk assessment shall include,</w:t>
            </w:r>
          </w:p>
          <w:p w14:paraId="5A1B58BA" w14:textId="77777777" w:rsidR="00984852" w:rsidRPr="002A75F2" w:rsidRDefault="00984852" w:rsidP="000C0EF2">
            <w:pPr>
              <w:pStyle w:val="table-e"/>
              <w:spacing w:line="240" w:lineRule="auto"/>
              <w:rPr>
                <w:sz w:val="24"/>
              </w:rPr>
            </w:pPr>
            <w:r w:rsidRPr="002A75F2">
              <w:rPr>
                <w:sz w:val="24"/>
              </w:rPr>
              <w:t>(a)  a description of the public communication plan required by clause 10 (2) (b) including any opportunities given to the public to comment on the proposed risk assessment;</w:t>
            </w:r>
          </w:p>
          <w:p w14:paraId="6627AD70" w14:textId="77777777" w:rsidR="00984852" w:rsidRPr="002A75F2" w:rsidRDefault="00984852" w:rsidP="000C0EF2">
            <w:pPr>
              <w:pStyle w:val="table-e"/>
              <w:spacing w:line="240" w:lineRule="auto"/>
              <w:rPr>
                <w:sz w:val="24"/>
              </w:rPr>
            </w:pPr>
            <w:r w:rsidRPr="002A75F2">
              <w:rPr>
                <w:sz w:val="24"/>
              </w:rPr>
              <w:t>(b)  a summary of the comments received during consultation under the plan;</w:t>
            </w:r>
          </w:p>
          <w:p w14:paraId="1B3581AC" w14:textId="77777777" w:rsidR="00984852" w:rsidRPr="002A75F2" w:rsidRDefault="00984852" w:rsidP="000C0EF2">
            <w:pPr>
              <w:pStyle w:val="table-e"/>
              <w:spacing w:line="240" w:lineRule="auto"/>
              <w:rPr>
                <w:sz w:val="24"/>
              </w:rPr>
            </w:pPr>
            <w:r w:rsidRPr="002A75F2">
              <w:rPr>
                <w:sz w:val="24"/>
              </w:rPr>
              <w:t>(c)  a description of how the public comments were considered as part of the risk assessment process; and</w:t>
            </w:r>
          </w:p>
          <w:p w14:paraId="6EBC711C" w14:textId="77777777" w:rsidR="00984852" w:rsidRPr="002A75F2" w:rsidRDefault="00984852" w:rsidP="000C0EF2">
            <w:pPr>
              <w:pStyle w:val="table-e"/>
              <w:spacing w:line="240" w:lineRule="auto"/>
              <w:rPr>
                <w:sz w:val="24"/>
              </w:rPr>
            </w:pPr>
            <w:r w:rsidRPr="002A75F2">
              <w:rPr>
                <w:sz w:val="24"/>
              </w:rPr>
              <w:t>(d)  a copy of all the written comments received from the Ministry under clause 10 (2) (a).</w:t>
            </w:r>
          </w:p>
        </w:tc>
      </w:tr>
    </w:tbl>
    <w:p w14:paraId="5970CDF0" w14:textId="2A6D2250" w:rsidR="00B736F9" w:rsidRPr="002A75F2" w:rsidRDefault="00B736F9" w:rsidP="00840964">
      <w:pPr>
        <w:rPr>
          <w:rFonts w:cs="Arial"/>
        </w:rPr>
      </w:pPr>
      <w:r w:rsidRPr="002A75F2">
        <w:rPr>
          <w:rFonts w:cs="Arial"/>
        </w:rPr>
        <w:t xml:space="preserve">If public communication is planned, the </w:t>
      </w:r>
      <w:r w:rsidR="002D7DFD" w:rsidRPr="002A75F2">
        <w:rPr>
          <w:rFonts w:cs="Arial"/>
        </w:rPr>
        <w:t>M</w:t>
      </w:r>
      <w:r w:rsidR="002A6EE0" w:rsidRPr="002A75F2">
        <w:rPr>
          <w:rFonts w:cs="Arial"/>
        </w:rPr>
        <w:t>inistry</w:t>
      </w:r>
      <w:r w:rsidRPr="002A75F2">
        <w:rPr>
          <w:rFonts w:cs="Arial"/>
        </w:rPr>
        <w:t xml:space="preserve"> recommends that whenever possible, the RA property owner include the public communication plan in the PSF. This communication plan should, as a minimum provide for:</w:t>
      </w:r>
    </w:p>
    <w:p w14:paraId="5799550A" w14:textId="77777777" w:rsidR="00B736F9" w:rsidRPr="002A75F2" w:rsidRDefault="00DB533E" w:rsidP="000E72E5">
      <w:pPr>
        <w:pStyle w:val="ListBullet2"/>
        <w:rPr>
          <w:rFonts w:cs="Arial"/>
        </w:rPr>
      </w:pPr>
      <w:r w:rsidRPr="002A75F2">
        <w:rPr>
          <w:rFonts w:cs="Arial"/>
        </w:rPr>
        <w:t>N</w:t>
      </w:r>
      <w:r w:rsidR="00B736F9" w:rsidRPr="002A75F2">
        <w:rPr>
          <w:rFonts w:cs="Arial"/>
        </w:rPr>
        <w:t xml:space="preserve">otification of the owners of </w:t>
      </w:r>
      <w:proofErr w:type="spellStart"/>
      <w:r w:rsidR="00B736F9" w:rsidRPr="002A75F2">
        <w:rPr>
          <w:rFonts w:cs="Arial"/>
        </w:rPr>
        <w:t>neighbouring</w:t>
      </w:r>
      <w:proofErr w:type="spellEnd"/>
      <w:r w:rsidR="00B736F9" w:rsidRPr="002A75F2">
        <w:rPr>
          <w:rFonts w:cs="Arial"/>
        </w:rPr>
        <w:t xml:space="preserve"> properties that a risk assessment will be undertaken, and</w:t>
      </w:r>
    </w:p>
    <w:p w14:paraId="30604D35" w14:textId="77777777" w:rsidR="00B736F9" w:rsidRPr="002A75F2" w:rsidRDefault="00DB533E" w:rsidP="000E72E5">
      <w:pPr>
        <w:pStyle w:val="ListBullet2"/>
        <w:rPr>
          <w:rFonts w:cs="Arial"/>
        </w:rPr>
      </w:pPr>
      <w:r w:rsidRPr="002A75F2">
        <w:rPr>
          <w:rFonts w:cs="Arial"/>
        </w:rPr>
        <w:t>P</w:t>
      </w:r>
      <w:r w:rsidR="00B736F9" w:rsidRPr="002A75F2">
        <w:rPr>
          <w:rFonts w:cs="Arial"/>
        </w:rPr>
        <w:t>rovision for input to the risk assessment process by the local community.</w:t>
      </w:r>
    </w:p>
    <w:p w14:paraId="797EA54B" w14:textId="07548805" w:rsidR="00B736F9" w:rsidRPr="002A75F2" w:rsidRDefault="00B736F9" w:rsidP="00840964">
      <w:pPr>
        <w:rPr>
          <w:rFonts w:cs="Arial"/>
        </w:rPr>
      </w:pPr>
      <w:r w:rsidRPr="002A75F2">
        <w:rPr>
          <w:rFonts w:cs="Arial"/>
        </w:rPr>
        <w:t xml:space="preserve">Any written input offered by the community should be recorded and attached to the submitted </w:t>
      </w:r>
      <w:r w:rsidR="003A2390" w:rsidRPr="002A75F2">
        <w:rPr>
          <w:rFonts w:cs="Arial"/>
        </w:rPr>
        <w:t>RA</w:t>
      </w:r>
      <w:r w:rsidRPr="002A75F2">
        <w:rPr>
          <w:rFonts w:cs="Arial"/>
        </w:rPr>
        <w:t xml:space="preserve"> report as an Appendix.</w:t>
      </w:r>
    </w:p>
    <w:p w14:paraId="0A98338C" w14:textId="37CA1E05" w:rsidR="00B736F9" w:rsidRPr="002A75F2" w:rsidRDefault="00B736F9" w:rsidP="00840964">
      <w:pPr>
        <w:rPr>
          <w:rFonts w:cs="Arial"/>
        </w:rPr>
      </w:pPr>
      <w:r w:rsidRPr="002A75F2">
        <w:rPr>
          <w:rFonts w:cs="Arial"/>
        </w:rPr>
        <w:lastRenderedPageBreak/>
        <w:t xml:space="preserve">The specific conditions and situation at each RA property should always be considered in determining the methods and the extent of public communication required, and the appropriate response to community input. Ideally, public concerns should be addressed throughout the risk assessment process. </w:t>
      </w:r>
    </w:p>
    <w:p w14:paraId="0BFE3ABC" w14:textId="77777777" w:rsidR="00B736F9" w:rsidRPr="002A75F2" w:rsidRDefault="00B736F9" w:rsidP="00840964">
      <w:pPr>
        <w:rPr>
          <w:rFonts w:cs="Arial"/>
        </w:rPr>
      </w:pPr>
      <w:r w:rsidRPr="002A75F2">
        <w:rPr>
          <w:rFonts w:cs="Arial"/>
        </w:rPr>
        <w:t>The property owner should consider the goals listed below when designing and implementing a public communication plan:</w:t>
      </w:r>
    </w:p>
    <w:p w14:paraId="331FEC9B" w14:textId="77777777" w:rsidR="00B736F9" w:rsidRPr="002A75F2" w:rsidRDefault="00B736F9" w:rsidP="000E72E5">
      <w:pPr>
        <w:pStyle w:val="ListBullet2"/>
        <w:rPr>
          <w:rFonts w:cs="Arial"/>
        </w:rPr>
      </w:pPr>
      <w:r w:rsidRPr="002A75F2">
        <w:rPr>
          <w:rFonts w:cs="Arial"/>
        </w:rPr>
        <w:t xml:space="preserve">Providing an explanation of the process to be followed including the inter-relationship of the </w:t>
      </w:r>
      <w:r w:rsidR="0032339F" w:rsidRPr="002A75F2">
        <w:rPr>
          <w:rFonts w:cs="Arial"/>
        </w:rPr>
        <w:t>p</w:t>
      </w:r>
      <w:r w:rsidRPr="002A75F2">
        <w:rPr>
          <w:rFonts w:cs="Arial"/>
        </w:rPr>
        <w:t xml:space="preserve">hase one </w:t>
      </w:r>
      <w:smartTag w:uri="urn:schemas-microsoft-com:office:smarttags" w:element="stockticker">
        <w:r w:rsidRPr="002A75F2">
          <w:rPr>
            <w:rFonts w:cs="Arial"/>
          </w:rPr>
          <w:t>ESA</w:t>
        </w:r>
      </w:smartTag>
      <w:r w:rsidRPr="002A75F2">
        <w:rPr>
          <w:rFonts w:cs="Arial"/>
        </w:rPr>
        <w:t xml:space="preserve">, </w:t>
      </w:r>
      <w:r w:rsidR="0032339F"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risk assessment work and remediation of the RA property, the steps to be followed at each phase, the proposed timing and the opportunities for public input;</w:t>
      </w:r>
    </w:p>
    <w:p w14:paraId="6AC4B386" w14:textId="77777777" w:rsidR="00B736F9" w:rsidRPr="002A75F2" w:rsidRDefault="00B736F9" w:rsidP="000E72E5">
      <w:pPr>
        <w:pStyle w:val="ListBullet2"/>
        <w:rPr>
          <w:rFonts w:cs="Arial"/>
        </w:rPr>
      </w:pPr>
      <w:r w:rsidRPr="002A75F2">
        <w:rPr>
          <w:rFonts w:cs="Arial"/>
        </w:rPr>
        <w:t>Providing a forum for receiving public input and information on potential contamination at the RA property;</w:t>
      </w:r>
    </w:p>
    <w:p w14:paraId="172804E2" w14:textId="77777777" w:rsidR="00B736F9" w:rsidRPr="002A75F2" w:rsidRDefault="00B736F9" w:rsidP="000E72E5">
      <w:pPr>
        <w:pStyle w:val="ListBullet2"/>
        <w:rPr>
          <w:rFonts w:cs="Arial"/>
        </w:rPr>
      </w:pPr>
      <w:r w:rsidRPr="002A75F2">
        <w:rPr>
          <w:rFonts w:cs="Arial"/>
        </w:rPr>
        <w:t xml:space="preserve">Providing initial and ongoing information to the public as needed, on the nature and extent of RA property contamination and the activities proposed for risk assessment and including any risk management requirements (the </w:t>
      </w:r>
      <w:r w:rsidR="002D7DFD" w:rsidRPr="002A75F2">
        <w:rPr>
          <w:rFonts w:cs="Arial"/>
        </w:rPr>
        <w:t>M</w:t>
      </w:r>
      <w:r w:rsidR="002A6EE0" w:rsidRPr="002A75F2">
        <w:rPr>
          <w:rFonts w:cs="Arial"/>
        </w:rPr>
        <w:t>inistry</w:t>
      </w:r>
      <w:r w:rsidRPr="002A75F2">
        <w:rPr>
          <w:rFonts w:cs="Arial"/>
        </w:rPr>
        <w:t xml:space="preserve"> recommends that at least 30 </w:t>
      </w:r>
      <w:r w:rsidR="00E07841" w:rsidRPr="002A75F2">
        <w:rPr>
          <w:rFonts w:cs="Arial"/>
        </w:rPr>
        <w:t>days’ notice</w:t>
      </w:r>
      <w:r w:rsidRPr="002A75F2">
        <w:rPr>
          <w:rFonts w:cs="Arial"/>
        </w:rPr>
        <w:t xml:space="preserve"> of property activity be provided to affected stakeholders);</w:t>
      </w:r>
    </w:p>
    <w:p w14:paraId="75500679" w14:textId="77777777" w:rsidR="00B736F9" w:rsidRPr="002A75F2" w:rsidRDefault="00B736F9" w:rsidP="000E72E5">
      <w:pPr>
        <w:pStyle w:val="ListBullet2"/>
        <w:rPr>
          <w:rFonts w:cs="Arial"/>
        </w:rPr>
      </w:pPr>
      <w:r w:rsidRPr="002A75F2">
        <w:rPr>
          <w:rFonts w:cs="Arial"/>
        </w:rPr>
        <w:t>Allowing public input on plans for addressing risk, including the basis for the property specific standards developed through risk assessment and ongoing management and monitoring</w:t>
      </w:r>
      <w:r w:rsidR="00661E96" w:rsidRPr="002A75F2">
        <w:rPr>
          <w:rFonts w:cs="Arial"/>
        </w:rPr>
        <w:t>,</w:t>
      </w:r>
      <w:r w:rsidRPr="002A75F2">
        <w:rPr>
          <w:rFonts w:cs="Arial"/>
        </w:rPr>
        <w:t xml:space="preserve"> if warranted; and</w:t>
      </w:r>
    </w:p>
    <w:p w14:paraId="1A154EE3" w14:textId="77777777" w:rsidR="00B736F9" w:rsidRPr="002A75F2" w:rsidRDefault="00B736F9" w:rsidP="000E72E5">
      <w:pPr>
        <w:pStyle w:val="ListBullet2"/>
        <w:rPr>
          <w:rFonts w:cs="Arial"/>
        </w:rPr>
      </w:pPr>
      <w:r w:rsidRPr="002A75F2">
        <w:rPr>
          <w:rFonts w:cs="Arial"/>
        </w:rPr>
        <w:t xml:space="preserve">Allowing the public to provide input on the risk associated with the parts of the proposed </w:t>
      </w:r>
      <w:r w:rsidR="00B37D4F" w:rsidRPr="002A75F2">
        <w:rPr>
          <w:rFonts w:cs="Arial"/>
        </w:rPr>
        <w:t>remediation activities</w:t>
      </w:r>
      <w:r w:rsidRPr="002A75F2">
        <w:rPr>
          <w:rFonts w:cs="Arial"/>
        </w:rPr>
        <w:t>, such as soil excavation, treatment and/or transportation, which may generate dust or have impacts on other exposure pathways that may affect workers or local residents.</w:t>
      </w:r>
    </w:p>
    <w:p w14:paraId="3E8028EA" w14:textId="77777777" w:rsidR="00B736F9" w:rsidRPr="002A75F2" w:rsidRDefault="00C115AF" w:rsidP="00840964">
      <w:pPr>
        <w:rPr>
          <w:rFonts w:cs="Arial"/>
        </w:rPr>
      </w:pPr>
      <w:r w:rsidRPr="002A75F2">
        <w:rPr>
          <w:rFonts w:cs="Arial"/>
        </w:rPr>
        <w:t>Examples of methods which can be considered for inclusion in a communication plan are</w:t>
      </w:r>
      <w:r w:rsidR="00B736F9" w:rsidRPr="002A75F2">
        <w:rPr>
          <w:rFonts w:cs="Arial"/>
        </w:rPr>
        <w:t xml:space="preserve">: </w:t>
      </w:r>
    </w:p>
    <w:p w14:paraId="55AE79AA" w14:textId="77777777" w:rsidR="00B736F9" w:rsidRPr="002A75F2" w:rsidRDefault="00B736F9" w:rsidP="000E72E5">
      <w:pPr>
        <w:pStyle w:val="ListBullet2"/>
        <w:rPr>
          <w:rFonts w:cs="Arial"/>
        </w:rPr>
      </w:pPr>
      <w:r w:rsidRPr="002A75F2">
        <w:rPr>
          <w:rFonts w:cs="Arial"/>
        </w:rPr>
        <w:t>Posting a notice on the RA property;</w:t>
      </w:r>
    </w:p>
    <w:p w14:paraId="217E54BD" w14:textId="77777777" w:rsidR="00B736F9" w:rsidRPr="002A75F2" w:rsidRDefault="00B736F9" w:rsidP="000E72E5">
      <w:pPr>
        <w:pStyle w:val="ListBullet2"/>
        <w:rPr>
          <w:rFonts w:cs="Arial"/>
        </w:rPr>
      </w:pPr>
      <w:r w:rsidRPr="002A75F2">
        <w:rPr>
          <w:rFonts w:cs="Arial"/>
        </w:rPr>
        <w:t>Advertising in the local newspapers or community bulletins;</w:t>
      </w:r>
    </w:p>
    <w:p w14:paraId="0685924F" w14:textId="77777777" w:rsidR="00B736F9" w:rsidRPr="002A75F2" w:rsidRDefault="00B736F9" w:rsidP="000E72E5">
      <w:pPr>
        <w:pStyle w:val="ListBullet2"/>
        <w:rPr>
          <w:rFonts w:cs="Arial"/>
        </w:rPr>
      </w:pPr>
      <w:r w:rsidRPr="002A75F2">
        <w:rPr>
          <w:rFonts w:cs="Arial"/>
        </w:rPr>
        <w:t>Delivering flyers or newsletters door to door;</w:t>
      </w:r>
    </w:p>
    <w:p w14:paraId="4D4A844A" w14:textId="77777777" w:rsidR="00B736F9" w:rsidRPr="002A75F2" w:rsidRDefault="00B736F9" w:rsidP="000E72E5">
      <w:pPr>
        <w:pStyle w:val="ListBullet2"/>
        <w:rPr>
          <w:rFonts w:cs="Arial"/>
        </w:rPr>
      </w:pPr>
      <w:r w:rsidRPr="002A75F2">
        <w:rPr>
          <w:rFonts w:cs="Arial"/>
        </w:rPr>
        <w:t>Using dedicated telephone lines to provide or receive information;</w:t>
      </w:r>
    </w:p>
    <w:p w14:paraId="3EC1EF70" w14:textId="77777777" w:rsidR="006021B3" w:rsidRPr="002A75F2" w:rsidRDefault="006021B3" w:rsidP="006021B3">
      <w:pPr>
        <w:pStyle w:val="ListBullet2"/>
        <w:rPr>
          <w:rFonts w:cs="Arial"/>
        </w:rPr>
      </w:pPr>
      <w:r w:rsidRPr="002A75F2">
        <w:rPr>
          <w:rFonts w:cs="Arial"/>
        </w:rPr>
        <w:t>Using a dedicated website to provide or receive information;</w:t>
      </w:r>
    </w:p>
    <w:p w14:paraId="310B6C63" w14:textId="77777777" w:rsidR="00B736F9" w:rsidRPr="002A75F2" w:rsidRDefault="00B736F9" w:rsidP="000E72E5">
      <w:pPr>
        <w:pStyle w:val="ListBullet2"/>
        <w:rPr>
          <w:rFonts w:cs="Arial"/>
        </w:rPr>
      </w:pPr>
      <w:r w:rsidRPr="002A75F2">
        <w:rPr>
          <w:rFonts w:cs="Arial"/>
        </w:rPr>
        <w:t xml:space="preserve">Placing material in local libraries, community </w:t>
      </w:r>
      <w:proofErr w:type="spellStart"/>
      <w:r w:rsidRPr="002A75F2">
        <w:rPr>
          <w:rFonts w:cs="Arial"/>
        </w:rPr>
        <w:t>centres</w:t>
      </w:r>
      <w:proofErr w:type="spellEnd"/>
      <w:r w:rsidRPr="002A75F2">
        <w:rPr>
          <w:rFonts w:cs="Arial"/>
        </w:rPr>
        <w:t xml:space="preserve"> or establishing a temporary local office;</w:t>
      </w:r>
    </w:p>
    <w:p w14:paraId="1E49DD7F" w14:textId="77777777" w:rsidR="00B736F9" w:rsidRPr="002A75F2" w:rsidRDefault="00B736F9" w:rsidP="000E72E5">
      <w:pPr>
        <w:pStyle w:val="ListBullet2"/>
        <w:rPr>
          <w:rFonts w:cs="Arial"/>
        </w:rPr>
      </w:pPr>
      <w:r w:rsidRPr="002A75F2">
        <w:rPr>
          <w:rFonts w:cs="Arial"/>
        </w:rPr>
        <w:t>Holding public meetings, information sessions or an open house;</w:t>
      </w:r>
    </w:p>
    <w:p w14:paraId="12C30836" w14:textId="77777777" w:rsidR="00B736F9" w:rsidRPr="002A75F2" w:rsidRDefault="00B736F9" w:rsidP="000E72E5">
      <w:pPr>
        <w:pStyle w:val="ListBullet2"/>
        <w:rPr>
          <w:rFonts w:cs="Arial"/>
        </w:rPr>
      </w:pPr>
      <w:r w:rsidRPr="002A75F2">
        <w:rPr>
          <w:rFonts w:cs="Arial"/>
        </w:rPr>
        <w:t>Establishing a public liaison committee; and/or</w:t>
      </w:r>
    </w:p>
    <w:p w14:paraId="5F1EC67F" w14:textId="77777777" w:rsidR="00B736F9" w:rsidRPr="002A75F2" w:rsidRDefault="00B736F9" w:rsidP="000E72E5">
      <w:pPr>
        <w:pStyle w:val="ListBullet2"/>
        <w:rPr>
          <w:rFonts w:cs="Arial"/>
        </w:rPr>
      </w:pPr>
      <w:r w:rsidRPr="002A75F2">
        <w:rPr>
          <w:rFonts w:cs="Arial"/>
        </w:rPr>
        <w:t xml:space="preserve">Any other method of consultation or notification that, in the opinion of the </w:t>
      </w:r>
      <w:r w:rsidR="000767FF" w:rsidRPr="002A75F2">
        <w:rPr>
          <w:rFonts w:cs="Arial"/>
        </w:rPr>
        <w:t>QP</w:t>
      </w:r>
      <w:r w:rsidR="000767FF" w:rsidRPr="002A75F2">
        <w:rPr>
          <w:rFonts w:cs="Arial"/>
          <w:vertAlign w:val="subscript"/>
        </w:rPr>
        <w:t>RA</w:t>
      </w:r>
      <w:r w:rsidRPr="002A75F2">
        <w:rPr>
          <w:rFonts w:cs="Arial"/>
        </w:rPr>
        <w:t>, is adequate.</w:t>
      </w:r>
      <w:bookmarkStart w:id="88" w:name="_Toc74119384"/>
      <w:bookmarkStart w:id="89" w:name="_Toc74450879"/>
      <w:bookmarkStart w:id="90" w:name="_Toc78162189"/>
    </w:p>
    <w:p w14:paraId="3AB1EFE5" w14:textId="48CCE266" w:rsidR="00B736F9" w:rsidRPr="008D65C3" w:rsidRDefault="0053573D" w:rsidP="0053573D">
      <w:pPr>
        <w:pStyle w:val="Heading1"/>
      </w:pPr>
      <w:bookmarkStart w:id="91" w:name="_Toc91393534"/>
      <w:bookmarkStart w:id="92" w:name="_Toc112727400"/>
      <w:bookmarkStart w:id="93" w:name="_Toc41905661"/>
      <w:r w:rsidRPr="008D65C3">
        <w:lastRenderedPageBreak/>
        <w:t>Preparation Of A</w:t>
      </w:r>
      <w:r w:rsidR="003D407C" w:rsidRPr="008D65C3">
        <w:t xml:space="preserve">n RA </w:t>
      </w:r>
      <w:r w:rsidRPr="008D65C3">
        <w:t>Report</w:t>
      </w:r>
      <w:bookmarkEnd w:id="88"/>
      <w:bookmarkEnd w:id="89"/>
      <w:bookmarkEnd w:id="90"/>
      <w:bookmarkEnd w:id="91"/>
      <w:bookmarkEnd w:id="92"/>
      <w:bookmarkEnd w:id="93"/>
    </w:p>
    <w:p w14:paraId="574D0466" w14:textId="5BB840CC" w:rsidR="00B736F9" w:rsidRPr="008D65C3" w:rsidRDefault="00B736F9" w:rsidP="009A2C49">
      <w:pPr>
        <w:rPr>
          <w:rFonts w:cs="Arial"/>
        </w:rPr>
      </w:pPr>
      <w:bookmarkStart w:id="94" w:name="_Toc78162190"/>
      <w:r w:rsidRPr="008D65C3">
        <w:rPr>
          <w:rFonts w:cs="Arial"/>
        </w:rPr>
        <w:t xml:space="preserve">RA reports must meet the requirements of </w:t>
      </w:r>
      <w:r w:rsidR="00FC5732" w:rsidRPr="008D65C3">
        <w:rPr>
          <w:rFonts w:cs="Arial"/>
        </w:rPr>
        <w:t xml:space="preserve">Schedule C of </w:t>
      </w:r>
      <w:r w:rsidRPr="008D65C3">
        <w:rPr>
          <w:rFonts w:cs="Arial"/>
        </w:rPr>
        <w:t xml:space="preserve">the Regulation. The </w:t>
      </w:r>
      <w:r w:rsidR="003D407C" w:rsidRPr="008D65C3">
        <w:rPr>
          <w:rFonts w:cs="Arial"/>
        </w:rPr>
        <w:t>risk assessment</w:t>
      </w:r>
      <w:r w:rsidRPr="008D65C3">
        <w:rPr>
          <w:rFonts w:cs="Arial"/>
        </w:rPr>
        <w:t xml:space="preserve"> process must include both human health and ecological risk assessments in a single report. Under the Regulation, the RA report </w:t>
      </w:r>
      <w:r w:rsidR="00151DEA" w:rsidRPr="008D65C3">
        <w:rPr>
          <w:rFonts w:cs="Arial"/>
        </w:rPr>
        <w:t xml:space="preserve">must </w:t>
      </w:r>
      <w:r w:rsidRPr="008D65C3">
        <w:rPr>
          <w:rFonts w:cs="Arial"/>
        </w:rPr>
        <w:t>include the following sections:</w:t>
      </w:r>
      <w:bookmarkEnd w:id="94"/>
    </w:p>
    <w:p w14:paraId="40AE9F96" w14:textId="77777777" w:rsidR="0041572E" w:rsidRPr="008D65C3" w:rsidRDefault="0041572E" w:rsidP="009A2C49">
      <w:pPr>
        <w:pStyle w:val="List2"/>
        <w:rPr>
          <w:rFonts w:cs="Arial"/>
        </w:rPr>
      </w:pPr>
      <w:r w:rsidRPr="008D65C3">
        <w:rPr>
          <w:rFonts w:cs="Arial"/>
        </w:rPr>
        <w:t>Section 1 -</w:t>
      </w:r>
      <w:r w:rsidR="000E44C5" w:rsidRPr="008D65C3">
        <w:rPr>
          <w:rFonts w:cs="Arial"/>
        </w:rPr>
        <w:t xml:space="preserve"> </w:t>
      </w:r>
      <w:r w:rsidRPr="008D65C3">
        <w:rPr>
          <w:rFonts w:cs="Arial"/>
        </w:rPr>
        <w:t>Summary of Recommendations</w:t>
      </w:r>
      <w:r w:rsidR="00FC5732" w:rsidRPr="008D65C3">
        <w:rPr>
          <w:rFonts w:cs="Arial"/>
        </w:rPr>
        <w:t xml:space="preserve"> and</w:t>
      </w:r>
      <w:r w:rsidR="009470A4" w:rsidRPr="008D65C3">
        <w:rPr>
          <w:rFonts w:cs="Arial"/>
        </w:rPr>
        <w:t xml:space="preserve"> </w:t>
      </w:r>
      <w:r w:rsidRPr="008D65C3">
        <w:rPr>
          <w:rFonts w:cs="Arial"/>
        </w:rPr>
        <w:t>Findings</w:t>
      </w:r>
    </w:p>
    <w:p w14:paraId="062D11DE" w14:textId="77777777" w:rsidR="0041572E" w:rsidRPr="008D65C3" w:rsidRDefault="0041572E" w:rsidP="009A2C49">
      <w:pPr>
        <w:pStyle w:val="List2"/>
        <w:rPr>
          <w:rFonts w:cs="Arial"/>
        </w:rPr>
      </w:pPr>
      <w:r w:rsidRPr="008D65C3">
        <w:rPr>
          <w:rFonts w:cs="Arial"/>
        </w:rPr>
        <w:t>Section 2 - Risk Assessment Team Membership</w:t>
      </w:r>
    </w:p>
    <w:p w14:paraId="0A1312FF" w14:textId="77777777" w:rsidR="0041572E" w:rsidRPr="008D65C3" w:rsidRDefault="0041572E" w:rsidP="009A2C49">
      <w:pPr>
        <w:pStyle w:val="List2"/>
        <w:rPr>
          <w:rFonts w:cs="Arial"/>
        </w:rPr>
      </w:pPr>
      <w:r w:rsidRPr="008D65C3">
        <w:rPr>
          <w:rFonts w:cs="Arial"/>
        </w:rPr>
        <w:t>Section 3 -</w:t>
      </w:r>
      <w:r w:rsidR="000E44C5" w:rsidRPr="008D65C3">
        <w:rPr>
          <w:rFonts w:cs="Arial"/>
        </w:rPr>
        <w:t xml:space="preserve"> </w:t>
      </w:r>
      <w:r w:rsidRPr="008D65C3">
        <w:rPr>
          <w:rFonts w:cs="Arial"/>
        </w:rPr>
        <w:t>Property Information, Site Plan and Geological Interpretation</w:t>
      </w:r>
    </w:p>
    <w:p w14:paraId="18CC6D99" w14:textId="77777777" w:rsidR="0041572E" w:rsidRPr="008D65C3" w:rsidRDefault="0041572E" w:rsidP="009A2C49">
      <w:pPr>
        <w:pStyle w:val="List2"/>
        <w:rPr>
          <w:rFonts w:cs="Arial"/>
        </w:rPr>
      </w:pPr>
      <w:r w:rsidRPr="008D65C3">
        <w:rPr>
          <w:rFonts w:cs="Arial"/>
        </w:rPr>
        <w:t>Section 4 - Human Health Risk Assessment (HHRA)</w:t>
      </w:r>
    </w:p>
    <w:p w14:paraId="75953975" w14:textId="77777777" w:rsidR="0041572E" w:rsidRPr="008D65C3" w:rsidRDefault="0041572E" w:rsidP="009A2C49">
      <w:pPr>
        <w:pStyle w:val="List2"/>
        <w:rPr>
          <w:rFonts w:cs="Arial"/>
        </w:rPr>
      </w:pPr>
      <w:r w:rsidRPr="008D65C3">
        <w:rPr>
          <w:rFonts w:cs="Arial"/>
        </w:rPr>
        <w:t>Section 5 - Ecological Risk Assessment (ERA)</w:t>
      </w:r>
    </w:p>
    <w:p w14:paraId="78CA2427" w14:textId="77777777" w:rsidR="0041572E" w:rsidRPr="008D65C3" w:rsidRDefault="0041572E" w:rsidP="009A2C49">
      <w:pPr>
        <w:pStyle w:val="List2"/>
        <w:rPr>
          <w:rFonts w:cs="Arial"/>
        </w:rPr>
      </w:pPr>
      <w:r w:rsidRPr="008D65C3">
        <w:rPr>
          <w:rFonts w:cs="Arial"/>
        </w:rPr>
        <w:t xml:space="preserve">Section 6 </w:t>
      </w:r>
      <w:r w:rsidR="00475414" w:rsidRPr="008D65C3">
        <w:rPr>
          <w:rFonts w:cs="Arial"/>
        </w:rPr>
        <w:t>-</w:t>
      </w:r>
      <w:r w:rsidRPr="008D65C3">
        <w:rPr>
          <w:rFonts w:cs="Arial"/>
        </w:rPr>
        <w:t xml:space="preserve"> Conclusions</w:t>
      </w:r>
      <w:r w:rsidR="00FC5732" w:rsidRPr="008D65C3">
        <w:rPr>
          <w:rFonts w:cs="Arial"/>
        </w:rPr>
        <w:t xml:space="preserve"> and </w:t>
      </w:r>
      <w:r w:rsidRPr="008D65C3">
        <w:rPr>
          <w:rFonts w:cs="Arial"/>
        </w:rPr>
        <w:t>Recommendations</w:t>
      </w:r>
    </w:p>
    <w:p w14:paraId="7DD9E6AC" w14:textId="77777777" w:rsidR="0041572E" w:rsidRPr="008D65C3" w:rsidRDefault="0041572E" w:rsidP="009A2C49">
      <w:pPr>
        <w:pStyle w:val="List2"/>
        <w:rPr>
          <w:rFonts w:cs="Arial"/>
        </w:rPr>
      </w:pPr>
      <w:r w:rsidRPr="008D65C3">
        <w:rPr>
          <w:rFonts w:cs="Arial"/>
        </w:rPr>
        <w:t xml:space="preserve">Section 7 - Risk Management Plan </w:t>
      </w:r>
      <w:r w:rsidR="00151DEA" w:rsidRPr="008D65C3">
        <w:rPr>
          <w:rFonts w:cs="Arial"/>
        </w:rPr>
        <w:t>(</w:t>
      </w:r>
      <w:r w:rsidRPr="008D65C3">
        <w:rPr>
          <w:rFonts w:cs="Arial"/>
        </w:rPr>
        <w:t>if applicable</w:t>
      </w:r>
      <w:r w:rsidR="00151DEA" w:rsidRPr="008D65C3">
        <w:rPr>
          <w:rFonts w:cs="Arial"/>
        </w:rPr>
        <w:t>)</w:t>
      </w:r>
    </w:p>
    <w:p w14:paraId="2B735417" w14:textId="77777777" w:rsidR="0041572E" w:rsidRPr="008D65C3" w:rsidRDefault="0041572E" w:rsidP="009A2C49">
      <w:pPr>
        <w:pStyle w:val="List2"/>
        <w:rPr>
          <w:rFonts w:cs="Arial"/>
        </w:rPr>
      </w:pPr>
      <w:r w:rsidRPr="008D65C3">
        <w:rPr>
          <w:rFonts w:cs="Arial"/>
        </w:rPr>
        <w:t xml:space="preserve">Section 8 - Public Communication Plan </w:t>
      </w:r>
      <w:r w:rsidR="00151DEA" w:rsidRPr="008D65C3">
        <w:rPr>
          <w:rFonts w:cs="Arial"/>
        </w:rPr>
        <w:t>(</w:t>
      </w:r>
      <w:r w:rsidRPr="008D65C3">
        <w:rPr>
          <w:rFonts w:cs="Arial"/>
        </w:rPr>
        <w:t>if applicable</w:t>
      </w:r>
      <w:r w:rsidR="00151DEA" w:rsidRPr="008D65C3">
        <w:rPr>
          <w:rFonts w:cs="Arial"/>
        </w:rPr>
        <w:t>)</w:t>
      </w:r>
    </w:p>
    <w:p w14:paraId="026DB6B9" w14:textId="77777777" w:rsidR="0041572E" w:rsidRPr="008D65C3" w:rsidRDefault="0041572E" w:rsidP="009A2C49">
      <w:pPr>
        <w:pStyle w:val="List2"/>
        <w:rPr>
          <w:rFonts w:cs="Arial"/>
        </w:rPr>
      </w:pPr>
      <w:r w:rsidRPr="008D65C3">
        <w:rPr>
          <w:rFonts w:cs="Arial"/>
        </w:rPr>
        <w:t xml:space="preserve">Appendices – including </w:t>
      </w:r>
      <w:r w:rsidR="00FC5732" w:rsidRPr="008D65C3">
        <w:rPr>
          <w:rFonts w:cs="Arial"/>
        </w:rPr>
        <w:t xml:space="preserve">Mandatory </w:t>
      </w:r>
      <w:r w:rsidR="00FC5732" w:rsidRPr="003A7891">
        <w:rPr>
          <w:rFonts w:cs="Arial"/>
        </w:rPr>
        <w:t>Certifications</w:t>
      </w:r>
      <w:r w:rsidR="0067312A" w:rsidRPr="003A7891">
        <w:rPr>
          <w:rFonts w:cs="Arial"/>
        </w:rPr>
        <w:t xml:space="preserve"> and phase two conceptual site model</w:t>
      </w:r>
    </w:p>
    <w:p w14:paraId="46078BCF" w14:textId="444FD637" w:rsidR="0053267B" w:rsidRPr="003A7891" w:rsidRDefault="00B736F9" w:rsidP="009A2C49">
      <w:pPr>
        <w:rPr>
          <w:rFonts w:cs="Arial"/>
        </w:rPr>
      </w:pPr>
      <w:bookmarkStart w:id="95" w:name="_Toc78162191"/>
      <w:r w:rsidRPr="008D65C3">
        <w:rPr>
          <w:rFonts w:cs="Arial"/>
        </w:rPr>
        <w:t xml:space="preserve">The </w:t>
      </w:r>
      <w:r w:rsidR="0041572E" w:rsidRPr="008D65C3">
        <w:rPr>
          <w:rFonts w:cs="Arial"/>
        </w:rPr>
        <w:t>RA report</w:t>
      </w:r>
      <w:r w:rsidRPr="008D65C3">
        <w:rPr>
          <w:rFonts w:cs="Arial"/>
        </w:rPr>
        <w:t xml:space="preserve"> must </w:t>
      </w:r>
      <w:r w:rsidRPr="003A7891">
        <w:rPr>
          <w:rFonts w:cs="Arial"/>
        </w:rPr>
        <w:t xml:space="preserve">include the headings, sub-headings and minimum requirements as stated in Table 1, Schedule C of the Regulation. Other headings, sub-headings or other information considered relevant may also be included in the </w:t>
      </w:r>
      <w:r w:rsidR="0041572E" w:rsidRPr="003A7891">
        <w:rPr>
          <w:rFonts w:cs="Arial"/>
        </w:rPr>
        <w:t>RA report</w:t>
      </w:r>
      <w:r w:rsidRPr="003A7891">
        <w:rPr>
          <w:rFonts w:cs="Arial"/>
        </w:rPr>
        <w:t xml:space="preserve">. </w:t>
      </w:r>
      <w:r w:rsidR="00C4493F" w:rsidRPr="003A7891">
        <w:rPr>
          <w:rFonts w:cs="Arial"/>
        </w:rPr>
        <w:t>A</w:t>
      </w:r>
      <w:r w:rsidRPr="003A7891">
        <w:rPr>
          <w:rFonts w:cs="Arial"/>
        </w:rPr>
        <w:t xml:space="preserve"> standard RA report format </w:t>
      </w:r>
      <w:r w:rsidR="00FC5732" w:rsidRPr="003A7891">
        <w:rPr>
          <w:rFonts w:cs="Arial"/>
        </w:rPr>
        <w:t xml:space="preserve">is intended to </w:t>
      </w:r>
      <w:r w:rsidRPr="003A7891">
        <w:rPr>
          <w:rFonts w:cs="Arial"/>
        </w:rPr>
        <w:t xml:space="preserve">improve consistency in </w:t>
      </w:r>
      <w:r w:rsidR="006C4301" w:rsidRPr="003A7891">
        <w:rPr>
          <w:rFonts w:cs="Arial"/>
        </w:rPr>
        <w:t>risk assessment</w:t>
      </w:r>
      <w:r w:rsidRPr="003A7891">
        <w:rPr>
          <w:rFonts w:cs="Arial"/>
        </w:rPr>
        <w:t xml:space="preserve"> submissions and reduce the time required for the </w:t>
      </w:r>
      <w:r w:rsidR="002D7DFD" w:rsidRPr="003A7891">
        <w:rPr>
          <w:rFonts w:cs="Arial"/>
        </w:rPr>
        <w:t>M</w:t>
      </w:r>
      <w:r w:rsidR="002A6EE0" w:rsidRPr="003A7891">
        <w:rPr>
          <w:rFonts w:cs="Arial"/>
        </w:rPr>
        <w:t>inistry</w:t>
      </w:r>
      <w:r w:rsidRPr="003A7891">
        <w:rPr>
          <w:rFonts w:cs="Arial"/>
        </w:rPr>
        <w:t xml:space="preserve"> to complete reviews.</w:t>
      </w:r>
      <w:bookmarkEnd w:id="95"/>
    </w:p>
    <w:p w14:paraId="2A8B4B4F" w14:textId="1ECD0270" w:rsidR="00B736F9" w:rsidRPr="003A7891" w:rsidRDefault="0053267B" w:rsidP="009A2C49">
      <w:pPr>
        <w:rPr>
          <w:rFonts w:cs="Arial"/>
        </w:rPr>
      </w:pPr>
      <w:r w:rsidRPr="003A7891">
        <w:rPr>
          <w:rFonts w:cs="Arial"/>
        </w:rPr>
        <w:t>For</w:t>
      </w:r>
      <w:r w:rsidR="00CF4D8C" w:rsidRPr="003A7891">
        <w:rPr>
          <w:rFonts w:cs="Arial"/>
        </w:rPr>
        <w:t xml:space="preserve"> Tier 2 </w:t>
      </w:r>
      <w:r w:rsidR="002B4755" w:rsidRPr="003A7891">
        <w:rPr>
          <w:rFonts w:cs="Arial"/>
        </w:rPr>
        <w:t>risk assessment</w:t>
      </w:r>
      <w:r w:rsidR="00CF4D8C" w:rsidRPr="003A7891">
        <w:rPr>
          <w:rFonts w:cs="Arial"/>
        </w:rPr>
        <w:t xml:space="preserve">s, </w:t>
      </w:r>
      <w:r w:rsidR="009B2244" w:rsidRPr="003A7891">
        <w:rPr>
          <w:rFonts w:cs="Arial"/>
        </w:rPr>
        <w:t>the QP</w:t>
      </w:r>
      <w:r w:rsidR="009B2244" w:rsidRPr="003A7891">
        <w:rPr>
          <w:rFonts w:cs="Arial"/>
          <w:vertAlign w:val="subscript"/>
        </w:rPr>
        <w:t>RA</w:t>
      </w:r>
      <w:r w:rsidR="009B2244" w:rsidRPr="003A7891">
        <w:rPr>
          <w:rFonts w:cs="Arial"/>
        </w:rPr>
        <w:t xml:space="preserve"> </w:t>
      </w:r>
      <w:r w:rsidR="00CF4D8C" w:rsidRPr="003A7891">
        <w:rPr>
          <w:rFonts w:cs="Arial"/>
        </w:rPr>
        <w:t>must use the Ministry’s reporting templat</w:t>
      </w:r>
      <w:r w:rsidR="00857572" w:rsidRPr="003A7891">
        <w:rPr>
          <w:rFonts w:cs="Arial"/>
        </w:rPr>
        <w:t>e</w:t>
      </w:r>
      <w:r w:rsidR="009B2244" w:rsidRPr="003A7891">
        <w:rPr>
          <w:rFonts w:cs="Arial"/>
        </w:rPr>
        <w:t xml:space="preserve">, </w:t>
      </w:r>
      <w:r w:rsidR="00CF4D8C" w:rsidRPr="003A7891">
        <w:rPr>
          <w:rFonts w:cs="Arial"/>
        </w:rPr>
        <w:t>which is embedded within the approved model</w:t>
      </w:r>
      <w:r w:rsidRPr="003A7891">
        <w:rPr>
          <w:rFonts w:cs="Arial"/>
        </w:rPr>
        <w:t xml:space="preserve">. </w:t>
      </w:r>
      <w:r w:rsidR="00D94884" w:rsidRPr="003A7891">
        <w:rPr>
          <w:rFonts w:cs="Arial"/>
        </w:rPr>
        <w:t>H</w:t>
      </w:r>
      <w:r w:rsidRPr="003A7891">
        <w:rPr>
          <w:rFonts w:cs="Arial"/>
        </w:rPr>
        <w:t>owever</w:t>
      </w:r>
      <w:r w:rsidR="00D94884" w:rsidRPr="003A7891">
        <w:rPr>
          <w:rFonts w:cs="Arial"/>
        </w:rPr>
        <w:t>, note</w:t>
      </w:r>
      <w:r w:rsidRPr="003A7891">
        <w:rPr>
          <w:rFonts w:cs="Arial"/>
        </w:rPr>
        <w:t xml:space="preserve"> that the use of this reporting template is not appropriate for other risk assessments (e.g. Tier 3 </w:t>
      </w:r>
      <w:r w:rsidR="002B4755" w:rsidRPr="003A7891">
        <w:rPr>
          <w:rFonts w:cs="Arial"/>
        </w:rPr>
        <w:t>risk assessments</w:t>
      </w:r>
      <w:r w:rsidRPr="003A7891">
        <w:rPr>
          <w:rFonts w:cs="Arial"/>
        </w:rPr>
        <w:t>)</w:t>
      </w:r>
      <w:r w:rsidR="00B3476C" w:rsidRPr="003A7891">
        <w:rPr>
          <w:rFonts w:cs="Arial"/>
        </w:rPr>
        <w:t>.</w:t>
      </w:r>
    </w:p>
    <w:p w14:paraId="3CD4EEA4" w14:textId="486319D0" w:rsidR="00B736F9" w:rsidRPr="003A7891" w:rsidRDefault="00B736F9" w:rsidP="00AF70E0">
      <w:pPr>
        <w:pStyle w:val="Heading2"/>
        <w:rPr>
          <w:rFonts w:cs="Arial"/>
        </w:rPr>
      </w:pPr>
      <w:bookmarkStart w:id="96" w:name="_Toc41905662"/>
      <w:r w:rsidRPr="003A7891">
        <w:rPr>
          <w:rFonts w:cs="Arial"/>
        </w:rPr>
        <w:t xml:space="preserve">General </w:t>
      </w:r>
      <w:r w:rsidR="00E50267" w:rsidRPr="003A7891">
        <w:rPr>
          <w:rFonts w:cs="Arial"/>
        </w:rPr>
        <w:t xml:space="preserve">RA </w:t>
      </w:r>
      <w:r w:rsidRPr="003A7891">
        <w:rPr>
          <w:rFonts w:cs="Arial"/>
        </w:rPr>
        <w:t>Report Requirements</w:t>
      </w:r>
      <w:bookmarkEnd w:id="96"/>
    </w:p>
    <w:p w14:paraId="4FD3D45B" w14:textId="77777777" w:rsidR="003D6525" w:rsidRPr="008D65C3" w:rsidRDefault="00A37871" w:rsidP="00840964">
      <w:pPr>
        <w:rPr>
          <w:rFonts w:cs="Arial"/>
        </w:rPr>
      </w:pPr>
      <w:r w:rsidRPr="003A7891">
        <w:rPr>
          <w:rFonts w:cs="Arial"/>
        </w:rPr>
        <w:t>The following provisions of Schedule C of the Regulation are especially important for the preparation of RA reports, as they set out mandatory requirements</w:t>
      </w:r>
      <w:r w:rsidR="00DB095B" w:rsidRPr="003A7891">
        <w:rPr>
          <w:rFonts w:cs="Arial"/>
        </w:rPr>
        <w:t>:</w:t>
      </w:r>
      <w:r w:rsidR="00B736F9" w:rsidRPr="008D65C3">
        <w:rPr>
          <w:rFonts w:cs="Arial"/>
        </w:rPr>
        <w:t xml:space="preserve"> </w:t>
      </w:r>
    </w:p>
    <w:p w14:paraId="0C868B8A" w14:textId="77777777" w:rsidR="00B736F9" w:rsidRPr="008D65C3" w:rsidRDefault="00BC7AAD" w:rsidP="00A47B50">
      <w:pPr>
        <w:pStyle w:val="List2"/>
        <w:numPr>
          <w:ilvl w:val="0"/>
          <w:numId w:val="22"/>
        </w:numPr>
        <w:shd w:val="clear" w:color="auto" w:fill="D9D9D9"/>
        <w:rPr>
          <w:rFonts w:cs="Arial"/>
        </w:rPr>
      </w:pPr>
      <w:r w:rsidRPr="008D65C3">
        <w:rPr>
          <w:rFonts w:cs="Arial"/>
        </w:rPr>
        <w:t>Section</w:t>
      </w:r>
      <w:r w:rsidR="00DB095B" w:rsidRPr="008D65C3">
        <w:rPr>
          <w:rFonts w:cs="Arial"/>
        </w:rPr>
        <w:t xml:space="preserve"> 4 of </w:t>
      </w:r>
      <w:r w:rsidR="00B736F9" w:rsidRPr="008D65C3">
        <w:rPr>
          <w:rFonts w:cs="Arial"/>
        </w:rPr>
        <w:t xml:space="preserve">Schedule C </w:t>
      </w:r>
      <w:r w:rsidR="00DB095B" w:rsidRPr="008D65C3">
        <w:rPr>
          <w:rFonts w:cs="Arial"/>
        </w:rPr>
        <w:t>(Mandatory Requirements For Risk Assessment Reports)</w:t>
      </w:r>
    </w:p>
    <w:p w14:paraId="20A3F6DD" w14:textId="77777777" w:rsidR="00DB095B" w:rsidRPr="008D65C3" w:rsidRDefault="00BC7AAD" w:rsidP="00A47B50">
      <w:pPr>
        <w:pStyle w:val="List2"/>
        <w:numPr>
          <w:ilvl w:val="0"/>
          <w:numId w:val="22"/>
        </w:numPr>
        <w:shd w:val="clear" w:color="auto" w:fill="D9D9D9"/>
        <w:rPr>
          <w:rFonts w:cs="Arial"/>
        </w:rPr>
      </w:pPr>
      <w:r w:rsidRPr="008D65C3">
        <w:rPr>
          <w:rFonts w:cs="Arial"/>
        </w:rPr>
        <w:t>Section</w:t>
      </w:r>
      <w:r w:rsidR="00DB095B" w:rsidRPr="008D65C3">
        <w:rPr>
          <w:rFonts w:cs="Arial"/>
        </w:rPr>
        <w:t xml:space="preserve"> 5 of Schedule C (Mandatory certifications)</w:t>
      </w:r>
    </w:p>
    <w:p w14:paraId="4D424BEF" w14:textId="77777777" w:rsidR="00DB095B" w:rsidRPr="008D65C3" w:rsidRDefault="00DB095B" w:rsidP="00A47B50">
      <w:pPr>
        <w:pStyle w:val="List2"/>
        <w:numPr>
          <w:ilvl w:val="0"/>
          <w:numId w:val="22"/>
        </w:numPr>
        <w:shd w:val="clear" w:color="auto" w:fill="D9D9D9"/>
        <w:rPr>
          <w:rFonts w:cs="Arial"/>
        </w:rPr>
      </w:pPr>
      <w:r w:rsidRPr="008D65C3">
        <w:rPr>
          <w:rFonts w:cs="Arial"/>
        </w:rPr>
        <w:t>Table 1 of Schedule C (Mandatory Requirements For Risk Assessment Reports)</w:t>
      </w:r>
    </w:p>
    <w:p w14:paraId="0367ECE4" w14:textId="5062B12B" w:rsidR="00B736F9" w:rsidRPr="003A7891" w:rsidRDefault="00B736F9" w:rsidP="00840964">
      <w:pPr>
        <w:rPr>
          <w:rFonts w:cs="Arial"/>
        </w:rPr>
      </w:pPr>
      <w:r w:rsidRPr="008D65C3">
        <w:rPr>
          <w:rFonts w:cs="Arial"/>
        </w:rPr>
        <w:t xml:space="preserve">Guidance on the RA Report Sections “Risk Assessment Team” and “Public Communication” as specified in </w:t>
      </w:r>
      <w:r w:rsidR="00A37871" w:rsidRPr="008D65C3">
        <w:rPr>
          <w:rFonts w:cs="Arial"/>
        </w:rPr>
        <w:t xml:space="preserve">Table 1 of </w:t>
      </w:r>
      <w:r w:rsidRPr="003A7891">
        <w:rPr>
          <w:rFonts w:cs="Arial"/>
        </w:rPr>
        <w:t>Schedule C has been provided in Section</w:t>
      </w:r>
      <w:r w:rsidR="00F565A8" w:rsidRPr="003A7891">
        <w:rPr>
          <w:rFonts w:cs="Arial"/>
        </w:rPr>
        <w:t>s</w:t>
      </w:r>
      <w:r w:rsidRPr="003A7891">
        <w:rPr>
          <w:rFonts w:cs="Arial"/>
        </w:rPr>
        <w:t xml:space="preserve"> 1 </w:t>
      </w:r>
      <w:r w:rsidR="00F565A8" w:rsidRPr="003A7891">
        <w:rPr>
          <w:rFonts w:cs="Arial"/>
        </w:rPr>
        <w:t xml:space="preserve">and 2 </w:t>
      </w:r>
      <w:r w:rsidRPr="003A7891">
        <w:rPr>
          <w:rFonts w:cs="Arial"/>
        </w:rPr>
        <w:t>of this Procedure</w:t>
      </w:r>
      <w:r w:rsidR="0086620D" w:rsidRPr="003A7891">
        <w:rPr>
          <w:rFonts w:cs="Arial"/>
        </w:rPr>
        <w:t>s</w:t>
      </w:r>
      <w:r w:rsidRPr="003A7891">
        <w:rPr>
          <w:rFonts w:cs="Arial"/>
        </w:rPr>
        <w:t xml:space="preserve"> document</w:t>
      </w:r>
      <w:r w:rsidR="00F565A8" w:rsidRPr="003A7891">
        <w:rPr>
          <w:rFonts w:cs="Arial"/>
        </w:rPr>
        <w:t>,</w:t>
      </w:r>
      <w:r w:rsidRPr="003A7891">
        <w:rPr>
          <w:rFonts w:cs="Arial"/>
        </w:rPr>
        <w:t xml:space="preserve"> for reference at an early stage in the risk assessment process.</w:t>
      </w:r>
    </w:p>
    <w:p w14:paraId="44F78ADE" w14:textId="58416EF8" w:rsidR="00B736F9" w:rsidRPr="008D65C3" w:rsidRDefault="00A37871" w:rsidP="00840964">
      <w:pPr>
        <w:rPr>
          <w:rFonts w:cs="Arial"/>
        </w:rPr>
      </w:pPr>
      <w:r w:rsidRPr="003A7891">
        <w:rPr>
          <w:rFonts w:cs="Arial"/>
        </w:rPr>
        <w:t>G</w:t>
      </w:r>
      <w:r w:rsidR="00B736F9" w:rsidRPr="003A7891">
        <w:rPr>
          <w:rFonts w:cs="Arial"/>
        </w:rPr>
        <w:t xml:space="preserve">uidance on </w:t>
      </w:r>
      <w:r w:rsidR="00FF160F" w:rsidRPr="003A7891">
        <w:rPr>
          <w:rFonts w:cs="Arial"/>
        </w:rPr>
        <w:t xml:space="preserve">reporting the risk assessment outcome and </w:t>
      </w:r>
      <w:r w:rsidR="00B736F9" w:rsidRPr="003A7891">
        <w:rPr>
          <w:rFonts w:cs="Arial"/>
        </w:rPr>
        <w:t>meet</w:t>
      </w:r>
      <w:r w:rsidR="00FF160F" w:rsidRPr="003A7891">
        <w:rPr>
          <w:rFonts w:cs="Arial"/>
        </w:rPr>
        <w:t>ing</w:t>
      </w:r>
      <w:r w:rsidR="00B736F9" w:rsidRPr="003A7891">
        <w:rPr>
          <w:rFonts w:cs="Arial"/>
        </w:rPr>
        <w:t xml:space="preserve"> the requirements of the “Summary and Recommendations”</w:t>
      </w:r>
      <w:r w:rsidRPr="003A7891">
        <w:rPr>
          <w:rFonts w:cs="Arial"/>
        </w:rPr>
        <w:t xml:space="preserve"> and</w:t>
      </w:r>
      <w:r w:rsidR="00B736F9" w:rsidRPr="003A7891">
        <w:rPr>
          <w:rFonts w:cs="Arial"/>
        </w:rPr>
        <w:t xml:space="preserve"> “Conclusions and Recommendations” Report Sections </w:t>
      </w:r>
      <w:r w:rsidRPr="003A7891">
        <w:rPr>
          <w:rFonts w:cs="Arial"/>
        </w:rPr>
        <w:t xml:space="preserve">in Table 1 </w:t>
      </w:r>
      <w:r w:rsidR="00B736F9" w:rsidRPr="003A7891">
        <w:rPr>
          <w:rFonts w:cs="Arial"/>
        </w:rPr>
        <w:t xml:space="preserve">of Schedule C, as well as “Appendices” as specified in </w:t>
      </w:r>
      <w:r w:rsidRPr="003A7891">
        <w:rPr>
          <w:rFonts w:cs="Arial"/>
        </w:rPr>
        <w:t xml:space="preserve">section 4 of </w:t>
      </w:r>
      <w:r w:rsidR="00B736F9" w:rsidRPr="003A7891">
        <w:rPr>
          <w:rFonts w:cs="Arial"/>
        </w:rPr>
        <w:t>Schedule C, is provided in th</w:t>
      </w:r>
      <w:r w:rsidR="00F565A8" w:rsidRPr="003A7891">
        <w:rPr>
          <w:rFonts w:cs="Arial"/>
        </w:rPr>
        <w:t xml:space="preserve">is section of the </w:t>
      </w:r>
      <w:r w:rsidR="00B736F9" w:rsidRPr="003A7891">
        <w:rPr>
          <w:rFonts w:cs="Arial"/>
        </w:rPr>
        <w:t>Procedures document.</w:t>
      </w:r>
    </w:p>
    <w:p w14:paraId="67974EA6" w14:textId="0165A12A" w:rsidR="006A7D49" w:rsidRPr="003A7891" w:rsidRDefault="00A37871" w:rsidP="00840964">
      <w:pPr>
        <w:rPr>
          <w:rFonts w:cs="Arial"/>
        </w:rPr>
      </w:pPr>
      <w:r w:rsidRPr="008D65C3">
        <w:rPr>
          <w:rFonts w:cs="Arial"/>
        </w:rPr>
        <w:lastRenderedPageBreak/>
        <w:t>G</w:t>
      </w:r>
      <w:r w:rsidR="006A7D49" w:rsidRPr="008D65C3">
        <w:rPr>
          <w:rFonts w:cs="Arial"/>
        </w:rPr>
        <w:t xml:space="preserve">uidance </w:t>
      </w:r>
      <w:r w:rsidRPr="008D65C3">
        <w:rPr>
          <w:rFonts w:cs="Arial"/>
        </w:rPr>
        <w:t>on</w:t>
      </w:r>
      <w:r w:rsidR="006A7D49" w:rsidRPr="008D65C3">
        <w:rPr>
          <w:rFonts w:cs="Arial"/>
        </w:rPr>
        <w:t xml:space="preserve"> how to report on the geologi</w:t>
      </w:r>
      <w:r w:rsidR="006A7D49" w:rsidRPr="003A7891">
        <w:rPr>
          <w:rFonts w:cs="Arial"/>
        </w:rPr>
        <w:t xml:space="preserve">cal setting and </w:t>
      </w:r>
      <w:r w:rsidR="00661AF9" w:rsidRPr="003A7891">
        <w:rPr>
          <w:rFonts w:cs="Arial"/>
        </w:rPr>
        <w:t>COCs</w:t>
      </w:r>
      <w:r w:rsidR="006A7D49" w:rsidRPr="003A7891">
        <w:rPr>
          <w:rFonts w:cs="Arial"/>
        </w:rPr>
        <w:t xml:space="preserve"> to meet the requirements of “Property Information, Site Plan and Geological Interpretation”, is provided in Section </w:t>
      </w:r>
      <w:r w:rsidR="00434B51" w:rsidRPr="003A7891">
        <w:rPr>
          <w:rFonts w:cs="Arial"/>
        </w:rPr>
        <w:t>4</w:t>
      </w:r>
      <w:r w:rsidR="006A7D49" w:rsidRPr="003A7891">
        <w:rPr>
          <w:rFonts w:cs="Arial"/>
        </w:rPr>
        <w:t xml:space="preserve"> of this </w:t>
      </w:r>
      <w:r w:rsidR="0086620D" w:rsidRPr="003A7891">
        <w:rPr>
          <w:rFonts w:cs="Arial"/>
        </w:rPr>
        <w:t>P</w:t>
      </w:r>
      <w:r w:rsidR="006A7D49" w:rsidRPr="003A7891">
        <w:rPr>
          <w:rFonts w:cs="Arial"/>
        </w:rPr>
        <w:t>rocedure</w:t>
      </w:r>
      <w:r w:rsidR="0086620D" w:rsidRPr="003A7891">
        <w:rPr>
          <w:rFonts w:cs="Arial"/>
        </w:rPr>
        <w:t>s</w:t>
      </w:r>
      <w:r w:rsidR="006A7D49" w:rsidRPr="003A7891">
        <w:rPr>
          <w:rFonts w:cs="Arial"/>
        </w:rPr>
        <w:t xml:space="preserve"> document.</w:t>
      </w:r>
    </w:p>
    <w:p w14:paraId="32B114A4" w14:textId="39E357E2" w:rsidR="00B736F9" w:rsidRPr="003A7891" w:rsidRDefault="00AD7491" w:rsidP="00840964">
      <w:pPr>
        <w:rPr>
          <w:rFonts w:cs="Arial"/>
        </w:rPr>
      </w:pPr>
      <w:r w:rsidRPr="003A7891">
        <w:rPr>
          <w:rFonts w:cs="Arial"/>
        </w:rPr>
        <w:t xml:space="preserve">General guidance on conducting risk assessment is presented in Section </w:t>
      </w:r>
      <w:r w:rsidR="00434B51" w:rsidRPr="003A7891">
        <w:rPr>
          <w:rFonts w:cs="Arial"/>
        </w:rPr>
        <w:t>5</w:t>
      </w:r>
      <w:r w:rsidRPr="003A7891">
        <w:rPr>
          <w:rFonts w:cs="Arial"/>
        </w:rPr>
        <w:t xml:space="preserve"> of this Procedures document.</w:t>
      </w:r>
      <w:r w:rsidR="00B664AF" w:rsidRPr="003A7891">
        <w:rPr>
          <w:rFonts w:cs="Arial"/>
        </w:rPr>
        <w:t xml:space="preserve"> </w:t>
      </w:r>
      <w:r w:rsidR="00B736F9" w:rsidRPr="003A7891">
        <w:rPr>
          <w:rFonts w:cs="Arial"/>
        </w:rPr>
        <w:t xml:space="preserve">Detailed guidance on conducting HHRAs and ERAs and presenting the results in accordance with the Regulation are provided in Sections </w:t>
      </w:r>
      <w:r w:rsidR="00F565A8" w:rsidRPr="003A7891">
        <w:rPr>
          <w:rFonts w:cs="Arial"/>
        </w:rPr>
        <w:t>6</w:t>
      </w:r>
      <w:r w:rsidR="00B736F9" w:rsidRPr="003A7891">
        <w:rPr>
          <w:rFonts w:cs="Arial"/>
        </w:rPr>
        <w:t xml:space="preserve"> and </w:t>
      </w:r>
      <w:r w:rsidR="00F565A8" w:rsidRPr="003A7891">
        <w:rPr>
          <w:rFonts w:cs="Arial"/>
        </w:rPr>
        <w:t>7</w:t>
      </w:r>
      <w:r w:rsidR="00B736F9" w:rsidRPr="003A7891">
        <w:rPr>
          <w:rFonts w:cs="Arial"/>
        </w:rPr>
        <w:t xml:space="preserve"> of this Procedures document, respectively.</w:t>
      </w:r>
    </w:p>
    <w:p w14:paraId="4E71A55A" w14:textId="61AF40BB" w:rsidR="006A7D49" w:rsidRPr="003A7891" w:rsidRDefault="006A7D49" w:rsidP="00840964">
      <w:pPr>
        <w:rPr>
          <w:rFonts w:cs="Arial"/>
        </w:rPr>
      </w:pPr>
      <w:r w:rsidRPr="003A7891">
        <w:rPr>
          <w:rFonts w:cs="Arial"/>
        </w:rPr>
        <w:t xml:space="preserve">Additional report sections which may be required are “Risk Management Plan” and “Public Communication Plan”. Guidance on preparing these sections is provided in Sections </w:t>
      </w:r>
      <w:r w:rsidR="00F565A8" w:rsidRPr="003A7891">
        <w:rPr>
          <w:rFonts w:cs="Arial"/>
        </w:rPr>
        <w:t xml:space="preserve">8 </w:t>
      </w:r>
      <w:r w:rsidRPr="003A7891">
        <w:rPr>
          <w:rFonts w:cs="Arial"/>
        </w:rPr>
        <w:t xml:space="preserve">and </w:t>
      </w:r>
      <w:r w:rsidR="009150F6" w:rsidRPr="003A7891">
        <w:rPr>
          <w:rFonts w:cs="Arial"/>
        </w:rPr>
        <w:t xml:space="preserve">Section </w:t>
      </w:r>
      <w:r w:rsidR="00F565A8" w:rsidRPr="003A7891">
        <w:rPr>
          <w:rFonts w:cs="Arial"/>
        </w:rPr>
        <w:t>2.5</w:t>
      </w:r>
      <w:r w:rsidRPr="003A7891">
        <w:rPr>
          <w:rFonts w:cs="Arial"/>
        </w:rPr>
        <w:t xml:space="preserve"> of this Procedures document, respectively.</w:t>
      </w:r>
    </w:p>
    <w:p w14:paraId="78E15C5C" w14:textId="4EF84FA6" w:rsidR="00B736F9" w:rsidRPr="003A7891" w:rsidRDefault="00B736F9" w:rsidP="00A43CE1">
      <w:pPr>
        <w:pStyle w:val="Heading2"/>
        <w:rPr>
          <w:rFonts w:cs="Arial"/>
        </w:rPr>
      </w:pPr>
      <w:bookmarkStart w:id="97" w:name="_2.1_Summary_and_Recommendations"/>
      <w:bookmarkStart w:id="98" w:name="_Toc79571578"/>
      <w:bookmarkStart w:id="99" w:name="_Toc91393535"/>
      <w:bookmarkStart w:id="100" w:name="_Toc112727401"/>
      <w:bookmarkStart w:id="101" w:name="_Toc41905663"/>
      <w:bookmarkEnd w:id="97"/>
      <w:r w:rsidRPr="003A7891">
        <w:rPr>
          <w:rFonts w:cs="Arial"/>
        </w:rPr>
        <w:t xml:space="preserve">Summary </w:t>
      </w:r>
      <w:r w:rsidR="00AD7491" w:rsidRPr="003A7891">
        <w:rPr>
          <w:rFonts w:cs="Arial"/>
        </w:rPr>
        <w:t>of</w:t>
      </w:r>
      <w:r w:rsidRPr="003A7891">
        <w:rPr>
          <w:rFonts w:cs="Arial"/>
        </w:rPr>
        <w:t xml:space="preserve"> Recommendations</w:t>
      </w:r>
      <w:bookmarkEnd w:id="98"/>
      <w:bookmarkEnd w:id="99"/>
      <w:bookmarkEnd w:id="100"/>
      <w:r w:rsidR="00AD7491" w:rsidRPr="003A7891">
        <w:rPr>
          <w:rFonts w:cs="Arial"/>
        </w:rPr>
        <w:t xml:space="preserve"> and Findings</w:t>
      </w:r>
      <w:bookmarkEnd w:id="101"/>
    </w:p>
    <w:p w14:paraId="78A1407C" w14:textId="655137DA" w:rsidR="00B736F9" w:rsidRPr="008D65C3" w:rsidRDefault="00B736F9" w:rsidP="00840964">
      <w:pPr>
        <w:rPr>
          <w:rFonts w:cs="Arial"/>
        </w:rPr>
      </w:pPr>
      <w:r w:rsidRPr="003A7891">
        <w:rPr>
          <w:rFonts w:cs="Arial"/>
        </w:rPr>
        <w:t>As set out in the Regulation, Section 1 of the RA</w:t>
      </w:r>
      <w:r w:rsidR="003F3C3D" w:rsidRPr="003A7891">
        <w:rPr>
          <w:rFonts w:cs="Arial"/>
        </w:rPr>
        <w:t xml:space="preserve"> report</w:t>
      </w:r>
      <w:r w:rsidRPr="003A7891">
        <w:rPr>
          <w:rFonts w:cs="Arial"/>
        </w:rPr>
        <w:t xml:space="preserve"> must provide a summary including the findings of the HHRA and ERA. </w:t>
      </w:r>
      <w:r w:rsidR="00634773" w:rsidRPr="003A7891">
        <w:rPr>
          <w:rFonts w:cs="Arial"/>
        </w:rPr>
        <w:t xml:space="preserve">This section will form the basis of information to be </w:t>
      </w:r>
      <w:r w:rsidR="005149E5" w:rsidRPr="003A7891">
        <w:rPr>
          <w:rFonts w:cs="Arial"/>
        </w:rPr>
        <w:t>available</w:t>
      </w:r>
      <w:r w:rsidR="00634773" w:rsidRPr="003A7891">
        <w:rPr>
          <w:rFonts w:cs="Arial"/>
        </w:rPr>
        <w:t xml:space="preserve"> in the Environmental Site Registry in support of filing a</w:t>
      </w:r>
      <w:r w:rsidR="00957636" w:rsidRPr="003A7891">
        <w:rPr>
          <w:rFonts w:cs="Arial"/>
        </w:rPr>
        <w:t>n</w:t>
      </w:r>
      <w:r w:rsidR="00634773" w:rsidRPr="003A7891">
        <w:rPr>
          <w:rFonts w:cs="Arial"/>
        </w:rPr>
        <w:t xml:space="preserve"> </w:t>
      </w:r>
      <w:smartTag w:uri="urn:schemas-microsoft-com:office:smarttags" w:element="stockticker">
        <w:r w:rsidR="000A2F89" w:rsidRPr="003A7891">
          <w:rPr>
            <w:rFonts w:cs="Arial"/>
          </w:rPr>
          <w:t>RSC</w:t>
        </w:r>
      </w:smartTag>
      <w:r w:rsidR="00634773" w:rsidRPr="003A7891">
        <w:rPr>
          <w:rFonts w:cs="Arial"/>
        </w:rPr>
        <w:t xml:space="preserve">. The information will also assist processing of the risk assessment review. </w:t>
      </w:r>
      <w:r w:rsidRPr="003A7891">
        <w:rPr>
          <w:rFonts w:cs="Arial"/>
        </w:rPr>
        <w:t xml:space="preserve">Any deviations from information which was provided previously to the </w:t>
      </w:r>
      <w:r w:rsidR="00657FDB" w:rsidRPr="003A7891">
        <w:rPr>
          <w:rFonts w:cs="Arial"/>
        </w:rPr>
        <w:t>M</w:t>
      </w:r>
      <w:r w:rsidR="002A6EE0" w:rsidRPr="003A7891">
        <w:rPr>
          <w:rFonts w:cs="Arial"/>
        </w:rPr>
        <w:t>inistry</w:t>
      </w:r>
      <w:r w:rsidRPr="003A7891">
        <w:rPr>
          <w:rFonts w:cs="Arial"/>
        </w:rPr>
        <w:t xml:space="preserve"> in the PSF must be </w:t>
      </w:r>
      <w:r w:rsidR="002B7733" w:rsidRPr="003A7891">
        <w:rPr>
          <w:rFonts w:cs="Arial"/>
        </w:rPr>
        <w:t>identified</w:t>
      </w:r>
      <w:r w:rsidR="00B8028F" w:rsidRPr="003A7891">
        <w:rPr>
          <w:rFonts w:cs="Arial"/>
        </w:rPr>
        <w:t xml:space="preserve"> (including changes in ownership and changes in the RA property boundaries)</w:t>
      </w:r>
      <w:r w:rsidRPr="003A7891">
        <w:rPr>
          <w:rFonts w:cs="Arial"/>
        </w:rPr>
        <w:t>. Property</w:t>
      </w:r>
      <w:r w:rsidR="0086620D" w:rsidRPr="003A7891">
        <w:rPr>
          <w:rFonts w:cs="Arial"/>
        </w:rPr>
        <w:t xml:space="preserve"> </w:t>
      </w:r>
      <w:r w:rsidRPr="003A7891">
        <w:rPr>
          <w:rFonts w:cs="Arial"/>
        </w:rPr>
        <w:t xml:space="preserve">specific standards, </w:t>
      </w:r>
      <w:r w:rsidR="003F3C3D" w:rsidRPr="003A7891">
        <w:rPr>
          <w:rFonts w:cs="Arial"/>
        </w:rPr>
        <w:t>risk assessment</w:t>
      </w:r>
      <w:r w:rsidRPr="003A7891">
        <w:rPr>
          <w:rFonts w:cs="Arial"/>
        </w:rPr>
        <w:t xml:space="preserve"> assumptions, and risk management requirements</w:t>
      </w:r>
      <w:r w:rsidRPr="008D65C3">
        <w:rPr>
          <w:rFonts w:cs="Arial"/>
        </w:rPr>
        <w:t xml:space="preserve"> are also stated in this section. The minimum requirements for the Summary and Recommendations Section are provided in Table 1 Report Section 1 “Summary and Recommendations” </w:t>
      </w:r>
      <w:r w:rsidR="00A37871" w:rsidRPr="008D65C3">
        <w:rPr>
          <w:rFonts w:cs="Arial"/>
        </w:rPr>
        <w:t xml:space="preserve">in </w:t>
      </w:r>
      <w:r w:rsidRPr="008D65C3">
        <w:rPr>
          <w:rFonts w:cs="Arial"/>
        </w:rPr>
        <w:t>Schedule C, and are reproduced below.</w:t>
      </w:r>
      <w:bookmarkStart w:id="102" w:name="_Toc74119387"/>
      <w:bookmarkStart w:id="103" w:name="_Toc74450882"/>
      <w:bookmarkStart w:id="104" w:name="_Toc78162196"/>
    </w:p>
    <w:tbl>
      <w:tblPr>
        <w:tblStyle w:val="TableGrid"/>
        <w:tblW w:w="10080" w:type="dxa"/>
        <w:tblLayout w:type="fixed"/>
        <w:tblLook w:val="0020" w:firstRow="1" w:lastRow="0" w:firstColumn="0" w:lastColumn="0" w:noHBand="0" w:noVBand="0"/>
      </w:tblPr>
      <w:tblGrid>
        <w:gridCol w:w="2468"/>
        <w:gridCol w:w="2014"/>
        <w:gridCol w:w="1839"/>
        <w:gridCol w:w="3759"/>
      </w:tblGrid>
      <w:tr w:rsidR="005149E5" w:rsidRPr="000C0EF2" w14:paraId="05F44FC5" w14:textId="77777777" w:rsidTr="005B40DA">
        <w:trPr>
          <w:trHeight w:val="20"/>
          <w:tblHeader/>
        </w:trPr>
        <w:tc>
          <w:tcPr>
            <w:tcW w:w="2468" w:type="dxa"/>
          </w:tcPr>
          <w:p w14:paraId="5D33DA0B" w14:textId="77777777" w:rsidR="005149E5" w:rsidRPr="000C0EF2" w:rsidRDefault="005149E5"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2940C1B9" w14:textId="77777777" w:rsidR="005149E5" w:rsidRPr="000C0EF2" w:rsidRDefault="005149E5"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345494FF" w14:textId="77777777" w:rsidR="005149E5" w:rsidRPr="000C0EF2" w:rsidRDefault="005149E5"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2BE4DCB8" w14:textId="77777777" w:rsidR="005149E5" w:rsidRPr="000C0EF2" w:rsidRDefault="005149E5" w:rsidP="000C0EF2">
            <w:pPr>
              <w:pStyle w:val="table-e"/>
              <w:spacing w:line="240" w:lineRule="auto"/>
              <w:rPr>
                <w:b/>
                <w:sz w:val="24"/>
              </w:rPr>
            </w:pPr>
            <w:r w:rsidRPr="000C0EF2">
              <w:rPr>
                <w:b/>
                <w:sz w:val="24"/>
              </w:rPr>
              <w:t>Column 4</w:t>
            </w:r>
            <w:r w:rsidRPr="000C0EF2">
              <w:rPr>
                <w:b/>
                <w:sz w:val="24"/>
              </w:rPr>
              <w:br/>
              <w:t>Minimum Requirements</w:t>
            </w:r>
          </w:p>
        </w:tc>
      </w:tr>
      <w:tr w:rsidR="005149E5" w:rsidRPr="000C0EF2" w14:paraId="19038EF5" w14:textId="77777777" w:rsidTr="005B40DA">
        <w:trPr>
          <w:trHeight w:val="20"/>
        </w:trPr>
        <w:tc>
          <w:tcPr>
            <w:tcW w:w="2468" w:type="dxa"/>
          </w:tcPr>
          <w:p w14:paraId="08A4F2A4" w14:textId="77777777" w:rsidR="005149E5" w:rsidRPr="000C0EF2" w:rsidRDefault="005149E5" w:rsidP="000C0EF2">
            <w:pPr>
              <w:pStyle w:val="table-e"/>
              <w:spacing w:line="240" w:lineRule="auto"/>
              <w:rPr>
                <w:sz w:val="24"/>
              </w:rPr>
            </w:pPr>
            <w:r w:rsidRPr="000C0EF2">
              <w:rPr>
                <w:sz w:val="24"/>
              </w:rPr>
              <w:t>1.  Summary of Recommendations and Findings</w:t>
            </w:r>
          </w:p>
        </w:tc>
        <w:tc>
          <w:tcPr>
            <w:tcW w:w="2014" w:type="dxa"/>
          </w:tcPr>
          <w:p w14:paraId="3AFD284A" w14:textId="77777777" w:rsidR="005149E5" w:rsidRPr="000C0EF2" w:rsidRDefault="005149E5" w:rsidP="000C0EF2">
            <w:pPr>
              <w:pStyle w:val="table-e"/>
              <w:spacing w:line="240" w:lineRule="auto"/>
              <w:rPr>
                <w:sz w:val="24"/>
              </w:rPr>
            </w:pPr>
            <w:r w:rsidRPr="000C0EF2">
              <w:rPr>
                <w:sz w:val="24"/>
              </w:rPr>
              <w:t>(a)  Risk Assessment Objectives and Approach</w:t>
            </w:r>
          </w:p>
        </w:tc>
        <w:tc>
          <w:tcPr>
            <w:tcW w:w="1839" w:type="dxa"/>
          </w:tcPr>
          <w:p w14:paraId="1CFF66E4" w14:textId="77777777" w:rsidR="005149E5" w:rsidRPr="000C0EF2" w:rsidRDefault="005149E5" w:rsidP="000C0EF2">
            <w:pPr>
              <w:pStyle w:val="table-e"/>
              <w:spacing w:line="240" w:lineRule="auto"/>
              <w:rPr>
                <w:sz w:val="24"/>
              </w:rPr>
            </w:pPr>
            <w:r w:rsidRPr="000C0EF2">
              <w:rPr>
                <w:sz w:val="24"/>
              </w:rPr>
              <w:t>not applicable</w:t>
            </w:r>
          </w:p>
        </w:tc>
        <w:tc>
          <w:tcPr>
            <w:tcW w:w="3759" w:type="dxa"/>
          </w:tcPr>
          <w:p w14:paraId="0D1B01A9" w14:textId="77777777" w:rsidR="005149E5" w:rsidRPr="000C0EF2" w:rsidRDefault="005149E5" w:rsidP="000C0EF2">
            <w:pPr>
              <w:pStyle w:val="table-e"/>
              <w:spacing w:line="240" w:lineRule="auto"/>
              <w:rPr>
                <w:sz w:val="24"/>
              </w:rPr>
            </w:pPr>
            <w:r w:rsidRPr="000C0EF2">
              <w:rPr>
                <w:sz w:val="24"/>
              </w:rPr>
              <w:t>1.  Summarize the risk assessment objectives, including those specified in Report Section 4 (Human Health Risk Assessment (HHRA)) and Report Section 5 (Ecological Risk Assessment (ERA)).</w:t>
            </w:r>
          </w:p>
          <w:p w14:paraId="601B7926" w14:textId="77777777" w:rsidR="005149E5" w:rsidRPr="000C0EF2" w:rsidRDefault="005149E5" w:rsidP="000C0EF2">
            <w:pPr>
              <w:pStyle w:val="table-e"/>
              <w:spacing w:line="240" w:lineRule="auto"/>
              <w:rPr>
                <w:sz w:val="24"/>
              </w:rPr>
            </w:pPr>
            <w:r w:rsidRPr="000C0EF2">
              <w:rPr>
                <w:sz w:val="24"/>
              </w:rPr>
              <w:t>2.  Summarize the type or types of risk assessment approaches taken to meet the objectives.</w:t>
            </w:r>
          </w:p>
        </w:tc>
      </w:tr>
      <w:tr w:rsidR="005149E5" w:rsidRPr="000C0EF2" w14:paraId="7F765793" w14:textId="77777777" w:rsidTr="005B40DA">
        <w:trPr>
          <w:trHeight w:val="20"/>
        </w:trPr>
        <w:tc>
          <w:tcPr>
            <w:tcW w:w="2468" w:type="dxa"/>
          </w:tcPr>
          <w:p w14:paraId="389012EA" w14:textId="77777777" w:rsidR="005149E5" w:rsidRPr="000C0EF2" w:rsidRDefault="005149E5" w:rsidP="000C0EF2">
            <w:pPr>
              <w:pStyle w:val="table-e"/>
              <w:spacing w:line="240" w:lineRule="auto"/>
              <w:rPr>
                <w:sz w:val="24"/>
              </w:rPr>
            </w:pPr>
            <w:r w:rsidRPr="000C0EF2">
              <w:rPr>
                <w:sz w:val="24"/>
              </w:rPr>
              <w:t>1.  Summary of Recommendations and Findings</w:t>
            </w:r>
          </w:p>
        </w:tc>
        <w:tc>
          <w:tcPr>
            <w:tcW w:w="2014" w:type="dxa"/>
          </w:tcPr>
          <w:p w14:paraId="0A32608B" w14:textId="77777777" w:rsidR="005149E5" w:rsidRPr="000C0EF2" w:rsidRDefault="005149E5" w:rsidP="000C0EF2">
            <w:pPr>
              <w:pStyle w:val="table-e"/>
              <w:spacing w:line="240" w:lineRule="auto"/>
              <w:rPr>
                <w:sz w:val="24"/>
              </w:rPr>
            </w:pPr>
            <w:r w:rsidRPr="000C0EF2">
              <w:rPr>
                <w:sz w:val="24"/>
              </w:rPr>
              <w:t>(b)  Deviations from Pre-submission Form</w:t>
            </w:r>
          </w:p>
        </w:tc>
        <w:tc>
          <w:tcPr>
            <w:tcW w:w="1839" w:type="dxa"/>
          </w:tcPr>
          <w:p w14:paraId="49AE7D8D" w14:textId="77777777" w:rsidR="005149E5" w:rsidRPr="000C0EF2" w:rsidRDefault="005149E5" w:rsidP="000C0EF2">
            <w:pPr>
              <w:pStyle w:val="table-e"/>
              <w:spacing w:line="240" w:lineRule="auto"/>
              <w:rPr>
                <w:sz w:val="24"/>
              </w:rPr>
            </w:pPr>
            <w:r w:rsidRPr="000C0EF2">
              <w:rPr>
                <w:sz w:val="24"/>
              </w:rPr>
              <w:t>not applicable</w:t>
            </w:r>
          </w:p>
        </w:tc>
        <w:tc>
          <w:tcPr>
            <w:tcW w:w="3759" w:type="dxa"/>
          </w:tcPr>
          <w:p w14:paraId="461367E2" w14:textId="77777777" w:rsidR="005149E5" w:rsidRPr="000C0EF2" w:rsidRDefault="005149E5" w:rsidP="000C0EF2">
            <w:pPr>
              <w:pStyle w:val="table-e"/>
              <w:spacing w:line="240" w:lineRule="auto"/>
              <w:rPr>
                <w:sz w:val="24"/>
              </w:rPr>
            </w:pPr>
            <w:r w:rsidRPr="000C0EF2">
              <w:rPr>
                <w:sz w:val="24"/>
              </w:rPr>
              <w:t>Describe in detail any deviations from the information provided in the pre-submission form including,</w:t>
            </w:r>
          </w:p>
          <w:p w14:paraId="718524E3" w14:textId="77777777" w:rsidR="005149E5" w:rsidRPr="000C0EF2" w:rsidRDefault="005149E5" w:rsidP="000C0EF2">
            <w:pPr>
              <w:pStyle w:val="table-e"/>
              <w:spacing w:line="240" w:lineRule="auto"/>
              <w:rPr>
                <w:sz w:val="24"/>
              </w:rPr>
            </w:pPr>
            <w:r w:rsidRPr="000C0EF2">
              <w:rPr>
                <w:sz w:val="24"/>
              </w:rPr>
              <w:t>(a)  any changes to the conceptual site model that was submitted as part of the form;</w:t>
            </w:r>
          </w:p>
          <w:p w14:paraId="1BE505DD" w14:textId="77777777" w:rsidR="005149E5" w:rsidRPr="000C0EF2" w:rsidRDefault="005149E5" w:rsidP="000C0EF2">
            <w:pPr>
              <w:pStyle w:val="table-e"/>
              <w:spacing w:line="240" w:lineRule="auto"/>
              <w:rPr>
                <w:sz w:val="24"/>
              </w:rPr>
            </w:pPr>
            <w:r w:rsidRPr="000C0EF2">
              <w:rPr>
                <w:sz w:val="24"/>
              </w:rPr>
              <w:t xml:space="preserve">(b)  whether there has been a change in the type of risk </w:t>
            </w:r>
            <w:r w:rsidRPr="000C0EF2">
              <w:rPr>
                <w:sz w:val="24"/>
              </w:rPr>
              <w:lastRenderedPageBreak/>
              <w:t>assessment approach identified in the form; and</w:t>
            </w:r>
          </w:p>
          <w:p w14:paraId="3C1EAA41" w14:textId="77777777" w:rsidR="005149E5" w:rsidRPr="000C0EF2" w:rsidRDefault="005149E5" w:rsidP="000C0EF2">
            <w:pPr>
              <w:pStyle w:val="table-e"/>
              <w:spacing w:line="240" w:lineRule="auto"/>
              <w:rPr>
                <w:sz w:val="24"/>
              </w:rPr>
            </w:pPr>
            <w:r w:rsidRPr="000C0EF2">
              <w:rPr>
                <w:sz w:val="24"/>
              </w:rPr>
              <w:t>(c)  whether another computer model was used other than the model specified in the form.</w:t>
            </w:r>
          </w:p>
        </w:tc>
      </w:tr>
      <w:tr w:rsidR="005149E5" w:rsidRPr="000C0EF2" w14:paraId="680C26D3" w14:textId="77777777" w:rsidTr="005B40DA">
        <w:trPr>
          <w:trHeight w:val="20"/>
        </w:trPr>
        <w:tc>
          <w:tcPr>
            <w:tcW w:w="2468" w:type="dxa"/>
          </w:tcPr>
          <w:p w14:paraId="7A0AAC0B" w14:textId="77777777" w:rsidR="005149E5" w:rsidRPr="000C0EF2" w:rsidRDefault="005149E5" w:rsidP="000C0EF2">
            <w:pPr>
              <w:pStyle w:val="table-e"/>
              <w:spacing w:line="240" w:lineRule="auto"/>
              <w:rPr>
                <w:sz w:val="24"/>
              </w:rPr>
            </w:pPr>
            <w:r w:rsidRPr="000C0EF2">
              <w:rPr>
                <w:sz w:val="24"/>
              </w:rPr>
              <w:lastRenderedPageBreak/>
              <w:t>1.  Summary of Recommendations and Findings</w:t>
            </w:r>
          </w:p>
        </w:tc>
        <w:tc>
          <w:tcPr>
            <w:tcW w:w="2014" w:type="dxa"/>
          </w:tcPr>
          <w:p w14:paraId="067715C4" w14:textId="77777777" w:rsidR="005149E5" w:rsidRPr="000C0EF2" w:rsidRDefault="005149E5" w:rsidP="000C0EF2">
            <w:pPr>
              <w:pStyle w:val="table-e"/>
              <w:spacing w:line="240" w:lineRule="auto"/>
              <w:rPr>
                <w:sz w:val="24"/>
              </w:rPr>
            </w:pPr>
            <w:r w:rsidRPr="000C0EF2">
              <w:rPr>
                <w:sz w:val="24"/>
              </w:rPr>
              <w:t>(c)  Risk Assessment Standards</w:t>
            </w:r>
          </w:p>
        </w:tc>
        <w:tc>
          <w:tcPr>
            <w:tcW w:w="1839" w:type="dxa"/>
          </w:tcPr>
          <w:p w14:paraId="218AA5BF" w14:textId="77777777" w:rsidR="005149E5" w:rsidRPr="000C0EF2" w:rsidRDefault="005149E5" w:rsidP="000C0EF2">
            <w:pPr>
              <w:pStyle w:val="table-e"/>
              <w:spacing w:line="240" w:lineRule="auto"/>
              <w:rPr>
                <w:sz w:val="24"/>
              </w:rPr>
            </w:pPr>
            <w:r w:rsidRPr="000C0EF2">
              <w:rPr>
                <w:sz w:val="24"/>
              </w:rPr>
              <w:t>not applicable</w:t>
            </w:r>
          </w:p>
        </w:tc>
        <w:tc>
          <w:tcPr>
            <w:tcW w:w="3759" w:type="dxa"/>
          </w:tcPr>
          <w:p w14:paraId="5F0543F0" w14:textId="77777777" w:rsidR="005149E5" w:rsidRPr="000C0EF2" w:rsidRDefault="005149E5" w:rsidP="000C0EF2">
            <w:pPr>
              <w:pStyle w:val="table-e"/>
              <w:spacing w:line="240" w:lineRule="auto"/>
              <w:rPr>
                <w:sz w:val="24"/>
              </w:rPr>
            </w:pPr>
            <w:r w:rsidRPr="000C0EF2">
              <w:rPr>
                <w:sz w:val="24"/>
              </w:rPr>
              <w:t>State the proposed standard specified in the risk assessment for each contaminant of concern.</w:t>
            </w:r>
          </w:p>
        </w:tc>
      </w:tr>
      <w:tr w:rsidR="005149E5" w:rsidRPr="000C0EF2" w14:paraId="135FF90F" w14:textId="77777777" w:rsidTr="005B40DA">
        <w:trPr>
          <w:trHeight w:val="20"/>
        </w:trPr>
        <w:tc>
          <w:tcPr>
            <w:tcW w:w="2468" w:type="dxa"/>
          </w:tcPr>
          <w:p w14:paraId="353A6849" w14:textId="77777777" w:rsidR="005149E5" w:rsidRPr="000C0EF2" w:rsidRDefault="005149E5" w:rsidP="000C0EF2">
            <w:pPr>
              <w:pStyle w:val="table-e"/>
              <w:spacing w:line="240" w:lineRule="auto"/>
              <w:rPr>
                <w:sz w:val="24"/>
              </w:rPr>
            </w:pPr>
            <w:r w:rsidRPr="000C0EF2">
              <w:rPr>
                <w:sz w:val="24"/>
              </w:rPr>
              <w:t>1.  Summary of Recommendations and Findings</w:t>
            </w:r>
          </w:p>
        </w:tc>
        <w:tc>
          <w:tcPr>
            <w:tcW w:w="2014" w:type="dxa"/>
          </w:tcPr>
          <w:p w14:paraId="1CBF871F" w14:textId="77777777" w:rsidR="005149E5" w:rsidRPr="000C0EF2" w:rsidRDefault="005149E5" w:rsidP="000C0EF2">
            <w:pPr>
              <w:pStyle w:val="table-e"/>
              <w:spacing w:line="240" w:lineRule="auto"/>
              <w:rPr>
                <w:sz w:val="24"/>
              </w:rPr>
            </w:pPr>
            <w:r w:rsidRPr="000C0EF2">
              <w:rPr>
                <w:sz w:val="24"/>
              </w:rPr>
              <w:t>(d)  Risk Assessment Assumptions</w:t>
            </w:r>
          </w:p>
        </w:tc>
        <w:tc>
          <w:tcPr>
            <w:tcW w:w="1839" w:type="dxa"/>
          </w:tcPr>
          <w:p w14:paraId="7AAF787D" w14:textId="77777777" w:rsidR="005149E5" w:rsidRPr="000C0EF2" w:rsidRDefault="005149E5" w:rsidP="000C0EF2">
            <w:pPr>
              <w:pStyle w:val="table-e"/>
              <w:spacing w:line="240" w:lineRule="auto"/>
              <w:rPr>
                <w:sz w:val="24"/>
              </w:rPr>
            </w:pPr>
            <w:r w:rsidRPr="000C0EF2">
              <w:rPr>
                <w:sz w:val="24"/>
              </w:rPr>
              <w:t>not applicable</w:t>
            </w:r>
          </w:p>
        </w:tc>
        <w:tc>
          <w:tcPr>
            <w:tcW w:w="3759" w:type="dxa"/>
          </w:tcPr>
          <w:p w14:paraId="38AE5782" w14:textId="77777777" w:rsidR="005149E5" w:rsidRPr="000C0EF2" w:rsidRDefault="005149E5" w:rsidP="000C0EF2">
            <w:pPr>
              <w:pStyle w:val="table-e"/>
              <w:spacing w:line="240" w:lineRule="auto"/>
              <w:rPr>
                <w:sz w:val="24"/>
              </w:rPr>
            </w:pPr>
            <w:r w:rsidRPr="000C0EF2">
              <w:rPr>
                <w:sz w:val="24"/>
              </w:rPr>
              <w:t>State the assumptions used in determining each standard specified in the risk assessment, including property use assumptions.</w:t>
            </w:r>
          </w:p>
        </w:tc>
      </w:tr>
      <w:tr w:rsidR="005149E5" w:rsidRPr="000C0EF2" w14:paraId="2DF72485" w14:textId="77777777" w:rsidTr="005B40DA">
        <w:trPr>
          <w:trHeight w:val="20"/>
        </w:trPr>
        <w:tc>
          <w:tcPr>
            <w:tcW w:w="2468" w:type="dxa"/>
          </w:tcPr>
          <w:p w14:paraId="63E27E54" w14:textId="77777777" w:rsidR="005149E5" w:rsidRPr="000C0EF2" w:rsidRDefault="005149E5" w:rsidP="000C0EF2">
            <w:pPr>
              <w:pStyle w:val="table-e"/>
              <w:spacing w:line="240" w:lineRule="auto"/>
              <w:rPr>
                <w:sz w:val="24"/>
              </w:rPr>
            </w:pPr>
            <w:r w:rsidRPr="000C0EF2">
              <w:rPr>
                <w:sz w:val="24"/>
              </w:rPr>
              <w:t>1.  Summary of Recommendations and Findings</w:t>
            </w:r>
          </w:p>
        </w:tc>
        <w:tc>
          <w:tcPr>
            <w:tcW w:w="2014" w:type="dxa"/>
          </w:tcPr>
          <w:p w14:paraId="03153A1B" w14:textId="77777777" w:rsidR="005149E5" w:rsidRPr="000C0EF2" w:rsidRDefault="005149E5" w:rsidP="000C0EF2">
            <w:pPr>
              <w:pStyle w:val="table-e"/>
              <w:spacing w:line="240" w:lineRule="auto"/>
              <w:rPr>
                <w:sz w:val="24"/>
              </w:rPr>
            </w:pPr>
            <w:r w:rsidRPr="000C0EF2">
              <w:rPr>
                <w:sz w:val="24"/>
              </w:rPr>
              <w:t>(e)  Risk Management Requirements</w:t>
            </w:r>
          </w:p>
        </w:tc>
        <w:tc>
          <w:tcPr>
            <w:tcW w:w="1839" w:type="dxa"/>
          </w:tcPr>
          <w:p w14:paraId="6062CC43" w14:textId="77777777" w:rsidR="005149E5" w:rsidRPr="000C0EF2" w:rsidRDefault="005149E5" w:rsidP="000C0EF2">
            <w:pPr>
              <w:pStyle w:val="table-e"/>
              <w:spacing w:line="240" w:lineRule="auto"/>
              <w:rPr>
                <w:sz w:val="24"/>
              </w:rPr>
            </w:pPr>
            <w:r w:rsidRPr="000C0EF2">
              <w:rPr>
                <w:sz w:val="24"/>
              </w:rPr>
              <w:t>not applicable</w:t>
            </w:r>
          </w:p>
        </w:tc>
        <w:tc>
          <w:tcPr>
            <w:tcW w:w="3759" w:type="dxa"/>
          </w:tcPr>
          <w:p w14:paraId="494317DC" w14:textId="77777777" w:rsidR="005149E5" w:rsidRPr="000C0EF2" w:rsidRDefault="005149E5" w:rsidP="000C0EF2">
            <w:pPr>
              <w:pStyle w:val="table-e"/>
              <w:spacing w:line="240" w:lineRule="auto"/>
              <w:rPr>
                <w:sz w:val="24"/>
              </w:rPr>
            </w:pPr>
            <w:r w:rsidRPr="000C0EF2">
              <w:rPr>
                <w:sz w:val="24"/>
              </w:rPr>
              <w:t>State the risk management measures and on-going monitoring, maintenance and contingency plan requirements, if applicable.</w:t>
            </w:r>
          </w:p>
        </w:tc>
      </w:tr>
    </w:tbl>
    <w:p w14:paraId="7D40D4BC" w14:textId="77D88C3F" w:rsidR="00B736F9" w:rsidRPr="003A7891" w:rsidRDefault="00B736F9" w:rsidP="00840964">
      <w:pPr>
        <w:rPr>
          <w:rFonts w:cs="Arial"/>
        </w:rPr>
      </w:pPr>
      <w:bookmarkStart w:id="105" w:name="_Toc79571579"/>
      <w:r w:rsidRPr="008D65C3">
        <w:rPr>
          <w:rFonts w:cs="Arial"/>
        </w:rPr>
        <w:t xml:space="preserve">The </w:t>
      </w:r>
      <w:r w:rsidRPr="003A7891">
        <w:rPr>
          <w:rFonts w:cs="Arial"/>
        </w:rPr>
        <w:t>standards specified in the risk assessment (</w:t>
      </w:r>
      <w:r w:rsidR="005149E5" w:rsidRPr="003A7891">
        <w:rPr>
          <w:rFonts w:cs="Arial"/>
        </w:rPr>
        <w:t xml:space="preserve">i.e. </w:t>
      </w:r>
      <w:r w:rsidR="00C739D6" w:rsidRPr="003A7891">
        <w:rPr>
          <w:rFonts w:cs="Arial"/>
        </w:rPr>
        <w:t>property specific standards</w:t>
      </w:r>
      <w:r w:rsidRPr="003A7891">
        <w:rPr>
          <w:rFonts w:cs="Arial"/>
        </w:rPr>
        <w:t xml:space="preserve">), risk assessment assumptions and risk management measures </w:t>
      </w:r>
      <w:r w:rsidR="00051780" w:rsidRPr="003A7891">
        <w:rPr>
          <w:rFonts w:cs="Arial"/>
        </w:rPr>
        <w:t xml:space="preserve">should </w:t>
      </w:r>
      <w:r w:rsidRPr="003A7891">
        <w:rPr>
          <w:rFonts w:cs="Arial"/>
        </w:rPr>
        <w:t>be listed in table form. Risk assessment assumptions should highlight key assumptions which place limits on the outcome of the risk assessment, i.e. the assumptions made in the risk assessment which are critical to the acceptability of these standards (</w:t>
      </w:r>
      <w:r w:rsidR="005149E5" w:rsidRPr="003A7891">
        <w:rPr>
          <w:rFonts w:cs="Arial"/>
        </w:rPr>
        <w:t>e.g.</w:t>
      </w:r>
      <w:r w:rsidRPr="003A7891">
        <w:rPr>
          <w:rFonts w:cs="Arial"/>
        </w:rPr>
        <w:t xml:space="preserve"> sensitive model parameters, risk management measures, property use assumptions).</w:t>
      </w:r>
    </w:p>
    <w:p w14:paraId="3B2E2902" w14:textId="498935DC" w:rsidR="00FF160F" w:rsidRPr="003A7891" w:rsidRDefault="00B736F9" w:rsidP="00840964">
      <w:pPr>
        <w:rPr>
          <w:rFonts w:cs="Arial"/>
        </w:rPr>
      </w:pPr>
      <w:r w:rsidRPr="003A7891">
        <w:rPr>
          <w:rFonts w:cs="Arial"/>
        </w:rPr>
        <w:t>Report Section 2 requires information on the Risk Assessment Team. For guidance on how to complete this section</w:t>
      </w:r>
      <w:r w:rsidR="001A230A" w:rsidRPr="003A7891">
        <w:rPr>
          <w:rFonts w:cs="Arial"/>
        </w:rPr>
        <w:t xml:space="preserve">, </w:t>
      </w:r>
      <w:r w:rsidRPr="003A7891">
        <w:rPr>
          <w:rFonts w:cs="Arial"/>
        </w:rPr>
        <w:t>refer to Section 1.</w:t>
      </w:r>
      <w:r w:rsidR="00E01FBC" w:rsidRPr="003A7891">
        <w:rPr>
          <w:rFonts w:cs="Arial"/>
        </w:rPr>
        <w:t>4</w:t>
      </w:r>
      <w:r w:rsidR="007E3021" w:rsidRPr="003A7891">
        <w:rPr>
          <w:rFonts w:cs="Arial"/>
        </w:rPr>
        <w:t xml:space="preserve">.3 </w:t>
      </w:r>
      <w:r w:rsidRPr="003A7891">
        <w:rPr>
          <w:rFonts w:cs="Arial"/>
        </w:rPr>
        <w:t xml:space="preserve">of this </w:t>
      </w:r>
      <w:r w:rsidR="00A37871" w:rsidRPr="003A7891">
        <w:rPr>
          <w:rFonts w:cs="Arial"/>
        </w:rPr>
        <w:t xml:space="preserve">Procedures </w:t>
      </w:r>
      <w:r w:rsidRPr="003A7891">
        <w:rPr>
          <w:rFonts w:cs="Arial"/>
        </w:rPr>
        <w:t>document.</w:t>
      </w:r>
      <w:r w:rsidR="00503BB7" w:rsidRPr="003A7891">
        <w:rPr>
          <w:rFonts w:cs="Arial"/>
        </w:rPr>
        <w:t xml:space="preserve"> </w:t>
      </w:r>
      <w:r w:rsidR="009150F6" w:rsidRPr="003A7891">
        <w:rPr>
          <w:rFonts w:cs="Arial"/>
        </w:rPr>
        <w:t xml:space="preserve">Guidance on how to complete Report Sections 3 through 5 </w:t>
      </w:r>
      <w:r w:rsidR="00B42216" w:rsidRPr="003A7891">
        <w:rPr>
          <w:rFonts w:cs="Arial"/>
        </w:rPr>
        <w:t>is</w:t>
      </w:r>
      <w:r w:rsidR="009150F6" w:rsidRPr="003A7891">
        <w:rPr>
          <w:rFonts w:cs="Arial"/>
        </w:rPr>
        <w:t xml:space="preserve"> provided in Sections </w:t>
      </w:r>
      <w:r w:rsidR="001A230A" w:rsidRPr="003A7891">
        <w:rPr>
          <w:rFonts w:cs="Arial"/>
        </w:rPr>
        <w:t>4</w:t>
      </w:r>
      <w:r w:rsidR="009150F6" w:rsidRPr="003A7891">
        <w:rPr>
          <w:rFonts w:cs="Arial"/>
        </w:rPr>
        <w:t xml:space="preserve"> to </w:t>
      </w:r>
      <w:r w:rsidR="001A230A" w:rsidRPr="003A7891">
        <w:rPr>
          <w:rFonts w:cs="Arial"/>
        </w:rPr>
        <w:t>7</w:t>
      </w:r>
      <w:r w:rsidR="009150F6" w:rsidRPr="003A7891">
        <w:rPr>
          <w:rFonts w:cs="Arial"/>
        </w:rPr>
        <w:t xml:space="preserve"> in this </w:t>
      </w:r>
      <w:r w:rsidR="001A230A" w:rsidRPr="003A7891">
        <w:rPr>
          <w:rFonts w:cs="Arial"/>
        </w:rPr>
        <w:t xml:space="preserve">Procedures </w:t>
      </w:r>
      <w:r w:rsidR="009150F6" w:rsidRPr="003A7891">
        <w:rPr>
          <w:rFonts w:cs="Arial"/>
        </w:rPr>
        <w:t>document.</w:t>
      </w:r>
    </w:p>
    <w:p w14:paraId="74E7FD2D" w14:textId="452F60B1" w:rsidR="00B736F9" w:rsidRPr="003A7891" w:rsidRDefault="00B736F9" w:rsidP="00445A80">
      <w:pPr>
        <w:pStyle w:val="Heading2"/>
        <w:rPr>
          <w:rFonts w:cs="Arial"/>
        </w:rPr>
      </w:pPr>
      <w:bookmarkStart w:id="106" w:name="_2.2_Property_Information,_Site_Plan"/>
      <w:bookmarkStart w:id="107" w:name="_Conceptual_Site_Model"/>
      <w:bookmarkStart w:id="108" w:name="_Potential_for_Contaminant_Transport"/>
      <w:bookmarkStart w:id="109" w:name="_2.2.6_Potential_Receptor_Population"/>
      <w:bookmarkStart w:id="110" w:name="_Toc91393541"/>
      <w:bookmarkStart w:id="111" w:name="_Toc112727402"/>
      <w:bookmarkStart w:id="112" w:name="_Toc41905664"/>
      <w:bookmarkEnd w:id="102"/>
      <w:bookmarkEnd w:id="103"/>
      <w:bookmarkEnd w:id="104"/>
      <w:bookmarkEnd w:id="105"/>
      <w:bookmarkEnd w:id="106"/>
      <w:bookmarkEnd w:id="107"/>
      <w:bookmarkEnd w:id="108"/>
      <w:bookmarkEnd w:id="109"/>
      <w:r w:rsidRPr="003A7891">
        <w:rPr>
          <w:rFonts w:cs="Arial"/>
        </w:rPr>
        <w:t>Conclusions and Recommendations</w:t>
      </w:r>
      <w:bookmarkEnd w:id="110"/>
      <w:bookmarkEnd w:id="111"/>
      <w:bookmarkEnd w:id="112"/>
    </w:p>
    <w:p w14:paraId="02E8A42F" w14:textId="17E80016" w:rsidR="00B736F9" w:rsidRPr="008D65C3" w:rsidRDefault="00634773" w:rsidP="00840964">
      <w:pPr>
        <w:rPr>
          <w:rFonts w:cs="Arial"/>
        </w:rPr>
      </w:pPr>
      <w:r w:rsidRPr="003A7891">
        <w:rPr>
          <w:rFonts w:cs="Arial"/>
        </w:rPr>
        <w:t>Conduct of the r</w:t>
      </w:r>
      <w:r w:rsidR="000A2F89" w:rsidRPr="003A7891">
        <w:rPr>
          <w:rFonts w:cs="Arial"/>
        </w:rPr>
        <w:t xml:space="preserve">isk assessment will include </w:t>
      </w:r>
      <w:r w:rsidRPr="003A7891">
        <w:rPr>
          <w:rFonts w:cs="Arial"/>
        </w:rPr>
        <w:t xml:space="preserve">separate </w:t>
      </w:r>
      <w:r w:rsidR="000A2F89" w:rsidRPr="003A7891">
        <w:rPr>
          <w:rFonts w:cs="Arial"/>
        </w:rPr>
        <w:t xml:space="preserve">assessments for </w:t>
      </w:r>
      <w:r w:rsidRPr="003A7891">
        <w:rPr>
          <w:rFonts w:cs="Arial"/>
        </w:rPr>
        <w:t>HHRA and ERA based on a</w:t>
      </w:r>
      <w:r w:rsidR="000A2F89" w:rsidRPr="003A7891">
        <w:rPr>
          <w:rFonts w:cs="Arial"/>
        </w:rPr>
        <w:t xml:space="preserve"> single</w:t>
      </w:r>
      <w:r w:rsidRPr="003A7891">
        <w:rPr>
          <w:rFonts w:cs="Arial"/>
        </w:rPr>
        <w:t xml:space="preserve"> </w:t>
      </w:r>
      <w:r w:rsidR="000A2F89" w:rsidRPr="003A7891">
        <w:rPr>
          <w:rFonts w:cs="Arial"/>
        </w:rPr>
        <w:t xml:space="preserve">geological interpretation </w:t>
      </w:r>
      <w:r w:rsidR="009150F6" w:rsidRPr="003A7891">
        <w:rPr>
          <w:rFonts w:cs="Arial"/>
        </w:rPr>
        <w:t xml:space="preserve">of the site </w:t>
      </w:r>
      <w:r w:rsidR="000A2F89" w:rsidRPr="003A7891">
        <w:rPr>
          <w:rFonts w:cs="Arial"/>
        </w:rPr>
        <w:t xml:space="preserve">and </w:t>
      </w:r>
      <w:r w:rsidR="00A91142" w:rsidRPr="003A7891">
        <w:rPr>
          <w:rFonts w:cs="Arial"/>
        </w:rPr>
        <w:t>conceptual site model</w:t>
      </w:r>
      <w:r w:rsidR="000A2F89" w:rsidRPr="003A7891">
        <w:rPr>
          <w:rFonts w:cs="Arial"/>
        </w:rPr>
        <w:t xml:space="preserve">. </w:t>
      </w:r>
      <w:r w:rsidR="00246C7B" w:rsidRPr="003A7891">
        <w:rPr>
          <w:rFonts w:cs="Arial"/>
        </w:rPr>
        <w:t xml:space="preserve">Guidance for conducting and reporting on those assessments follow in </w:t>
      </w:r>
      <w:r w:rsidR="00B30FFD" w:rsidRPr="003A7891">
        <w:rPr>
          <w:rFonts w:cs="Arial"/>
        </w:rPr>
        <w:t>S</w:t>
      </w:r>
      <w:r w:rsidR="00246C7B" w:rsidRPr="003A7891">
        <w:rPr>
          <w:rFonts w:cs="Arial"/>
        </w:rPr>
        <w:t xml:space="preserve">ections </w:t>
      </w:r>
      <w:r w:rsidR="00227854" w:rsidRPr="003A7891">
        <w:rPr>
          <w:rFonts w:cs="Arial"/>
        </w:rPr>
        <w:t xml:space="preserve">4, </w:t>
      </w:r>
      <w:r w:rsidR="00FC239E" w:rsidRPr="003A7891">
        <w:rPr>
          <w:rFonts w:cs="Arial"/>
        </w:rPr>
        <w:t>5</w:t>
      </w:r>
      <w:r w:rsidR="00246C7B" w:rsidRPr="003A7891">
        <w:rPr>
          <w:rFonts w:cs="Arial"/>
        </w:rPr>
        <w:t xml:space="preserve">, </w:t>
      </w:r>
      <w:r w:rsidR="00FC239E" w:rsidRPr="003A7891">
        <w:rPr>
          <w:rFonts w:cs="Arial"/>
        </w:rPr>
        <w:t>6</w:t>
      </w:r>
      <w:r w:rsidR="00246C7B" w:rsidRPr="003A7891">
        <w:rPr>
          <w:rFonts w:cs="Arial"/>
        </w:rPr>
        <w:t xml:space="preserve"> and </w:t>
      </w:r>
      <w:r w:rsidR="00FC239E" w:rsidRPr="003A7891">
        <w:rPr>
          <w:rFonts w:cs="Arial"/>
        </w:rPr>
        <w:t>7</w:t>
      </w:r>
      <w:r w:rsidR="00246C7B" w:rsidRPr="003A7891">
        <w:rPr>
          <w:rFonts w:cs="Arial"/>
        </w:rPr>
        <w:t xml:space="preserve"> of this </w:t>
      </w:r>
      <w:r w:rsidR="0086620D" w:rsidRPr="003A7891">
        <w:rPr>
          <w:rFonts w:cs="Arial"/>
        </w:rPr>
        <w:t>P</w:t>
      </w:r>
      <w:r w:rsidR="00246C7B" w:rsidRPr="003A7891">
        <w:rPr>
          <w:rFonts w:cs="Arial"/>
        </w:rPr>
        <w:t>rocedure</w:t>
      </w:r>
      <w:r w:rsidR="0086620D" w:rsidRPr="003A7891">
        <w:rPr>
          <w:rFonts w:cs="Arial"/>
        </w:rPr>
        <w:t>s</w:t>
      </w:r>
      <w:r w:rsidR="00246C7B" w:rsidRPr="003A7891">
        <w:rPr>
          <w:rFonts w:cs="Arial"/>
        </w:rPr>
        <w:t xml:space="preserve"> document. </w:t>
      </w:r>
      <w:r w:rsidR="000A2F89" w:rsidRPr="003A7891">
        <w:rPr>
          <w:rFonts w:cs="Arial"/>
        </w:rPr>
        <w:t>The conclusions and recommendations of t</w:t>
      </w:r>
      <w:r w:rsidR="00B736F9" w:rsidRPr="003A7891">
        <w:rPr>
          <w:rFonts w:cs="Arial"/>
        </w:rPr>
        <w:t xml:space="preserve">he </w:t>
      </w:r>
      <w:r w:rsidR="0041572E" w:rsidRPr="003A7891">
        <w:rPr>
          <w:rFonts w:cs="Arial"/>
        </w:rPr>
        <w:t>RA report</w:t>
      </w:r>
      <w:r w:rsidR="00B736F9" w:rsidRPr="003A7891">
        <w:rPr>
          <w:rFonts w:cs="Arial"/>
        </w:rPr>
        <w:t xml:space="preserve"> must </w:t>
      </w:r>
      <w:r w:rsidR="000A2F89" w:rsidRPr="003A7891">
        <w:rPr>
          <w:rFonts w:cs="Arial"/>
        </w:rPr>
        <w:t xml:space="preserve">therefore </w:t>
      </w:r>
      <w:r w:rsidR="00B736F9" w:rsidRPr="003A7891">
        <w:rPr>
          <w:rFonts w:cs="Arial"/>
        </w:rPr>
        <w:t>summarize and consolidate the findings of the HHRA and ERA</w:t>
      </w:r>
      <w:r w:rsidR="000A2F89" w:rsidRPr="003A7891">
        <w:rPr>
          <w:rFonts w:cs="Arial"/>
        </w:rPr>
        <w:t xml:space="preserve"> and propose the property specific standards to be used for </w:t>
      </w:r>
      <w:r w:rsidR="00925F35" w:rsidRPr="003A7891">
        <w:rPr>
          <w:rFonts w:cs="Arial"/>
        </w:rPr>
        <w:t xml:space="preserve">submitting an </w:t>
      </w:r>
      <w:r w:rsidR="000A2F89" w:rsidRPr="003A7891">
        <w:rPr>
          <w:rFonts w:cs="Arial"/>
        </w:rPr>
        <w:t>RSC</w:t>
      </w:r>
      <w:r w:rsidR="00925F35" w:rsidRPr="003A7891">
        <w:rPr>
          <w:rFonts w:cs="Arial"/>
        </w:rPr>
        <w:t xml:space="preserve"> for filing</w:t>
      </w:r>
      <w:r w:rsidR="00B736F9" w:rsidRPr="003A7891">
        <w:rPr>
          <w:rFonts w:cs="Arial"/>
        </w:rPr>
        <w:t xml:space="preserve">. Minimum requirements for conclusions and recommendations (Section 6) of the RA report are provided in Table 1 </w:t>
      </w:r>
      <w:r w:rsidR="00925F35" w:rsidRPr="003A7891">
        <w:rPr>
          <w:rFonts w:cs="Arial"/>
        </w:rPr>
        <w:t xml:space="preserve">of Schedule C </w:t>
      </w:r>
      <w:r w:rsidR="00B736F9" w:rsidRPr="003A7891">
        <w:rPr>
          <w:rFonts w:cs="Arial"/>
        </w:rPr>
        <w:t>of the Regulation, and</w:t>
      </w:r>
      <w:r w:rsidR="00B736F9" w:rsidRPr="008D65C3">
        <w:rPr>
          <w:rFonts w:cs="Arial"/>
        </w:rPr>
        <w:t xml:space="preserve">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5149E5" w:rsidRPr="000C0EF2" w14:paraId="2A5986EC" w14:textId="77777777" w:rsidTr="005B40DA">
        <w:trPr>
          <w:trHeight w:val="20"/>
          <w:tblHeader/>
        </w:trPr>
        <w:tc>
          <w:tcPr>
            <w:tcW w:w="2468" w:type="dxa"/>
          </w:tcPr>
          <w:p w14:paraId="31EF43DD" w14:textId="77777777" w:rsidR="005149E5" w:rsidRPr="000C0EF2" w:rsidRDefault="005149E5" w:rsidP="000C0EF2">
            <w:pPr>
              <w:pStyle w:val="table-e"/>
              <w:spacing w:line="240" w:lineRule="auto"/>
              <w:rPr>
                <w:b/>
                <w:sz w:val="24"/>
              </w:rPr>
            </w:pPr>
            <w:r w:rsidRPr="000C0EF2">
              <w:rPr>
                <w:b/>
                <w:sz w:val="24"/>
              </w:rPr>
              <w:lastRenderedPageBreak/>
              <w:t>Column 1</w:t>
            </w:r>
            <w:r w:rsidRPr="000C0EF2">
              <w:rPr>
                <w:b/>
                <w:sz w:val="24"/>
              </w:rPr>
              <w:br/>
              <w:t>Report Section</w:t>
            </w:r>
          </w:p>
        </w:tc>
        <w:tc>
          <w:tcPr>
            <w:tcW w:w="2014" w:type="dxa"/>
          </w:tcPr>
          <w:p w14:paraId="430B563F" w14:textId="77777777" w:rsidR="005149E5" w:rsidRPr="000C0EF2" w:rsidRDefault="005149E5"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24F87B04" w14:textId="77777777" w:rsidR="005149E5" w:rsidRPr="000C0EF2" w:rsidRDefault="005149E5"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6B9410E8" w14:textId="77777777" w:rsidR="005149E5" w:rsidRPr="000C0EF2" w:rsidRDefault="005149E5" w:rsidP="000C0EF2">
            <w:pPr>
              <w:pStyle w:val="table-e"/>
              <w:spacing w:line="240" w:lineRule="auto"/>
              <w:rPr>
                <w:b/>
                <w:sz w:val="24"/>
              </w:rPr>
            </w:pPr>
            <w:r w:rsidRPr="000C0EF2">
              <w:rPr>
                <w:b/>
                <w:sz w:val="24"/>
              </w:rPr>
              <w:t>Column 4</w:t>
            </w:r>
            <w:r w:rsidRPr="000C0EF2">
              <w:rPr>
                <w:b/>
                <w:sz w:val="24"/>
              </w:rPr>
              <w:br/>
              <w:t>Minimum Requirements</w:t>
            </w:r>
          </w:p>
        </w:tc>
      </w:tr>
      <w:tr w:rsidR="005149E5" w:rsidRPr="000C0EF2" w14:paraId="3513A411" w14:textId="77777777" w:rsidTr="005B40DA">
        <w:trPr>
          <w:trHeight w:val="20"/>
        </w:trPr>
        <w:tc>
          <w:tcPr>
            <w:tcW w:w="2468" w:type="dxa"/>
          </w:tcPr>
          <w:p w14:paraId="4799E247" w14:textId="77777777" w:rsidR="005149E5" w:rsidRPr="000C0EF2" w:rsidRDefault="005149E5" w:rsidP="000C0EF2">
            <w:pPr>
              <w:pStyle w:val="table-e"/>
              <w:spacing w:line="240" w:lineRule="auto"/>
              <w:rPr>
                <w:sz w:val="24"/>
              </w:rPr>
            </w:pPr>
            <w:r w:rsidRPr="000C0EF2">
              <w:rPr>
                <w:sz w:val="24"/>
              </w:rPr>
              <w:t>6.  Conclusions and Recommendations</w:t>
            </w:r>
          </w:p>
        </w:tc>
        <w:tc>
          <w:tcPr>
            <w:tcW w:w="2014" w:type="dxa"/>
          </w:tcPr>
          <w:p w14:paraId="758A8FC3" w14:textId="77777777" w:rsidR="005149E5" w:rsidRPr="000C0EF2" w:rsidRDefault="005149E5" w:rsidP="000C0EF2">
            <w:pPr>
              <w:pStyle w:val="table-e"/>
              <w:spacing w:line="240" w:lineRule="auto"/>
              <w:rPr>
                <w:sz w:val="24"/>
              </w:rPr>
            </w:pPr>
            <w:r w:rsidRPr="000C0EF2">
              <w:rPr>
                <w:sz w:val="24"/>
              </w:rPr>
              <w:t>not applicable</w:t>
            </w:r>
          </w:p>
        </w:tc>
        <w:tc>
          <w:tcPr>
            <w:tcW w:w="1839" w:type="dxa"/>
          </w:tcPr>
          <w:p w14:paraId="5FBA211A" w14:textId="77777777" w:rsidR="005149E5" w:rsidRPr="000C0EF2" w:rsidRDefault="005149E5"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Recommended Standards</w:t>
            </w:r>
          </w:p>
        </w:tc>
        <w:tc>
          <w:tcPr>
            <w:tcW w:w="3759" w:type="dxa"/>
          </w:tcPr>
          <w:p w14:paraId="0294C6A1" w14:textId="77777777" w:rsidR="005149E5" w:rsidRPr="000C0EF2" w:rsidRDefault="005149E5" w:rsidP="000C0EF2">
            <w:pPr>
              <w:pStyle w:val="table-e"/>
              <w:spacing w:line="240" w:lineRule="auto"/>
              <w:rPr>
                <w:sz w:val="24"/>
              </w:rPr>
            </w:pPr>
            <w:r w:rsidRPr="000C0EF2">
              <w:rPr>
                <w:sz w:val="24"/>
              </w:rPr>
              <w:t>1.  A standard must be specific in the risk assessment for each contaminant of concern.  The specified standard shall be, at a minimum, the more stringent of the human health standard and the ecological standard being proposed for the RA property.</w:t>
            </w:r>
          </w:p>
          <w:p w14:paraId="2094BC59" w14:textId="77777777" w:rsidR="005149E5" w:rsidRPr="000C0EF2" w:rsidRDefault="005149E5" w:rsidP="000C0EF2">
            <w:pPr>
              <w:pStyle w:val="table-e"/>
              <w:spacing w:line="240" w:lineRule="auto"/>
              <w:rPr>
                <w:sz w:val="24"/>
              </w:rPr>
            </w:pPr>
            <w:r w:rsidRPr="000C0EF2">
              <w:rPr>
                <w:sz w:val="24"/>
              </w:rPr>
              <w:t>2.  In the case of an estimation of natural local background concentration risk assessment, the specified standard shall be the local background concentration soil standard proposed under subsection 8 (1) of this Schedule.</w:t>
            </w:r>
          </w:p>
          <w:p w14:paraId="050A5C1C" w14:textId="77777777" w:rsidR="005149E5" w:rsidRPr="000C0EF2" w:rsidRDefault="005149E5" w:rsidP="000C0EF2">
            <w:pPr>
              <w:pStyle w:val="table-e"/>
              <w:spacing w:line="240" w:lineRule="auto"/>
              <w:rPr>
                <w:sz w:val="24"/>
              </w:rPr>
            </w:pPr>
            <w:r w:rsidRPr="000C0EF2">
              <w:rPr>
                <w:sz w:val="24"/>
              </w:rPr>
              <w:t>3.  State critical assumptions on which the standards specified in the risk assessment rely, having regard to the discussion of uncertainty under Heading (d) (Risk Characterization) in Report Section 4 (Human Health Risk Assessment (HHRA)) and under Heading (e) (Risk Characterization) in Report Section 5 (Ecological Risk Assessment (ERA)).</w:t>
            </w:r>
          </w:p>
          <w:p w14:paraId="797C4402" w14:textId="77777777" w:rsidR="005149E5" w:rsidRPr="000C0EF2" w:rsidRDefault="005149E5" w:rsidP="000C0EF2">
            <w:pPr>
              <w:pStyle w:val="table-e"/>
              <w:spacing w:line="240" w:lineRule="auto"/>
              <w:rPr>
                <w:sz w:val="24"/>
              </w:rPr>
            </w:pPr>
            <w:r w:rsidRPr="000C0EF2">
              <w:rPr>
                <w:sz w:val="24"/>
              </w:rPr>
              <w:t xml:space="preserve">4.  </w:t>
            </w:r>
            <w:bookmarkStart w:id="113" w:name="_Hlk36035513"/>
            <w:r w:rsidRPr="000C0EF2">
              <w:rPr>
                <w:sz w:val="24"/>
              </w:rPr>
              <w:t>If the phase two environmental site assessment that was relied upon in the preparation of the risk assessment has been prepared using a non-standard delineation conducted in accordance with section 7.1 of Schedule E,</w:t>
            </w:r>
          </w:p>
          <w:p w14:paraId="2F49F684" w14:textId="77777777" w:rsidR="005149E5" w:rsidRPr="000C0EF2" w:rsidRDefault="005149E5" w:rsidP="000C0EF2">
            <w:pPr>
              <w:pStyle w:val="table-e"/>
              <w:spacing w:line="240" w:lineRule="auto"/>
              <w:rPr>
                <w:sz w:val="24"/>
              </w:rPr>
            </w:pPr>
            <w:proofErr w:type="spellStart"/>
            <w:r w:rsidRPr="000C0EF2">
              <w:rPr>
                <w:sz w:val="24"/>
              </w:rPr>
              <w:t>i</w:t>
            </w:r>
            <w:proofErr w:type="spellEnd"/>
            <w:r w:rsidRPr="000C0EF2">
              <w:rPr>
                <w:sz w:val="24"/>
              </w:rPr>
              <w:t>.  state that the phase two environmental site assessment was prepared using a non-standard delineation,</w:t>
            </w:r>
          </w:p>
          <w:p w14:paraId="4382EE1C" w14:textId="77777777" w:rsidR="005149E5" w:rsidRPr="000C0EF2" w:rsidRDefault="005149E5" w:rsidP="000C0EF2">
            <w:pPr>
              <w:pStyle w:val="table-e"/>
              <w:spacing w:line="240" w:lineRule="auto"/>
              <w:rPr>
                <w:sz w:val="24"/>
              </w:rPr>
            </w:pPr>
            <w:r w:rsidRPr="000C0EF2">
              <w:rPr>
                <w:sz w:val="24"/>
              </w:rPr>
              <w:t>ii. state the contaminants of concern and media to which non-</w:t>
            </w:r>
            <w:r w:rsidRPr="000C0EF2">
              <w:rPr>
                <w:sz w:val="24"/>
              </w:rPr>
              <w:lastRenderedPageBreak/>
              <w:t>standard delineation was applied, and</w:t>
            </w:r>
          </w:p>
          <w:p w14:paraId="10F57EF1" w14:textId="77777777" w:rsidR="005149E5" w:rsidRPr="000C0EF2" w:rsidRDefault="005149E5" w:rsidP="000C0EF2">
            <w:pPr>
              <w:pStyle w:val="table-e"/>
              <w:spacing w:line="240" w:lineRule="auto"/>
              <w:rPr>
                <w:sz w:val="24"/>
              </w:rPr>
            </w:pPr>
            <w:r w:rsidRPr="000C0EF2">
              <w:rPr>
                <w:sz w:val="24"/>
              </w:rPr>
              <w:t>iii. provide a discussion of the implications that the application of the non-standard delineation to the stated contaminants of concern and media may have on the conclusions reached in the risk assessment report</w:t>
            </w:r>
            <w:bookmarkEnd w:id="113"/>
            <w:r w:rsidRPr="000C0EF2">
              <w:rPr>
                <w:sz w:val="24"/>
              </w:rPr>
              <w:t>.</w:t>
            </w:r>
          </w:p>
        </w:tc>
      </w:tr>
      <w:tr w:rsidR="005149E5" w:rsidRPr="000C0EF2" w14:paraId="06AB6436" w14:textId="77777777" w:rsidTr="005B40DA">
        <w:trPr>
          <w:trHeight w:val="20"/>
        </w:trPr>
        <w:tc>
          <w:tcPr>
            <w:tcW w:w="2468" w:type="dxa"/>
          </w:tcPr>
          <w:p w14:paraId="4D89E2B6" w14:textId="77777777" w:rsidR="005149E5" w:rsidRPr="000C0EF2" w:rsidRDefault="005149E5" w:rsidP="000C0EF2">
            <w:pPr>
              <w:pStyle w:val="table-e"/>
              <w:spacing w:line="240" w:lineRule="auto"/>
              <w:rPr>
                <w:sz w:val="24"/>
              </w:rPr>
            </w:pPr>
            <w:r w:rsidRPr="000C0EF2">
              <w:rPr>
                <w:sz w:val="24"/>
              </w:rPr>
              <w:lastRenderedPageBreak/>
              <w:t>6.  Conclusions and Recommendations</w:t>
            </w:r>
          </w:p>
        </w:tc>
        <w:tc>
          <w:tcPr>
            <w:tcW w:w="2014" w:type="dxa"/>
          </w:tcPr>
          <w:p w14:paraId="3DCB4559" w14:textId="77777777" w:rsidR="005149E5" w:rsidRPr="000C0EF2" w:rsidRDefault="005149E5" w:rsidP="000C0EF2">
            <w:pPr>
              <w:pStyle w:val="table-e"/>
              <w:spacing w:line="240" w:lineRule="auto"/>
              <w:rPr>
                <w:sz w:val="24"/>
              </w:rPr>
            </w:pPr>
            <w:r w:rsidRPr="000C0EF2">
              <w:rPr>
                <w:sz w:val="24"/>
              </w:rPr>
              <w:t>not applicable</w:t>
            </w:r>
          </w:p>
        </w:tc>
        <w:tc>
          <w:tcPr>
            <w:tcW w:w="1839" w:type="dxa"/>
          </w:tcPr>
          <w:p w14:paraId="3A302A05" w14:textId="77777777" w:rsidR="005149E5" w:rsidRPr="000C0EF2" w:rsidRDefault="005149E5" w:rsidP="000C0EF2">
            <w:pPr>
              <w:pStyle w:val="table-e"/>
              <w:spacing w:line="240" w:lineRule="auto"/>
              <w:rPr>
                <w:sz w:val="24"/>
              </w:rPr>
            </w:pPr>
            <w:r w:rsidRPr="000C0EF2">
              <w:rPr>
                <w:sz w:val="24"/>
              </w:rPr>
              <w:t>(ii)  Special Considerations for Ground Water Standards</w:t>
            </w:r>
          </w:p>
        </w:tc>
        <w:tc>
          <w:tcPr>
            <w:tcW w:w="3759" w:type="dxa"/>
          </w:tcPr>
          <w:p w14:paraId="64C8CE9E" w14:textId="77777777" w:rsidR="005149E5" w:rsidRPr="000C0EF2" w:rsidRDefault="005149E5" w:rsidP="000C0EF2">
            <w:pPr>
              <w:pStyle w:val="table-e"/>
              <w:spacing w:line="240" w:lineRule="auto"/>
              <w:rPr>
                <w:sz w:val="24"/>
              </w:rPr>
            </w:pPr>
            <w:r w:rsidRPr="000C0EF2">
              <w:rPr>
                <w:sz w:val="24"/>
              </w:rPr>
              <w:t>If a standard being proposed in the risk assessment for ground water in or under the RA property is greater than 50% of the solubility limit, demonstrate the risk of free product formation and propose any risk management measures necessary in order to mitigate the formation of free product.</w:t>
            </w:r>
          </w:p>
        </w:tc>
      </w:tr>
    </w:tbl>
    <w:p w14:paraId="783012CD" w14:textId="15EF4674" w:rsidR="00B736F9" w:rsidRPr="008D65C3" w:rsidRDefault="00B736F9" w:rsidP="00DE496B">
      <w:pPr>
        <w:pStyle w:val="Heading3"/>
        <w:rPr>
          <w:rFonts w:cs="Arial"/>
        </w:rPr>
      </w:pPr>
      <w:bookmarkStart w:id="114" w:name="_Toc91393542"/>
      <w:bookmarkStart w:id="115" w:name="_Toc112727403"/>
      <w:bookmarkStart w:id="116" w:name="_Toc41905665"/>
      <w:r w:rsidRPr="008D65C3">
        <w:rPr>
          <w:rFonts w:cs="Arial"/>
        </w:rPr>
        <w:t>Recommend</w:t>
      </w:r>
      <w:r w:rsidR="00256A36" w:rsidRPr="008D65C3">
        <w:rPr>
          <w:rFonts w:cs="Arial"/>
        </w:rPr>
        <w:t>ing</w:t>
      </w:r>
      <w:r w:rsidRPr="008D65C3">
        <w:rPr>
          <w:rFonts w:cs="Arial"/>
        </w:rPr>
        <w:t xml:space="preserve"> Property</w:t>
      </w:r>
      <w:r w:rsidR="00681663" w:rsidRPr="008D65C3">
        <w:rPr>
          <w:rFonts w:cs="Arial"/>
        </w:rPr>
        <w:t xml:space="preserve"> </w:t>
      </w:r>
      <w:r w:rsidRPr="008D65C3">
        <w:rPr>
          <w:rFonts w:cs="Arial"/>
        </w:rPr>
        <w:t>Specific Standards</w:t>
      </w:r>
      <w:bookmarkEnd w:id="114"/>
      <w:bookmarkEnd w:id="115"/>
      <w:bookmarkEnd w:id="116"/>
    </w:p>
    <w:p w14:paraId="674E4299" w14:textId="614AFB6E" w:rsidR="0041605B" w:rsidRPr="008D65C3" w:rsidRDefault="00B736F9" w:rsidP="00840964">
      <w:pPr>
        <w:rPr>
          <w:rFonts w:cs="Arial"/>
        </w:rPr>
      </w:pPr>
      <w:r w:rsidRPr="008D65C3">
        <w:rPr>
          <w:rFonts w:cs="Arial"/>
        </w:rPr>
        <w:t xml:space="preserve">It is not sufficient for the RA report to demonstrate that risk to human health and the environment is acceptable or </w:t>
      </w:r>
      <w:r w:rsidRPr="003A7891">
        <w:rPr>
          <w:rFonts w:cs="Arial"/>
        </w:rPr>
        <w:t xml:space="preserve">negligible. Schedule C of the Regulation requires that </w:t>
      </w:r>
      <w:r w:rsidR="007E3021" w:rsidRPr="003A7891">
        <w:rPr>
          <w:rFonts w:cs="Arial"/>
        </w:rPr>
        <w:t>the</w:t>
      </w:r>
      <w:r w:rsidRPr="003A7891">
        <w:rPr>
          <w:rFonts w:cs="Arial"/>
        </w:rPr>
        <w:t xml:space="preserve"> </w:t>
      </w:r>
      <w:r w:rsidR="003F3C3D" w:rsidRPr="003A7891">
        <w:rPr>
          <w:rFonts w:cs="Arial"/>
        </w:rPr>
        <w:t xml:space="preserve">risk assessment </w:t>
      </w:r>
      <w:r w:rsidRPr="003A7891">
        <w:rPr>
          <w:rFonts w:cs="Arial"/>
        </w:rPr>
        <w:t xml:space="preserve">specify </w:t>
      </w:r>
      <w:r w:rsidR="007E3021" w:rsidRPr="003A7891">
        <w:rPr>
          <w:rFonts w:cs="Arial"/>
        </w:rPr>
        <w:t xml:space="preserve">a property specific standard (i.e. numerical value) for each </w:t>
      </w:r>
      <w:smartTag w:uri="urn:schemas-microsoft-com:office:smarttags" w:element="stockticker">
        <w:r w:rsidR="007E3021" w:rsidRPr="003A7891">
          <w:rPr>
            <w:rFonts w:cs="Arial"/>
          </w:rPr>
          <w:t>COC</w:t>
        </w:r>
      </w:smartTag>
      <w:r w:rsidR="007E3021" w:rsidRPr="003A7891">
        <w:rPr>
          <w:rFonts w:cs="Arial"/>
        </w:rPr>
        <w:t xml:space="preserve"> identified in </w:t>
      </w:r>
      <w:r w:rsidRPr="003A7891">
        <w:rPr>
          <w:rFonts w:cs="Arial"/>
        </w:rPr>
        <w:t>soil</w:t>
      </w:r>
      <w:r w:rsidR="007E3021" w:rsidRPr="003A7891">
        <w:rPr>
          <w:rFonts w:cs="Arial"/>
        </w:rPr>
        <w:t xml:space="preserve">, </w:t>
      </w:r>
      <w:r w:rsidRPr="003A7891">
        <w:rPr>
          <w:rFonts w:cs="Arial"/>
        </w:rPr>
        <w:t xml:space="preserve">groundwater </w:t>
      </w:r>
      <w:r w:rsidR="007E3021" w:rsidRPr="003A7891">
        <w:rPr>
          <w:rFonts w:cs="Arial"/>
        </w:rPr>
        <w:t>and sediment.</w:t>
      </w:r>
      <w:r w:rsidR="00EF2762" w:rsidRPr="003A7891">
        <w:rPr>
          <w:rFonts w:cs="Arial"/>
        </w:rPr>
        <w:t xml:space="preserve"> </w:t>
      </w:r>
      <w:r w:rsidR="007E3021" w:rsidRPr="003A7891">
        <w:rPr>
          <w:rFonts w:cs="Arial"/>
        </w:rPr>
        <w:t xml:space="preserve">COCs are identified as part of the </w:t>
      </w:r>
      <w:r w:rsidR="0032339F" w:rsidRPr="003A7891">
        <w:rPr>
          <w:rFonts w:cs="Arial"/>
        </w:rPr>
        <w:t>p</w:t>
      </w:r>
      <w:r w:rsidRPr="003A7891">
        <w:rPr>
          <w:rFonts w:cs="Arial"/>
        </w:rPr>
        <w:t xml:space="preserve">hase two </w:t>
      </w:r>
      <w:smartTag w:uri="urn:schemas-microsoft-com:office:smarttags" w:element="stockticker">
        <w:r w:rsidRPr="003A7891">
          <w:rPr>
            <w:rFonts w:cs="Arial"/>
          </w:rPr>
          <w:t>ESA</w:t>
        </w:r>
      </w:smartTag>
      <w:r w:rsidRPr="003A7891">
        <w:rPr>
          <w:rFonts w:cs="Arial"/>
        </w:rPr>
        <w:t xml:space="preserve"> and </w:t>
      </w:r>
      <w:r w:rsidR="007E3021" w:rsidRPr="003A7891">
        <w:rPr>
          <w:rFonts w:cs="Arial"/>
        </w:rPr>
        <w:t xml:space="preserve">must again be </w:t>
      </w:r>
      <w:r w:rsidR="00F875C0" w:rsidRPr="003A7891">
        <w:rPr>
          <w:rFonts w:cs="Arial"/>
        </w:rPr>
        <w:t xml:space="preserve">highlighted in </w:t>
      </w:r>
      <w:r w:rsidRPr="003A7891">
        <w:rPr>
          <w:rFonts w:cs="Arial"/>
        </w:rPr>
        <w:t xml:space="preserve">Report Section 3 of the RA report. </w:t>
      </w:r>
      <w:r w:rsidR="00EF2762" w:rsidRPr="003A7891">
        <w:rPr>
          <w:rFonts w:cs="Arial"/>
        </w:rPr>
        <w:t>Proposing a property specific standard</w:t>
      </w:r>
      <w:r w:rsidRPr="003A7891">
        <w:rPr>
          <w:rFonts w:cs="Arial"/>
        </w:rPr>
        <w:t xml:space="preserve"> is necessary because </w:t>
      </w:r>
      <w:r w:rsidR="00881432" w:rsidRPr="003A7891">
        <w:rPr>
          <w:rFonts w:cs="Arial"/>
        </w:rPr>
        <w:t>a QP</w:t>
      </w:r>
      <w:r w:rsidR="00881432" w:rsidRPr="003A7891">
        <w:rPr>
          <w:rFonts w:cs="Arial"/>
          <w:vertAlign w:val="subscript"/>
        </w:rPr>
        <w:t>ESA</w:t>
      </w:r>
      <w:r w:rsidRPr="003A7891">
        <w:rPr>
          <w:rFonts w:cs="Arial"/>
        </w:rPr>
        <w:t xml:space="preserve">, when </w:t>
      </w:r>
      <w:r w:rsidR="00925F35" w:rsidRPr="003A7891">
        <w:rPr>
          <w:rFonts w:cs="Arial"/>
        </w:rPr>
        <w:t xml:space="preserve">submitting an RSC for </w:t>
      </w:r>
      <w:r w:rsidRPr="003A7891">
        <w:rPr>
          <w:rFonts w:cs="Arial"/>
        </w:rPr>
        <w:t xml:space="preserve">filing, is required to enter the maximum concentration of every </w:t>
      </w:r>
      <w:smartTag w:uri="urn:schemas-microsoft-com:office:smarttags" w:element="stockticker">
        <w:r w:rsidRPr="003A7891">
          <w:rPr>
            <w:rFonts w:cs="Arial"/>
          </w:rPr>
          <w:t>COC</w:t>
        </w:r>
      </w:smartTag>
      <w:r w:rsidRPr="003A7891">
        <w:rPr>
          <w:rFonts w:cs="Arial"/>
        </w:rPr>
        <w:t xml:space="preserve"> at the RA property. The Environment</w:t>
      </w:r>
      <w:r w:rsidR="00881432" w:rsidRPr="003A7891">
        <w:rPr>
          <w:rFonts w:cs="Arial"/>
        </w:rPr>
        <w:t>al</w:t>
      </w:r>
      <w:r w:rsidRPr="003A7891">
        <w:rPr>
          <w:rFonts w:cs="Arial"/>
        </w:rPr>
        <w:t xml:space="preserve"> </w:t>
      </w:r>
      <w:r w:rsidR="00881432" w:rsidRPr="003A7891">
        <w:rPr>
          <w:rFonts w:cs="Arial"/>
        </w:rPr>
        <w:t xml:space="preserve">Site </w:t>
      </w:r>
      <w:r w:rsidRPr="003A7891">
        <w:rPr>
          <w:rFonts w:cs="Arial"/>
        </w:rPr>
        <w:t>Registry require</w:t>
      </w:r>
      <w:r w:rsidR="00881432" w:rsidRPr="003A7891">
        <w:rPr>
          <w:rFonts w:cs="Arial"/>
        </w:rPr>
        <w:t>s</w:t>
      </w:r>
      <w:r w:rsidRPr="003A7891">
        <w:rPr>
          <w:rFonts w:cs="Arial"/>
        </w:rPr>
        <w:t xml:space="preserve"> a standard for </w:t>
      </w:r>
      <w:r w:rsidR="00881432" w:rsidRPr="003A7891">
        <w:rPr>
          <w:rFonts w:cs="Arial"/>
        </w:rPr>
        <w:t xml:space="preserve">each </w:t>
      </w:r>
      <w:smartTag w:uri="urn:schemas-microsoft-com:office:smarttags" w:element="stockticker">
        <w:r w:rsidR="00881432" w:rsidRPr="003A7891">
          <w:rPr>
            <w:rFonts w:cs="Arial"/>
          </w:rPr>
          <w:t>COC</w:t>
        </w:r>
      </w:smartTag>
      <w:r w:rsidR="00881432" w:rsidRPr="003A7891">
        <w:rPr>
          <w:rFonts w:cs="Arial"/>
        </w:rPr>
        <w:t xml:space="preserve"> for </w:t>
      </w:r>
      <w:r w:rsidRPr="003A7891">
        <w:rPr>
          <w:rFonts w:cs="Arial"/>
        </w:rPr>
        <w:t>comparison purposes</w:t>
      </w:r>
      <w:r w:rsidR="002F3E4E" w:rsidRPr="003A7891">
        <w:rPr>
          <w:rFonts w:cs="Arial"/>
        </w:rPr>
        <w:t xml:space="preserve"> </w:t>
      </w:r>
      <w:r w:rsidR="00E50267" w:rsidRPr="003A7891">
        <w:rPr>
          <w:rFonts w:cs="Arial"/>
        </w:rPr>
        <w:t xml:space="preserve">and </w:t>
      </w:r>
      <w:r w:rsidR="002F3E4E" w:rsidRPr="003A7891">
        <w:rPr>
          <w:rFonts w:cs="Arial"/>
        </w:rPr>
        <w:t xml:space="preserve">the maximum </w:t>
      </w:r>
      <w:r w:rsidR="00E50267" w:rsidRPr="003A7891">
        <w:rPr>
          <w:rFonts w:cs="Arial"/>
        </w:rPr>
        <w:t xml:space="preserve">COC </w:t>
      </w:r>
      <w:r w:rsidR="002F3E4E" w:rsidRPr="003A7891">
        <w:rPr>
          <w:rFonts w:cs="Arial"/>
        </w:rPr>
        <w:t xml:space="preserve">concentration </w:t>
      </w:r>
      <w:r w:rsidR="00CB59DD" w:rsidRPr="003A7891">
        <w:rPr>
          <w:rFonts w:cs="Arial"/>
        </w:rPr>
        <w:t xml:space="preserve">present at the RA property </w:t>
      </w:r>
      <w:r w:rsidR="00E50267" w:rsidRPr="003A7891">
        <w:rPr>
          <w:rFonts w:cs="Arial"/>
        </w:rPr>
        <w:t>can</w:t>
      </w:r>
      <w:r w:rsidR="002F3E4E" w:rsidRPr="003A7891">
        <w:rPr>
          <w:rFonts w:cs="Arial"/>
        </w:rPr>
        <w:t>not</w:t>
      </w:r>
      <w:r w:rsidR="002F3E4E" w:rsidRPr="008D65C3">
        <w:rPr>
          <w:rFonts w:cs="Arial"/>
        </w:rPr>
        <w:t xml:space="preserve"> exceed the property specific standard</w:t>
      </w:r>
      <w:r w:rsidRPr="008D65C3">
        <w:rPr>
          <w:rFonts w:cs="Arial"/>
        </w:rPr>
        <w:t>.</w:t>
      </w:r>
    </w:p>
    <w:p w14:paraId="405DD8CD" w14:textId="3C76C2D8" w:rsidR="00AF1A4D" w:rsidRPr="008D65C3" w:rsidRDefault="00AF1A4D" w:rsidP="00840964">
      <w:pPr>
        <w:rPr>
          <w:rFonts w:cs="Arial"/>
        </w:rPr>
      </w:pPr>
      <w:r w:rsidRPr="008D65C3">
        <w:rPr>
          <w:rFonts w:cs="Arial"/>
        </w:rPr>
        <w:t xml:space="preserve">A recommended tabular format for summarizing the </w:t>
      </w:r>
      <w:r w:rsidR="00B56292" w:rsidRPr="008D65C3">
        <w:rPr>
          <w:rFonts w:cs="Arial"/>
        </w:rPr>
        <w:t xml:space="preserve">proposed </w:t>
      </w:r>
      <w:r w:rsidRPr="008D65C3">
        <w:rPr>
          <w:rFonts w:cs="Arial"/>
        </w:rPr>
        <w:t xml:space="preserve">property specific </w:t>
      </w:r>
      <w:r w:rsidR="00881432" w:rsidRPr="008D65C3">
        <w:rPr>
          <w:rFonts w:cs="Arial"/>
        </w:rPr>
        <w:t xml:space="preserve">standards in the RA report </w:t>
      </w:r>
      <w:r w:rsidRPr="008D65C3">
        <w:rPr>
          <w:rFonts w:cs="Arial"/>
        </w:rPr>
        <w:t>is provided</w:t>
      </w:r>
      <w:r w:rsidR="00043B14" w:rsidRPr="008D65C3">
        <w:rPr>
          <w:rFonts w:cs="Arial"/>
        </w:rPr>
        <w:t xml:space="preserve"> in the example</w:t>
      </w:r>
      <w:r w:rsidRPr="008D65C3">
        <w:rPr>
          <w:rFonts w:cs="Arial"/>
        </w:rPr>
        <w:t xml:space="preserve"> below.</w:t>
      </w:r>
    </w:p>
    <w:p w14:paraId="6B52F58E" w14:textId="77777777" w:rsidR="00A204EE" w:rsidRPr="008D65C3" w:rsidRDefault="00A204EE" w:rsidP="00840964">
      <w:pPr>
        <w:rPr>
          <w:rFonts w:cs="Arial"/>
        </w:rPr>
      </w:pPr>
      <w:r w:rsidRPr="008D65C3">
        <w:rPr>
          <w:rFonts w:cs="Arial"/>
          <w:b/>
        </w:rPr>
        <w:t>Table Title</w:t>
      </w:r>
      <w:r w:rsidRPr="008D65C3">
        <w:rPr>
          <w:rFonts w:cs="Arial"/>
        </w:rPr>
        <w:t xml:space="preserve">: </w:t>
      </w:r>
      <w:r w:rsidR="00B56292" w:rsidRPr="008D65C3">
        <w:rPr>
          <w:rFonts w:cs="Arial"/>
        </w:rPr>
        <w:t xml:space="preserve">Proposed </w:t>
      </w:r>
      <w:r w:rsidR="002F3E4E" w:rsidRPr="008D65C3">
        <w:rPr>
          <w:rFonts w:cs="Arial"/>
        </w:rPr>
        <w:t xml:space="preserve">Property Specific </w:t>
      </w:r>
      <w:r w:rsidRPr="008D65C3">
        <w:rPr>
          <w:rFonts w:cs="Arial"/>
        </w:rPr>
        <w:t xml:space="preserve">Standards for </w:t>
      </w:r>
      <w:r w:rsidR="002F3E4E" w:rsidRPr="008D65C3">
        <w:rPr>
          <w:rFonts w:cs="Arial"/>
        </w:rPr>
        <w:t>RA property</w:t>
      </w:r>
    </w:p>
    <w:tbl>
      <w:tblPr>
        <w:tblStyle w:val="TableGrid"/>
        <w:tblW w:w="10778" w:type="dxa"/>
        <w:tblInd w:w="-455" w:type="dxa"/>
        <w:tblLook w:val="01E0" w:firstRow="1" w:lastRow="1" w:firstColumn="1" w:lastColumn="1" w:noHBand="0" w:noVBand="0"/>
        <w:tblCaption w:val="Proposed property specific standards for RA property"/>
        <w:tblDescription w:val="Table provides an example of the the recommended tabular format for summarizing the property specific standards in the RA report."/>
      </w:tblPr>
      <w:tblGrid>
        <w:gridCol w:w="1528"/>
        <w:gridCol w:w="1373"/>
        <w:gridCol w:w="1494"/>
        <w:gridCol w:w="1168"/>
        <w:gridCol w:w="1091"/>
        <w:gridCol w:w="1212"/>
        <w:gridCol w:w="1599"/>
        <w:gridCol w:w="1313"/>
      </w:tblGrid>
      <w:tr w:rsidR="00881432" w:rsidRPr="008D65C3" w14:paraId="66162257" w14:textId="77777777" w:rsidTr="00075B75">
        <w:trPr>
          <w:tblHeader/>
        </w:trPr>
        <w:tc>
          <w:tcPr>
            <w:tcW w:w="1528" w:type="dxa"/>
          </w:tcPr>
          <w:p w14:paraId="68A3348E" w14:textId="5F6ED90B" w:rsidR="00881432" w:rsidRPr="008D65C3" w:rsidRDefault="00881432" w:rsidP="00840964">
            <w:pPr>
              <w:rPr>
                <w:rFonts w:cs="Arial"/>
                <w:b/>
                <w:i/>
                <w:iCs/>
                <w:sz w:val="20"/>
                <w:szCs w:val="20"/>
              </w:rPr>
            </w:pPr>
            <w:r w:rsidRPr="008D65C3">
              <w:rPr>
                <w:rFonts w:cs="Arial"/>
                <w:b/>
                <w:i/>
                <w:iCs/>
                <w:sz w:val="20"/>
                <w:szCs w:val="20"/>
              </w:rPr>
              <w:t xml:space="preserve">Environmental </w:t>
            </w:r>
            <w:r w:rsidR="00075B75">
              <w:rPr>
                <w:rFonts w:cs="Arial"/>
                <w:b/>
                <w:i/>
                <w:iCs/>
                <w:sz w:val="20"/>
                <w:szCs w:val="20"/>
              </w:rPr>
              <w:t>M</w:t>
            </w:r>
            <w:r w:rsidRPr="008D65C3">
              <w:rPr>
                <w:rFonts w:cs="Arial"/>
                <w:b/>
                <w:i/>
                <w:iCs/>
                <w:sz w:val="20"/>
                <w:szCs w:val="20"/>
              </w:rPr>
              <w:t>edia</w:t>
            </w:r>
          </w:p>
        </w:tc>
        <w:tc>
          <w:tcPr>
            <w:tcW w:w="1373" w:type="dxa"/>
          </w:tcPr>
          <w:p w14:paraId="5824220C" w14:textId="43E604AF" w:rsidR="00881432" w:rsidRPr="008D65C3" w:rsidRDefault="00881432" w:rsidP="00840964">
            <w:pPr>
              <w:rPr>
                <w:rFonts w:cs="Arial"/>
                <w:b/>
                <w:i/>
                <w:iCs/>
                <w:sz w:val="20"/>
                <w:szCs w:val="20"/>
              </w:rPr>
            </w:pPr>
            <w:r w:rsidRPr="008D65C3">
              <w:rPr>
                <w:rFonts w:cs="Arial"/>
                <w:b/>
                <w:i/>
                <w:iCs/>
                <w:sz w:val="20"/>
                <w:szCs w:val="20"/>
              </w:rPr>
              <w:t xml:space="preserve">Contaminant Of </w:t>
            </w:r>
            <w:r w:rsidR="00075B75">
              <w:rPr>
                <w:rFonts w:cs="Arial"/>
                <w:b/>
                <w:i/>
                <w:iCs/>
                <w:sz w:val="20"/>
                <w:szCs w:val="20"/>
              </w:rPr>
              <w:t>C</w:t>
            </w:r>
            <w:r w:rsidRPr="008D65C3">
              <w:rPr>
                <w:rFonts w:cs="Arial"/>
                <w:b/>
                <w:i/>
                <w:iCs/>
                <w:sz w:val="20"/>
                <w:szCs w:val="20"/>
              </w:rPr>
              <w:t>oncern</w:t>
            </w:r>
          </w:p>
        </w:tc>
        <w:tc>
          <w:tcPr>
            <w:tcW w:w="1494" w:type="dxa"/>
          </w:tcPr>
          <w:p w14:paraId="7D3B06DD" w14:textId="77777777" w:rsidR="00881432" w:rsidRPr="008D65C3" w:rsidRDefault="00881432" w:rsidP="00840964">
            <w:pPr>
              <w:rPr>
                <w:rFonts w:cs="Arial"/>
                <w:b/>
                <w:i/>
                <w:iCs/>
                <w:sz w:val="20"/>
                <w:szCs w:val="20"/>
              </w:rPr>
            </w:pPr>
            <w:r w:rsidRPr="008D65C3">
              <w:rPr>
                <w:rFonts w:cs="Arial"/>
                <w:b/>
                <w:i/>
                <w:iCs/>
                <w:sz w:val="20"/>
                <w:szCs w:val="20"/>
              </w:rPr>
              <w:t xml:space="preserve">Maximum </w:t>
            </w:r>
            <w:r w:rsidR="00DB095B" w:rsidRPr="008D65C3">
              <w:rPr>
                <w:rFonts w:cs="Arial"/>
                <w:b/>
                <w:i/>
                <w:iCs/>
                <w:sz w:val="20"/>
                <w:szCs w:val="20"/>
              </w:rPr>
              <w:t xml:space="preserve">Measured </w:t>
            </w:r>
            <w:r w:rsidRPr="008D65C3">
              <w:rPr>
                <w:rFonts w:cs="Arial"/>
                <w:b/>
                <w:i/>
                <w:iCs/>
                <w:sz w:val="20"/>
                <w:szCs w:val="20"/>
              </w:rPr>
              <w:t>Concentration</w:t>
            </w:r>
          </w:p>
        </w:tc>
        <w:tc>
          <w:tcPr>
            <w:tcW w:w="1168" w:type="dxa"/>
          </w:tcPr>
          <w:p w14:paraId="5C834AB0" w14:textId="77777777" w:rsidR="00881432" w:rsidRPr="008D65C3" w:rsidRDefault="00881432" w:rsidP="00840964">
            <w:pPr>
              <w:rPr>
                <w:rFonts w:cs="Arial"/>
                <w:b/>
                <w:i/>
                <w:iCs/>
                <w:sz w:val="20"/>
                <w:szCs w:val="20"/>
              </w:rPr>
            </w:pPr>
            <w:r w:rsidRPr="008D65C3">
              <w:rPr>
                <w:rFonts w:cs="Arial"/>
                <w:b/>
                <w:i/>
                <w:iCs/>
                <w:sz w:val="20"/>
                <w:szCs w:val="20"/>
              </w:rPr>
              <w:t>Applicable Site Condition Standard</w:t>
            </w:r>
            <w:r w:rsidRPr="008D65C3">
              <w:rPr>
                <w:rFonts w:cs="Arial"/>
                <w:b/>
                <w:i/>
                <w:iCs/>
                <w:sz w:val="20"/>
                <w:szCs w:val="20"/>
                <w:vertAlign w:val="superscript"/>
              </w:rPr>
              <w:t>1</w:t>
            </w:r>
          </w:p>
        </w:tc>
        <w:tc>
          <w:tcPr>
            <w:tcW w:w="1091" w:type="dxa"/>
          </w:tcPr>
          <w:p w14:paraId="33D52C43" w14:textId="77777777" w:rsidR="00881432" w:rsidRPr="008D65C3" w:rsidRDefault="004E0CA2" w:rsidP="00840964">
            <w:pPr>
              <w:rPr>
                <w:rFonts w:cs="Arial"/>
                <w:b/>
                <w:i/>
                <w:iCs/>
                <w:sz w:val="20"/>
                <w:szCs w:val="20"/>
              </w:rPr>
            </w:pPr>
            <w:r w:rsidRPr="008D65C3">
              <w:rPr>
                <w:rFonts w:cs="Arial"/>
                <w:b/>
                <w:i/>
                <w:iCs/>
                <w:sz w:val="20"/>
                <w:szCs w:val="20"/>
              </w:rPr>
              <w:t>Proposed</w:t>
            </w:r>
            <w:r w:rsidR="00881432" w:rsidRPr="008D65C3">
              <w:rPr>
                <w:rFonts w:cs="Arial"/>
                <w:b/>
                <w:i/>
                <w:iCs/>
                <w:sz w:val="20"/>
                <w:szCs w:val="20"/>
              </w:rPr>
              <w:t xml:space="preserve"> Property Specific Standard</w:t>
            </w:r>
          </w:p>
        </w:tc>
        <w:tc>
          <w:tcPr>
            <w:tcW w:w="1212" w:type="dxa"/>
          </w:tcPr>
          <w:p w14:paraId="140FD684" w14:textId="57A8E4D9" w:rsidR="00881432" w:rsidRPr="008D65C3" w:rsidRDefault="00881432" w:rsidP="00840964">
            <w:pPr>
              <w:rPr>
                <w:rFonts w:cs="Arial"/>
                <w:b/>
                <w:i/>
                <w:iCs/>
                <w:sz w:val="20"/>
                <w:szCs w:val="20"/>
              </w:rPr>
            </w:pPr>
            <w:r w:rsidRPr="008D65C3">
              <w:rPr>
                <w:rFonts w:cs="Arial"/>
                <w:b/>
                <w:i/>
                <w:iCs/>
                <w:sz w:val="20"/>
                <w:szCs w:val="20"/>
              </w:rPr>
              <w:t xml:space="preserve">Dominant </w:t>
            </w:r>
            <w:r w:rsidR="00075B75">
              <w:rPr>
                <w:rFonts w:cs="Arial"/>
                <w:b/>
                <w:i/>
                <w:iCs/>
                <w:sz w:val="20"/>
                <w:szCs w:val="20"/>
              </w:rPr>
              <w:t>E</w:t>
            </w:r>
            <w:r w:rsidRPr="008D65C3">
              <w:rPr>
                <w:rFonts w:cs="Arial"/>
                <w:b/>
                <w:i/>
                <w:iCs/>
                <w:sz w:val="20"/>
                <w:szCs w:val="20"/>
              </w:rPr>
              <w:t xml:space="preserve">xposure </w:t>
            </w:r>
            <w:r w:rsidR="00075B75">
              <w:rPr>
                <w:rFonts w:cs="Arial"/>
                <w:b/>
                <w:i/>
                <w:iCs/>
                <w:sz w:val="20"/>
                <w:szCs w:val="20"/>
              </w:rPr>
              <w:t>P</w:t>
            </w:r>
            <w:r w:rsidRPr="008D65C3">
              <w:rPr>
                <w:rFonts w:cs="Arial"/>
                <w:b/>
                <w:i/>
                <w:iCs/>
                <w:sz w:val="20"/>
                <w:szCs w:val="20"/>
              </w:rPr>
              <w:t>athway(s)</w:t>
            </w:r>
          </w:p>
        </w:tc>
        <w:tc>
          <w:tcPr>
            <w:tcW w:w="1599" w:type="dxa"/>
          </w:tcPr>
          <w:p w14:paraId="3EA54711" w14:textId="684CE640" w:rsidR="00881432" w:rsidRPr="008D65C3" w:rsidRDefault="00881432" w:rsidP="00840964">
            <w:pPr>
              <w:rPr>
                <w:rFonts w:cs="Arial"/>
                <w:b/>
                <w:i/>
                <w:iCs/>
                <w:sz w:val="20"/>
                <w:szCs w:val="20"/>
              </w:rPr>
            </w:pPr>
            <w:r w:rsidRPr="008D65C3">
              <w:rPr>
                <w:rFonts w:cs="Arial"/>
                <w:b/>
                <w:i/>
                <w:iCs/>
                <w:sz w:val="20"/>
                <w:szCs w:val="20"/>
              </w:rPr>
              <w:t xml:space="preserve">Risk </w:t>
            </w:r>
            <w:r w:rsidR="00075B75">
              <w:rPr>
                <w:rFonts w:cs="Arial"/>
                <w:b/>
                <w:i/>
                <w:iCs/>
                <w:sz w:val="20"/>
                <w:szCs w:val="20"/>
              </w:rPr>
              <w:t>M</w:t>
            </w:r>
            <w:r w:rsidRPr="008D65C3">
              <w:rPr>
                <w:rFonts w:cs="Arial"/>
                <w:b/>
                <w:i/>
                <w:iCs/>
                <w:sz w:val="20"/>
                <w:szCs w:val="20"/>
              </w:rPr>
              <w:t xml:space="preserve">anagement </w:t>
            </w:r>
            <w:r w:rsidR="00075B75">
              <w:rPr>
                <w:rFonts w:cs="Arial"/>
                <w:b/>
                <w:i/>
                <w:iCs/>
                <w:sz w:val="20"/>
                <w:szCs w:val="20"/>
              </w:rPr>
              <w:t>R</w:t>
            </w:r>
            <w:r w:rsidRPr="008D65C3">
              <w:rPr>
                <w:rFonts w:cs="Arial"/>
                <w:b/>
                <w:i/>
                <w:iCs/>
                <w:sz w:val="20"/>
                <w:szCs w:val="20"/>
              </w:rPr>
              <w:t>equirement</w:t>
            </w:r>
            <w:r w:rsidR="002F3E4E" w:rsidRPr="008D65C3">
              <w:rPr>
                <w:rFonts w:cs="Arial"/>
                <w:b/>
                <w:i/>
                <w:iCs/>
                <w:sz w:val="20"/>
                <w:szCs w:val="20"/>
              </w:rPr>
              <w:t>(s)</w:t>
            </w:r>
          </w:p>
        </w:tc>
        <w:tc>
          <w:tcPr>
            <w:tcW w:w="1313" w:type="dxa"/>
          </w:tcPr>
          <w:p w14:paraId="65A42B18" w14:textId="6B1AEEC2" w:rsidR="00881432" w:rsidRPr="008D65C3" w:rsidRDefault="00881432" w:rsidP="00840964">
            <w:pPr>
              <w:rPr>
                <w:rFonts w:cs="Arial"/>
                <w:b/>
                <w:i/>
                <w:iCs/>
                <w:sz w:val="20"/>
                <w:szCs w:val="20"/>
              </w:rPr>
            </w:pPr>
            <w:r w:rsidRPr="008D65C3">
              <w:rPr>
                <w:rFonts w:cs="Arial"/>
                <w:b/>
                <w:i/>
                <w:iCs/>
                <w:sz w:val="20"/>
                <w:szCs w:val="20"/>
              </w:rPr>
              <w:t xml:space="preserve">Potential for </w:t>
            </w:r>
            <w:r w:rsidR="00075B75">
              <w:rPr>
                <w:rFonts w:cs="Arial"/>
                <w:b/>
                <w:i/>
                <w:iCs/>
                <w:sz w:val="20"/>
                <w:szCs w:val="20"/>
              </w:rPr>
              <w:t>O</w:t>
            </w:r>
            <w:r w:rsidRPr="008D65C3">
              <w:rPr>
                <w:rFonts w:cs="Arial"/>
                <w:b/>
                <w:i/>
                <w:iCs/>
                <w:sz w:val="20"/>
                <w:szCs w:val="20"/>
              </w:rPr>
              <w:t xml:space="preserve">ff-site </w:t>
            </w:r>
            <w:r w:rsidR="00075B75">
              <w:rPr>
                <w:rFonts w:cs="Arial"/>
                <w:b/>
                <w:i/>
                <w:iCs/>
                <w:sz w:val="20"/>
                <w:szCs w:val="20"/>
              </w:rPr>
              <w:t>E</w:t>
            </w:r>
            <w:r w:rsidRPr="008D65C3">
              <w:rPr>
                <w:rFonts w:cs="Arial"/>
                <w:b/>
                <w:i/>
                <w:iCs/>
                <w:sz w:val="20"/>
                <w:szCs w:val="20"/>
              </w:rPr>
              <w:t xml:space="preserve">xceedance of </w:t>
            </w:r>
            <w:smartTag w:uri="urn:schemas-microsoft-com:office:smarttags" w:element="stockticker">
              <w:r w:rsidRPr="008D65C3">
                <w:rPr>
                  <w:rFonts w:cs="Arial"/>
                  <w:b/>
                  <w:i/>
                  <w:iCs/>
                  <w:sz w:val="20"/>
                  <w:szCs w:val="20"/>
                </w:rPr>
                <w:t>SCS</w:t>
              </w:r>
            </w:smartTag>
          </w:p>
        </w:tc>
      </w:tr>
      <w:tr w:rsidR="00881432" w:rsidRPr="008D65C3" w14:paraId="401E7A26" w14:textId="77777777" w:rsidTr="00075B75">
        <w:tc>
          <w:tcPr>
            <w:tcW w:w="1528" w:type="dxa"/>
          </w:tcPr>
          <w:p w14:paraId="7A304FA6" w14:textId="77777777" w:rsidR="00881432" w:rsidRPr="008D65C3" w:rsidRDefault="00881432" w:rsidP="00840964">
            <w:pPr>
              <w:rPr>
                <w:rFonts w:cs="Arial"/>
                <w:sz w:val="20"/>
                <w:szCs w:val="20"/>
              </w:rPr>
            </w:pPr>
            <w:r w:rsidRPr="008D65C3">
              <w:rPr>
                <w:rFonts w:cs="Arial"/>
                <w:sz w:val="20"/>
                <w:szCs w:val="20"/>
              </w:rPr>
              <w:t>Soil (full depth)</w:t>
            </w:r>
            <w:r w:rsidRPr="008D65C3" w:rsidDel="004942CA">
              <w:rPr>
                <w:rFonts w:cs="Arial"/>
                <w:sz w:val="20"/>
                <w:szCs w:val="20"/>
              </w:rPr>
              <w:t xml:space="preserve"> </w:t>
            </w:r>
          </w:p>
        </w:tc>
        <w:tc>
          <w:tcPr>
            <w:tcW w:w="1373" w:type="dxa"/>
          </w:tcPr>
          <w:p w14:paraId="2A6C90A9" w14:textId="77777777" w:rsidR="00881432" w:rsidRPr="008D65C3" w:rsidRDefault="00881432" w:rsidP="00840964">
            <w:pPr>
              <w:rPr>
                <w:rFonts w:cs="Arial"/>
                <w:sz w:val="20"/>
                <w:szCs w:val="20"/>
              </w:rPr>
            </w:pPr>
            <w:r w:rsidRPr="008D65C3">
              <w:rPr>
                <w:rFonts w:cs="Arial"/>
                <w:sz w:val="20"/>
                <w:szCs w:val="20"/>
              </w:rPr>
              <w:t>lead</w:t>
            </w:r>
            <w:r w:rsidRPr="008D65C3" w:rsidDel="004942CA">
              <w:rPr>
                <w:rFonts w:cs="Arial"/>
                <w:sz w:val="20"/>
                <w:szCs w:val="20"/>
              </w:rPr>
              <w:t xml:space="preserve"> </w:t>
            </w:r>
          </w:p>
        </w:tc>
        <w:tc>
          <w:tcPr>
            <w:tcW w:w="1494" w:type="dxa"/>
          </w:tcPr>
          <w:p w14:paraId="21F678E4" w14:textId="77777777" w:rsidR="00881432" w:rsidRPr="008D65C3" w:rsidRDefault="00881432" w:rsidP="00840964">
            <w:pPr>
              <w:rPr>
                <w:rFonts w:cs="Arial"/>
                <w:sz w:val="20"/>
                <w:szCs w:val="20"/>
              </w:rPr>
            </w:pPr>
            <w:r w:rsidRPr="008D65C3">
              <w:rPr>
                <w:rFonts w:cs="Arial"/>
                <w:sz w:val="20"/>
                <w:szCs w:val="20"/>
              </w:rPr>
              <w:t xml:space="preserve">2215 </w:t>
            </w:r>
            <w:r w:rsidR="00027CF1" w:rsidRPr="008D65C3">
              <w:rPr>
                <w:rFonts w:cs="Arial"/>
                <w:sz w:val="20"/>
                <w:szCs w:val="20"/>
              </w:rPr>
              <w:t>µ</w:t>
            </w:r>
            <w:r w:rsidRPr="008D65C3">
              <w:rPr>
                <w:rFonts w:cs="Arial"/>
                <w:sz w:val="20"/>
                <w:szCs w:val="20"/>
              </w:rPr>
              <w:t>g/g</w:t>
            </w:r>
          </w:p>
        </w:tc>
        <w:tc>
          <w:tcPr>
            <w:tcW w:w="1168" w:type="dxa"/>
          </w:tcPr>
          <w:p w14:paraId="07887FF9" w14:textId="77777777" w:rsidR="00881432" w:rsidRPr="008D65C3" w:rsidRDefault="00881432" w:rsidP="00840964">
            <w:pPr>
              <w:rPr>
                <w:rFonts w:cs="Arial"/>
                <w:sz w:val="20"/>
                <w:szCs w:val="20"/>
              </w:rPr>
            </w:pPr>
            <w:r w:rsidRPr="008D65C3">
              <w:rPr>
                <w:rFonts w:cs="Arial"/>
                <w:sz w:val="20"/>
                <w:szCs w:val="20"/>
              </w:rPr>
              <w:t>1</w:t>
            </w:r>
            <w:r w:rsidR="002F3E4E" w:rsidRPr="008D65C3">
              <w:rPr>
                <w:rFonts w:cs="Arial"/>
                <w:sz w:val="20"/>
                <w:szCs w:val="20"/>
              </w:rPr>
              <w:t>20</w:t>
            </w:r>
            <w:r w:rsidRPr="008D65C3">
              <w:rPr>
                <w:rFonts w:cs="Arial"/>
                <w:sz w:val="20"/>
                <w:szCs w:val="20"/>
              </w:rPr>
              <w:t xml:space="preserve"> </w:t>
            </w:r>
            <w:r w:rsidR="00027CF1" w:rsidRPr="008D65C3">
              <w:rPr>
                <w:rFonts w:cs="Arial"/>
                <w:sz w:val="20"/>
                <w:szCs w:val="20"/>
              </w:rPr>
              <w:t>µ</w:t>
            </w:r>
            <w:r w:rsidRPr="008D65C3">
              <w:rPr>
                <w:rFonts w:cs="Arial"/>
                <w:sz w:val="20"/>
                <w:szCs w:val="20"/>
              </w:rPr>
              <w:t>g/g</w:t>
            </w:r>
          </w:p>
        </w:tc>
        <w:tc>
          <w:tcPr>
            <w:tcW w:w="1091" w:type="dxa"/>
          </w:tcPr>
          <w:p w14:paraId="1AA22F54" w14:textId="77777777" w:rsidR="00881432" w:rsidRPr="008D65C3" w:rsidRDefault="00881432" w:rsidP="00840964">
            <w:pPr>
              <w:rPr>
                <w:rFonts w:cs="Arial"/>
                <w:sz w:val="20"/>
                <w:szCs w:val="20"/>
              </w:rPr>
            </w:pPr>
            <w:r w:rsidRPr="008D65C3">
              <w:rPr>
                <w:rFonts w:cs="Arial"/>
                <w:sz w:val="20"/>
                <w:szCs w:val="20"/>
              </w:rPr>
              <w:t>2300</w:t>
            </w:r>
            <w:r w:rsidR="00DB095B" w:rsidRPr="008D65C3">
              <w:rPr>
                <w:rFonts w:cs="Arial"/>
                <w:sz w:val="20"/>
                <w:szCs w:val="20"/>
              </w:rPr>
              <w:t xml:space="preserve"> </w:t>
            </w:r>
            <w:r w:rsidR="00027CF1" w:rsidRPr="008D65C3">
              <w:rPr>
                <w:rFonts w:cs="Arial"/>
                <w:sz w:val="20"/>
                <w:szCs w:val="20"/>
              </w:rPr>
              <w:t>µ</w:t>
            </w:r>
            <w:r w:rsidRPr="008D65C3">
              <w:rPr>
                <w:rFonts w:cs="Arial"/>
                <w:sz w:val="20"/>
                <w:szCs w:val="20"/>
              </w:rPr>
              <w:t>g/g</w:t>
            </w:r>
          </w:p>
        </w:tc>
        <w:tc>
          <w:tcPr>
            <w:tcW w:w="1212" w:type="dxa"/>
          </w:tcPr>
          <w:p w14:paraId="5AFE6203" w14:textId="77777777" w:rsidR="00881432" w:rsidRPr="008D65C3" w:rsidRDefault="00C32B1B" w:rsidP="00840964">
            <w:pPr>
              <w:rPr>
                <w:rFonts w:cs="Arial"/>
                <w:sz w:val="20"/>
                <w:szCs w:val="20"/>
              </w:rPr>
            </w:pPr>
            <w:r w:rsidRPr="003A7891">
              <w:rPr>
                <w:rFonts w:cs="Arial"/>
                <w:sz w:val="20"/>
                <w:szCs w:val="20"/>
              </w:rPr>
              <w:t>Incidental</w:t>
            </w:r>
            <w:r w:rsidR="005A1CD1" w:rsidRPr="003A7891">
              <w:rPr>
                <w:rFonts w:cs="Arial"/>
                <w:sz w:val="20"/>
                <w:szCs w:val="20"/>
              </w:rPr>
              <w:t xml:space="preserve"> ingestion</w:t>
            </w:r>
          </w:p>
        </w:tc>
        <w:tc>
          <w:tcPr>
            <w:tcW w:w="1599" w:type="dxa"/>
          </w:tcPr>
          <w:p w14:paraId="6C02E547" w14:textId="77777777" w:rsidR="00881432" w:rsidRPr="008D65C3" w:rsidRDefault="002F3E4E" w:rsidP="002F3E4E">
            <w:pPr>
              <w:rPr>
                <w:rFonts w:cs="Arial"/>
                <w:sz w:val="20"/>
                <w:szCs w:val="20"/>
              </w:rPr>
            </w:pPr>
            <w:r w:rsidRPr="008D65C3">
              <w:rPr>
                <w:rFonts w:cs="Arial"/>
                <w:sz w:val="20"/>
                <w:szCs w:val="20"/>
              </w:rPr>
              <w:t>S</w:t>
            </w:r>
            <w:r w:rsidR="00881432" w:rsidRPr="008D65C3">
              <w:rPr>
                <w:rFonts w:cs="Arial"/>
                <w:sz w:val="20"/>
                <w:szCs w:val="20"/>
              </w:rPr>
              <w:t>urface cover</w:t>
            </w:r>
            <w:r w:rsidRPr="008D65C3">
              <w:rPr>
                <w:rFonts w:cs="Arial"/>
                <w:sz w:val="20"/>
                <w:szCs w:val="20"/>
              </w:rPr>
              <w:t>, PPE</w:t>
            </w:r>
          </w:p>
        </w:tc>
        <w:tc>
          <w:tcPr>
            <w:tcW w:w="1313" w:type="dxa"/>
          </w:tcPr>
          <w:p w14:paraId="4622CCFA" w14:textId="77777777" w:rsidR="00881432" w:rsidRPr="008D65C3" w:rsidRDefault="00881432" w:rsidP="00840964">
            <w:pPr>
              <w:rPr>
                <w:rFonts w:cs="Arial"/>
                <w:sz w:val="20"/>
                <w:szCs w:val="20"/>
              </w:rPr>
            </w:pPr>
            <w:r w:rsidRPr="008D65C3">
              <w:rPr>
                <w:rFonts w:cs="Arial"/>
                <w:sz w:val="20"/>
                <w:szCs w:val="20"/>
              </w:rPr>
              <w:t>No</w:t>
            </w:r>
          </w:p>
        </w:tc>
      </w:tr>
      <w:tr w:rsidR="00881432" w:rsidRPr="008D65C3" w14:paraId="0A2140ED" w14:textId="77777777" w:rsidTr="00075B75">
        <w:tc>
          <w:tcPr>
            <w:tcW w:w="1528" w:type="dxa"/>
          </w:tcPr>
          <w:p w14:paraId="6C40C9C9" w14:textId="77777777" w:rsidR="00881432" w:rsidRPr="008D65C3" w:rsidRDefault="00881432" w:rsidP="002F3E4E">
            <w:pPr>
              <w:rPr>
                <w:rFonts w:cs="Arial"/>
                <w:bCs w:val="0"/>
                <w:sz w:val="20"/>
                <w:szCs w:val="20"/>
              </w:rPr>
            </w:pPr>
            <w:r w:rsidRPr="008D65C3">
              <w:rPr>
                <w:rFonts w:cs="Arial"/>
                <w:bCs w:val="0"/>
                <w:sz w:val="20"/>
                <w:szCs w:val="20"/>
              </w:rPr>
              <w:t>Ground</w:t>
            </w:r>
            <w:r w:rsidR="00FE18A0" w:rsidRPr="008D65C3">
              <w:rPr>
                <w:rFonts w:cs="Arial"/>
                <w:bCs w:val="0"/>
                <w:sz w:val="20"/>
                <w:szCs w:val="20"/>
              </w:rPr>
              <w:t>w</w:t>
            </w:r>
            <w:r w:rsidRPr="008D65C3">
              <w:rPr>
                <w:rFonts w:cs="Arial"/>
                <w:bCs w:val="0"/>
                <w:sz w:val="20"/>
                <w:szCs w:val="20"/>
              </w:rPr>
              <w:t xml:space="preserve">ater </w:t>
            </w:r>
          </w:p>
        </w:tc>
        <w:tc>
          <w:tcPr>
            <w:tcW w:w="1373" w:type="dxa"/>
          </w:tcPr>
          <w:p w14:paraId="0C8A16E3" w14:textId="77777777" w:rsidR="00881432" w:rsidRPr="008D65C3" w:rsidRDefault="00881432" w:rsidP="00840964">
            <w:pPr>
              <w:rPr>
                <w:rFonts w:cs="Arial"/>
                <w:sz w:val="20"/>
                <w:szCs w:val="20"/>
              </w:rPr>
            </w:pPr>
            <w:r w:rsidRPr="008D65C3">
              <w:rPr>
                <w:rFonts w:cs="Arial"/>
                <w:sz w:val="20"/>
                <w:szCs w:val="20"/>
              </w:rPr>
              <w:t>lead</w:t>
            </w:r>
            <w:r w:rsidRPr="008D65C3" w:rsidDel="004942CA">
              <w:rPr>
                <w:rFonts w:cs="Arial"/>
                <w:sz w:val="20"/>
                <w:szCs w:val="20"/>
              </w:rPr>
              <w:t xml:space="preserve"> </w:t>
            </w:r>
          </w:p>
        </w:tc>
        <w:tc>
          <w:tcPr>
            <w:tcW w:w="1494" w:type="dxa"/>
          </w:tcPr>
          <w:p w14:paraId="289CC77A" w14:textId="77777777" w:rsidR="00881432" w:rsidRPr="008D65C3" w:rsidRDefault="00881432" w:rsidP="00840964">
            <w:pPr>
              <w:rPr>
                <w:rFonts w:cs="Arial"/>
                <w:sz w:val="20"/>
                <w:szCs w:val="20"/>
              </w:rPr>
            </w:pPr>
            <w:r w:rsidRPr="008D65C3">
              <w:rPr>
                <w:rFonts w:cs="Arial"/>
                <w:sz w:val="20"/>
                <w:szCs w:val="20"/>
              </w:rPr>
              <w:t xml:space="preserve">40 </w:t>
            </w:r>
            <w:r w:rsidR="00027CF1" w:rsidRPr="008D65C3">
              <w:rPr>
                <w:rFonts w:cs="Arial"/>
                <w:sz w:val="20"/>
                <w:szCs w:val="20"/>
              </w:rPr>
              <w:t>µ</w:t>
            </w:r>
            <w:r w:rsidRPr="008D65C3">
              <w:rPr>
                <w:rFonts w:cs="Arial"/>
                <w:sz w:val="20"/>
                <w:szCs w:val="20"/>
              </w:rPr>
              <w:t>g/L</w:t>
            </w:r>
          </w:p>
        </w:tc>
        <w:tc>
          <w:tcPr>
            <w:tcW w:w="1168" w:type="dxa"/>
          </w:tcPr>
          <w:p w14:paraId="219D51F6" w14:textId="77777777" w:rsidR="00881432" w:rsidRPr="008D65C3" w:rsidRDefault="002F3E4E" w:rsidP="00840964">
            <w:pPr>
              <w:rPr>
                <w:rFonts w:cs="Arial"/>
                <w:sz w:val="20"/>
                <w:szCs w:val="20"/>
              </w:rPr>
            </w:pPr>
            <w:r w:rsidRPr="008D65C3">
              <w:rPr>
                <w:rFonts w:cs="Arial"/>
                <w:sz w:val="20"/>
                <w:szCs w:val="20"/>
              </w:rPr>
              <w:t>25</w:t>
            </w:r>
            <w:r w:rsidR="00881432" w:rsidRPr="008D65C3">
              <w:rPr>
                <w:rFonts w:cs="Arial"/>
                <w:sz w:val="20"/>
                <w:szCs w:val="20"/>
              </w:rPr>
              <w:t xml:space="preserve"> </w:t>
            </w:r>
            <w:r w:rsidR="00027CF1" w:rsidRPr="008D65C3">
              <w:rPr>
                <w:rFonts w:cs="Arial"/>
                <w:sz w:val="20"/>
                <w:szCs w:val="20"/>
              </w:rPr>
              <w:t>µ</w:t>
            </w:r>
            <w:r w:rsidR="00881432" w:rsidRPr="008D65C3">
              <w:rPr>
                <w:rFonts w:cs="Arial"/>
                <w:sz w:val="20"/>
                <w:szCs w:val="20"/>
              </w:rPr>
              <w:t>g/L</w:t>
            </w:r>
          </w:p>
        </w:tc>
        <w:tc>
          <w:tcPr>
            <w:tcW w:w="1091" w:type="dxa"/>
          </w:tcPr>
          <w:p w14:paraId="2B5E1E83" w14:textId="77777777" w:rsidR="00881432" w:rsidRPr="008D65C3" w:rsidRDefault="00E970DF" w:rsidP="00840964">
            <w:pPr>
              <w:rPr>
                <w:rFonts w:cs="Arial"/>
                <w:sz w:val="20"/>
                <w:szCs w:val="20"/>
              </w:rPr>
            </w:pPr>
            <w:r w:rsidRPr="008D65C3">
              <w:rPr>
                <w:rFonts w:cs="Arial"/>
                <w:sz w:val="20"/>
                <w:szCs w:val="20"/>
              </w:rPr>
              <w:t>4</w:t>
            </w:r>
            <w:r w:rsidR="00881432" w:rsidRPr="008D65C3">
              <w:rPr>
                <w:rFonts w:cs="Arial"/>
                <w:sz w:val="20"/>
                <w:szCs w:val="20"/>
              </w:rPr>
              <w:t xml:space="preserve">0 </w:t>
            </w:r>
            <w:r w:rsidR="00027CF1" w:rsidRPr="008D65C3">
              <w:rPr>
                <w:rFonts w:cs="Arial"/>
                <w:sz w:val="20"/>
                <w:szCs w:val="20"/>
              </w:rPr>
              <w:t>µ</w:t>
            </w:r>
            <w:r w:rsidR="00881432" w:rsidRPr="008D65C3">
              <w:rPr>
                <w:rFonts w:cs="Arial"/>
                <w:sz w:val="20"/>
                <w:szCs w:val="20"/>
              </w:rPr>
              <w:t>g/L</w:t>
            </w:r>
          </w:p>
        </w:tc>
        <w:tc>
          <w:tcPr>
            <w:tcW w:w="1212" w:type="dxa"/>
          </w:tcPr>
          <w:p w14:paraId="54C560C1" w14:textId="77777777" w:rsidR="00881432" w:rsidRPr="008D65C3" w:rsidRDefault="00881432" w:rsidP="00840964">
            <w:pPr>
              <w:rPr>
                <w:rFonts w:cs="Arial"/>
                <w:sz w:val="20"/>
                <w:szCs w:val="20"/>
              </w:rPr>
            </w:pPr>
            <w:r w:rsidRPr="008D65C3">
              <w:rPr>
                <w:rFonts w:cs="Arial"/>
                <w:sz w:val="20"/>
                <w:szCs w:val="20"/>
              </w:rPr>
              <w:t>Aquatic biota off</w:t>
            </w:r>
            <w:r w:rsidR="002E188A" w:rsidRPr="008D65C3">
              <w:rPr>
                <w:rFonts w:cs="Arial"/>
                <w:sz w:val="20"/>
                <w:szCs w:val="20"/>
              </w:rPr>
              <w:t>-</w:t>
            </w:r>
            <w:r w:rsidRPr="008D65C3">
              <w:rPr>
                <w:rFonts w:cs="Arial"/>
                <w:sz w:val="20"/>
                <w:szCs w:val="20"/>
              </w:rPr>
              <w:t>site</w:t>
            </w:r>
          </w:p>
        </w:tc>
        <w:tc>
          <w:tcPr>
            <w:tcW w:w="1599" w:type="dxa"/>
          </w:tcPr>
          <w:p w14:paraId="331DABCC" w14:textId="77777777" w:rsidR="00881432" w:rsidRPr="008D65C3" w:rsidRDefault="00881432" w:rsidP="00840964">
            <w:pPr>
              <w:rPr>
                <w:rFonts w:cs="Arial"/>
                <w:sz w:val="20"/>
                <w:szCs w:val="20"/>
              </w:rPr>
            </w:pPr>
            <w:r w:rsidRPr="008D65C3">
              <w:rPr>
                <w:rFonts w:cs="Arial"/>
                <w:sz w:val="20"/>
                <w:szCs w:val="20"/>
              </w:rPr>
              <w:t>No</w:t>
            </w:r>
          </w:p>
        </w:tc>
        <w:tc>
          <w:tcPr>
            <w:tcW w:w="1313" w:type="dxa"/>
          </w:tcPr>
          <w:p w14:paraId="1454893A" w14:textId="77777777" w:rsidR="00881432" w:rsidRPr="008D65C3" w:rsidRDefault="00DB095B" w:rsidP="00840964">
            <w:pPr>
              <w:rPr>
                <w:rFonts w:cs="Arial"/>
                <w:sz w:val="20"/>
                <w:szCs w:val="20"/>
              </w:rPr>
            </w:pPr>
            <w:r w:rsidRPr="008D65C3">
              <w:rPr>
                <w:rFonts w:cs="Arial"/>
                <w:sz w:val="20"/>
                <w:szCs w:val="20"/>
              </w:rPr>
              <w:t>Yes</w:t>
            </w:r>
          </w:p>
        </w:tc>
      </w:tr>
    </w:tbl>
    <w:p w14:paraId="38C4892F" w14:textId="77777777" w:rsidR="00A204EE" w:rsidRPr="008D65C3" w:rsidRDefault="00043B14" w:rsidP="00840964">
      <w:pPr>
        <w:rPr>
          <w:rFonts w:cs="Arial"/>
          <w:sz w:val="20"/>
          <w:szCs w:val="20"/>
        </w:rPr>
      </w:pPr>
      <w:r w:rsidRPr="008D65C3">
        <w:rPr>
          <w:rFonts w:cs="Arial"/>
          <w:b/>
          <w:sz w:val="20"/>
          <w:szCs w:val="20"/>
          <w:vertAlign w:val="superscript"/>
        </w:rPr>
        <w:lastRenderedPageBreak/>
        <w:t>1</w:t>
      </w:r>
      <w:r w:rsidR="00A204EE" w:rsidRPr="008D65C3">
        <w:rPr>
          <w:rFonts w:cs="Arial"/>
          <w:b/>
          <w:sz w:val="20"/>
          <w:szCs w:val="20"/>
        </w:rPr>
        <w:t>Table footnote</w:t>
      </w:r>
      <w:r w:rsidR="00A204EE" w:rsidRPr="008D65C3">
        <w:rPr>
          <w:rFonts w:cs="Arial"/>
          <w:sz w:val="20"/>
          <w:szCs w:val="20"/>
        </w:rPr>
        <w:t xml:space="preserve">: Table </w:t>
      </w:r>
      <w:r w:rsidR="00E970DF" w:rsidRPr="008D65C3">
        <w:rPr>
          <w:rFonts w:cs="Arial"/>
          <w:sz w:val="20"/>
          <w:szCs w:val="20"/>
        </w:rPr>
        <w:t>3</w:t>
      </w:r>
      <w:r w:rsidRPr="008D65C3">
        <w:rPr>
          <w:rFonts w:cs="Arial"/>
          <w:sz w:val="20"/>
          <w:szCs w:val="20"/>
        </w:rPr>
        <w:t xml:space="preserve"> </w:t>
      </w:r>
      <w:r w:rsidR="00A204EE" w:rsidRPr="008D65C3">
        <w:rPr>
          <w:rFonts w:cs="Arial"/>
          <w:sz w:val="20"/>
          <w:szCs w:val="20"/>
        </w:rPr>
        <w:t xml:space="preserve">in the </w:t>
      </w:r>
      <w:r w:rsidRPr="008D65C3">
        <w:rPr>
          <w:rFonts w:cs="Arial"/>
          <w:sz w:val="20"/>
          <w:szCs w:val="20"/>
        </w:rPr>
        <w:t>document “Soil, Ground Water and Sediment Standards for Use Under Part XV.1 of the Environmental Protection Act</w:t>
      </w:r>
      <w:r w:rsidR="008C190F" w:rsidRPr="008D65C3">
        <w:rPr>
          <w:rFonts w:cs="Arial"/>
          <w:sz w:val="20"/>
          <w:szCs w:val="20"/>
        </w:rPr>
        <w:t>”</w:t>
      </w:r>
      <w:r w:rsidR="002F3E4E" w:rsidRPr="008D65C3">
        <w:rPr>
          <w:rFonts w:cs="Arial"/>
          <w:sz w:val="20"/>
          <w:szCs w:val="20"/>
        </w:rPr>
        <w:t>, dated April 15, 2011, for I/C/C use and coarse textured soil</w:t>
      </w:r>
      <w:r w:rsidR="00D85A32" w:rsidRPr="008D65C3">
        <w:rPr>
          <w:rFonts w:cs="Arial"/>
          <w:sz w:val="20"/>
          <w:szCs w:val="20"/>
        </w:rPr>
        <w:t>.</w:t>
      </w:r>
    </w:p>
    <w:p w14:paraId="66CF95AE" w14:textId="18B4B65F" w:rsidR="0041605B" w:rsidRPr="003A7891" w:rsidRDefault="0041605B" w:rsidP="0041605B">
      <w:pPr>
        <w:rPr>
          <w:rFonts w:cs="Arial"/>
        </w:rPr>
      </w:pPr>
      <w:r w:rsidRPr="008D65C3">
        <w:rPr>
          <w:rFonts w:cs="Arial"/>
        </w:rPr>
        <w:t>Special considerations may apply if the risk assessment determines that existing contaminant concentrations on</w:t>
      </w:r>
      <w:r w:rsidR="00A87E11" w:rsidRPr="008D65C3">
        <w:rPr>
          <w:rFonts w:cs="Arial"/>
        </w:rPr>
        <w:t>, in</w:t>
      </w:r>
      <w:r w:rsidR="006D2338" w:rsidRPr="008D65C3">
        <w:rPr>
          <w:rFonts w:cs="Arial"/>
        </w:rPr>
        <w:t xml:space="preserve"> or under</w:t>
      </w:r>
      <w:r w:rsidRPr="008D65C3">
        <w:rPr>
          <w:rFonts w:cs="Arial"/>
        </w:rPr>
        <w:t xml:space="preserve"> the </w:t>
      </w:r>
      <w:r w:rsidRPr="003A7891">
        <w:rPr>
          <w:rFonts w:cs="Arial"/>
        </w:rPr>
        <w:t>property present acceptable or negligible risk. The QP</w:t>
      </w:r>
      <w:r w:rsidRPr="003A7891">
        <w:rPr>
          <w:rFonts w:cs="Arial"/>
          <w:vertAlign w:val="subscript"/>
        </w:rPr>
        <w:t>RA</w:t>
      </w:r>
      <w:r w:rsidRPr="003A7891">
        <w:rPr>
          <w:rFonts w:cs="Arial"/>
        </w:rPr>
        <w:t xml:space="preserve"> can propose </w:t>
      </w:r>
      <w:r w:rsidR="0042332B" w:rsidRPr="003A7891">
        <w:rPr>
          <w:rFonts w:cs="Arial"/>
        </w:rPr>
        <w:t xml:space="preserve">either </w:t>
      </w:r>
      <w:r w:rsidRPr="003A7891">
        <w:rPr>
          <w:rFonts w:cs="Arial"/>
        </w:rPr>
        <w:t>the maximum site concentration (measured or estimated) as the property</w:t>
      </w:r>
      <w:r w:rsidR="004031C1" w:rsidRPr="003A7891">
        <w:rPr>
          <w:rFonts w:cs="Arial"/>
        </w:rPr>
        <w:t xml:space="preserve"> s</w:t>
      </w:r>
      <w:r w:rsidRPr="003A7891">
        <w:rPr>
          <w:rFonts w:cs="Arial"/>
        </w:rPr>
        <w:t xml:space="preserve">pecific standard, or the </w:t>
      </w:r>
      <w:r w:rsidR="000F335C" w:rsidRPr="003A7891">
        <w:rPr>
          <w:rFonts w:cs="Arial"/>
        </w:rPr>
        <w:t>concentration below</w:t>
      </w:r>
      <w:r w:rsidRPr="003A7891">
        <w:rPr>
          <w:rFonts w:cs="Arial"/>
        </w:rPr>
        <w:t xml:space="preserve"> which adverse effects </w:t>
      </w:r>
      <w:r w:rsidR="000F335C" w:rsidRPr="003A7891">
        <w:rPr>
          <w:rFonts w:cs="Arial"/>
        </w:rPr>
        <w:t>would not</w:t>
      </w:r>
      <w:r w:rsidRPr="003A7891">
        <w:rPr>
          <w:rFonts w:cs="Arial"/>
        </w:rPr>
        <w:t xml:space="preserve"> occur</w:t>
      </w:r>
      <w:r w:rsidR="00E970DF" w:rsidRPr="003A7891">
        <w:rPr>
          <w:rFonts w:cs="Arial"/>
        </w:rPr>
        <w:t xml:space="preserve"> (effects-based </w:t>
      </w:r>
      <w:r w:rsidR="002F3E4E" w:rsidRPr="003A7891">
        <w:rPr>
          <w:rFonts w:cs="Arial"/>
        </w:rPr>
        <w:t xml:space="preserve">or risk-based </w:t>
      </w:r>
      <w:r w:rsidR="00E970DF" w:rsidRPr="003A7891">
        <w:rPr>
          <w:rFonts w:cs="Arial"/>
        </w:rPr>
        <w:t>standard)</w:t>
      </w:r>
      <w:r w:rsidRPr="003A7891">
        <w:rPr>
          <w:rFonts w:cs="Arial"/>
        </w:rPr>
        <w:t xml:space="preserve">, </w:t>
      </w:r>
      <w:r w:rsidR="000F335C" w:rsidRPr="003A7891">
        <w:rPr>
          <w:rFonts w:cs="Arial"/>
        </w:rPr>
        <w:t>as predicted by the risk assessment. In either case the</w:t>
      </w:r>
      <w:r w:rsidRPr="003A7891">
        <w:rPr>
          <w:rFonts w:cs="Arial"/>
        </w:rPr>
        <w:t xml:space="preserve"> concentration </w:t>
      </w:r>
      <w:r w:rsidR="0042332B" w:rsidRPr="003A7891">
        <w:rPr>
          <w:rFonts w:cs="Arial"/>
        </w:rPr>
        <w:t xml:space="preserve">proposed as </w:t>
      </w:r>
      <w:r w:rsidR="000F335C" w:rsidRPr="003A7891">
        <w:rPr>
          <w:rFonts w:cs="Arial"/>
        </w:rPr>
        <w:t>the</w:t>
      </w:r>
      <w:r w:rsidR="0042332B" w:rsidRPr="003A7891">
        <w:rPr>
          <w:rFonts w:cs="Arial"/>
        </w:rPr>
        <w:t xml:space="preserve"> standard </w:t>
      </w:r>
      <w:r w:rsidR="000F335C" w:rsidRPr="003A7891">
        <w:rPr>
          <w:rFonts w:cs="Arial"/>
        </w:rPr>
        <w:t xml:space="preserve">must be </w:t>
      </w:r>
      <w:r w:rsidRPr="003A7891">
        <w:rPr>
          <w:rFonts w:cs="Arial"/>
        </w:rPr>
        <w:t xml:space="preserve">evaluated </w:t>
      </w:r>
      <w:r w:rsidR="000F335C" w:rsidRPr="003A7891">
        <w:rPr>
          <w:rFonts w:cs="Arial"/>
        </w:rPr>
        <w:t xml:space="preserve">explicitly </w:t>
      </w:r>
      <w:r w:rsidRPr="003A7891">
        <w:rPr>
          <w:rFonts w:cs="Arial"/>
        </w:rPr>
        <w:t>in the risk assessment</w:t>
      </w:r>
      <w:r w:rsidR="00925F35" w:rsidRPr="003A7891">
        <w:rPr>
          <w:rFonts w:cs="Arial"/>
        </w:rPr>
        <w:t>,</w:t>
      </w:r>
      <w:r w:rsidRPr="003A7891">
        <w:rPr>
          <w:rFonts w:cs="Arial"/>
        </w:rPr>
        <w:t xml:space="preserve"> </w:t>
      </w:r>
      <w:r w:rsidR="00925F35" w:rsidRPr="003A7891">
        <w:rPr>
          <w:rFonts w:cs="Arial"/>
        </w:rPr>
        <w:t>as the QP</w:t>
      </w:r>
      <w:r w:rsidR="00925F35" w:rsidRPr="003A7891">
        <w:rPr>
          <w:rFonts w:cs="Arial"/>
          <w:vertAlign w:val="subscript"/>
        </w:rPr>
        <w:t>ESA</w:t>
      </w:r>
      <w:r w:rsidR="00925F35" w:rsidRPr="003A7891">
        <w:rPr>
          <w:rFonts w:cs="Arial"/>
        </w:rPr>
        <w:t xml:space="preserve"> will be required to certify in the RSC that in their opinion, there is no evidence of any contaminants in, on or under the RSC property that would interfere with the proposed use of the property.</w:t>
      </w:r>
    </w:p>
    <w:p w14:paraId="44AE2A99" w14:textId="61E88A98" w:rsidR="002905F1" w:rsidRPr="003A7891" w:rsidRDefault="002900CB" w:rsidP="00DE496B">
      <w:pPr>
        <w:pStyle w:val="Heading3"/>
        <w:rPr>
          <w:rFonts w:cs="Arial"/>
        </w:rPr>
      </w:pPr>
      <w:bookmarkStart w:id="117" w:name="_Toc41905666"/>
      <w:r w:rsidRPr="003A7891">
        <w:rPr>
          <w:rFonts w:cs="Arial"/>
        </w:rPr>
        <w:t xml:space="preserve">Proposing </w:t>
      </w:r>
      <w:r w:rsidR="00AF70E0" w:rsidRPr="003A7891">
        <w:rPr>
          <w:rFonts w:cs="Arial"/>
        </w:rPr>
        <w:t>E</w:t>
      </w:r>
      <w:r w:rsidR="002905F1" w:rsidRPr="003A7891">
        <w:rPr>
          <w:rFonts w:cs="Arial"/>
        </w:rPr>
        <w:t xml:space="preserve">xcessively </w:t>
      </w:r>
      <w:r w:rsidR="00AF70E0" w:rsidRPr="003A7891">
        <w:rPr>
          <w:rFonts w:cs="Arial"/>
        </w:rPr>
        <w:t>H</w:t>
      </w:r>
      <w:r w:rsidR="002905F1" w:rsidRPr="003A7891">
        <w:rPr>
          <w:rFonts w:cs="Arial"/>
        </w:rPr>
        <w:t xml:space="preserve">igh </w:t>
      </w:r>
      <w:r w:rsidR="00AF70E0" w:rsidRPr="003A7891">
        <w:rPr>
          <w:rFonts w:cs="Arial"/>
        </w:rPr>
        <w:t>P</w:t>
      </w:r>
      <w:r w:rsidR="002905F1" w:rsidRPr="003A7891">
        <w:rPr>
          <w:rFonts w:cs="Arial"/>
        </w:rPr>
        <w:t xml:space="preserve">roperty </w:t>
      </w:r>
      <w:r w:rsidR="00AF70E0" w:rsidRPr="003A7891">
        <w:rPr>
          <w:rFonts w:cs="Arial"/>
        </w:rPr>
        <w:t>S</w:t>
      </w:r>
      <w:r w:rsidR="002905F1" w:rsidRPr="003A7891">
        <w:rPr>
          <w:rFonts w:cs="Arial"/>
        </w:rPr>
        <w:t xml:space="preserve">pecific </w:t>
      </w:r>
      <w:r w:rsidR="00AF70E0" w:rsidRPr="003A7891">
        <w:rPr>
          <w:rFonts w:cs="Arial"/>
        </w:rPr>
        <w:t>S</w:t>
      </w:r>
      <w:r w:rsidR="002905F1" w:rsidRPr="003A7891">
        <w:rPr>
          <w:rFonts w:cs="Arial"/>
        </w:rPr>
        <w:t>tandards</w:t>
      </w:r>
      <w:bookmarkEnd w:id="117"/>
    </w:p>
    <w:p w14:paraId="68A5091F" w14:textId="56098257" w:rsidR="004A767C" w:rsidRPr="003A7891" w:rsidRDefault="000F335C" w:rsidP="004A767C">
      <w:pPr>
        <w:rPr>
          <w:rFonts w:cs="Arial"/>
          <w:bCs w:val="0"/>
          <w:lang w:val="en-GB"/>
        </w:rPr>
      </w:pPr>
      <w:r w:rsidRPr="003A7891">
        <w:rPr>
          <w:rFonts w:cs="Arial"/>
          <w:bCs w:val="0"/>
        </w:rPr>
        <w:t xml:space="preserve">For the purpose of clear communication to public stakeholders through the </w:t>
      </w:r>
      <w:r w:rsidR="002905F1" w:rsidRPr="003A7891">
        <w:rPr>
          <w:rFonts w:cs="Arial"/>
          <w:bCs w:val="0"/>
        </w:rPr>
        <w:t>Environmental Site Registry</w:t>
      </w:r>
      <w:r w:rsidRPr="003A7891">
        <w:rPr>
          <w:rFonts w:cs="Arial"/>
          <w:bCs w:val="0"/>
        </w:rPr>
        <w:t>, t</w:t>
      </w:r>
      <w:r w:rsidR="0041605B" w:rsidRPr="003A7891">
        <w:rPr>
          <w:rFonts w:cs="Arial"/>
          <w:bCs w:val="0"/>
        </w:rPr>
        <w:t xml:space="preserve">he </w:t>
      </w:r>
      <w:r w:rsidR="00657FDB" w:rsidRPr="003A7891">
        <w:rPr>
          <w:rFonts w:cs="Arial"/>
          <w:bCs w:val="0"/>
        </w:rPr>
        <w:t>M</w:t>
      </w:r>
      <w:r w:rsidR="0041605B" w:rsidRPr="003A7891">
        <w:rPr>
          <w:rFonts w:cs="Arial"/>
          <w:bCs w:val="0"/>
        </w:rPr>
        <w:t xml:space="preserve">inistry expects </w:t>
      </w:r>
      <w:r w:rsidRPr="003A7891">
        <w:rPr>
          <w:rFonts w:cs="Arial"/>
          <w:bCs w:val="0"/>
        </w:rPr>
        <w:t xml:space="preserve">that </w:t>
      </w:r>
      <w:r w:rsidR="0041605B" w:rsidRPr="003A7891">
        <w:rPr>
          <w:rFonts w:cs="Arial"/>
          <w:bCs w:val="0"/>
        </w:rPr>
        <w:t>the proposed standard will not exceed a reasonable upper estimate of the actual concentrations remaining on</w:t>
      </w:r>
      <w:r w:rsidR="00A87E11" w:rsidRPr="003A7891">
        <w:rPr>
          <w:rFonts w:cs="Arial"/>
          <w:bCs w:val="0"/>
        </w:rPr>
        <w:t>, in</w:t>
      </w:r>
      <w:r w:rsidR="006D2338" w:rsidRPr="003A7891">
        <w:rPr>
          <w:rFonts w:cs="Arial"/>
          <w:bCs w:val="0"/>
        </w:rPr>
        <w:t xml:space="preserve"> or under</w:t>
      </w:r>
      <w:r w:rsidR="0041605B" w:rsidRPr="003A7891">
        <w:rPr>
          <w:rFonts w:cs="Arial"/>
          <w:bCs w:val="0"/>
        </w:rPr>
        <w:t xml:space="preserve"> the property at the time the standards are to be used to </w:t>
      </w:r>
      <w:r w:rsidR="00925F35" w:rsidRPr="003A7891">
        <w:rPr>
          <w:rFonts w:cs="Arial"/>
          <w:bCs w:val="0"/>
        </w:rPr>
        <w:t>submit</w:t>
      </w:r>
      <w:r w:rsidR="0041605B" w:rsidRPr="003A7891">
        <w:rPr>
          <w:rFonts w:cs="Arial"/>
          <w:bCs w:val="0"/>
        </w:rPr>
        <w:t xml:space="preserve"> a</w:t>
      </w:r>
      <w:r w:rsidR="00957636" w:rsidRPr="003A7891">
        <w:rPr>
          <w:rFonts w:cs="Arial"/>
          <w:bCs w:val="0"/>
        </w:rPr>
        <w:t>n</w:t>
      </w:r>
      <w:r w:rsidR="0041605B" w:rsidRPr="003A7891">
        <w:rPr>
          <w:rFonts w:cs="Arial"/>
          <w:bCs w:val="0"/>
        </w:rPr>
        <w:t xml:space="preserve"> RSC</w:t>
      </w:r>
      <w:r w:rsidR="00925F35" w:rsidRPr="003A7891">
        <w:rPr>
          <w:rFonts w:cs="Arial"/>
          <w:bCs w:val="0"/>
        </w:rPr>
        <w:t xml:space="preserve"> for filing</w:t>
      </w:r>
      <w:r w:rsidRPr="003A7891">
        <w:rPr>
          <w:rFonts w:cs="Arial"/>
          <w:bCs w:val="0"/>
        </w:rPr>
        <w:t xml:space="preserve">. The </w:t>
      </w:r>
      <w:r w:rsidR="00657FDB" w:rsidRPr="003A7891">
        <w:rPr>
          <w:rFonts w:cs="Arial"/>
          <w:bCs w:val="0"/>
        </w:rPr>
        <w:t>M</w:t>
      </w:r>
      <w:r w:rsidRPr="003A7891">
        <w:rPr>
          <w:rFonts w:cs="Arial"/>
          <w:bCs w:val="0"/>
        </w:rPr>
        <w:t xml:space="preserve">inistry also expects </w:t>
      </w:r>
      <w:r w:rsidR="0041605B" w:rsidRPr="003A7891">
        <w:rPr>
          <w:rFonts w:cs="Arial"/>
          <w:bCs w:val="0"/>
        </w:rPr>
        <w:t xml:space="preserve">that the proposed </w:t>
      </w:r>
      <w:r w:rsidR="00925F35" w:rsidRPr="003A7891">
        <w:rPr>
          <w:rFonts w:cs="Arial"/>
          <w:bCs w:val="0"/>
        </w:rPr>
        <w:t xml:space="preserve">property specific </w:t>
      </w:r>
      <w:r w:rsidR="0041605B" w:rsidRPr="003A7891">
        <w:rPr>
          <w:rFonts w:cs="Arial"/>
          <w:bCs w:val="0"/>
        </w:rPr>
        <w:t xml:space="preserve">standard will respect </w:t>
      </w:r>
      <w:r w:rsidR="004A767C" w:rsidRPr="003A7891">
        <w:rPr>
          <w:rFonts w:cs="Arial"/>
          <w:bCs w:val="0"/>
        </w:rPr>
        <w:t xml:space="preserve">public expectations regarding aesthetics (taste, </w:t>
      </w:r>
      <w:proofErr w:type="spellStart"/>
      <w:r w:rsidR="004A767C" w:rsidRPr="003A7891">
        <w:rPr>
          <w:rFonts w:cs="Arial"/>
          <w:bCs w:val="0"/>
        </w:rPr>
        <w:t>odour</w:t>
      </w:r>
      <w:proofErr w:type="spellEnd"/>
      <w:r w:rsidR="004A767C" w:rsidRPr="003A7891">
        <w:rPr>
          <w:rFonts w:cs="Arial"/>
          <w:bCs w:val="0"/>
        </w:rPr>
        <w:t>, visibility)</w:t>
      </w:r>
      <w:r w:rsidR="00925F35" w:rsidRPr="003A7891">
        <w:rPr>
          <w:rFonts w:cs="Arial"/>
          <w:bCs w:val="0"/>
        </w:rPr>
        <w:t xml:space="preserve"> and be </w:t>
      </w:r>
      <w:r w:rsidR="004A767C" w:rsidRPr="003A7891">
        <w:rPr>
          <w:rFonts w:cs="Arial"/>
          <w:bCs w:val="0"/>
          <w:lang w:val="en-GB"/>
        </w:rPr>
        <w:t>physically possible (</w:t>
      </w:r>
      <w:r w:rsidR="00925F35" w:rsidRPr="003A7891">
        <w:rPr>
          <w:rFonts w:cs="Arial"/>
          <w:bCs w:val="0"/>
          <w:lang w:val="en-GB"/>
        </w:rPr>
        <w:t xml:space="preserve">i.e. not be </w:t>
      </w:r>
      <w:r w:rsidR="004A767C" w:rsidRPr="003A7891">
        <w:rPr>
          <w:rFonts w:cs="Arial"/>
          <w:bCs w:val="0"/>
          <w:lang w:val="en-GB"/>
        </w:rPr>
        <w:t>greater than 100%</w:t>
      </w:r>
      <w:r w:rsidR="00D0168C" w:rsidRPr="003A7891">
        <w:rPr>
          <w:rFonts w:cs="Arial"/>
          <w:bCs w:val="0"/>
          <w:lang w:val="en-GB"/>
        </w:rPr>
        <w:t>, that is</w:t>
      </w:r>
      <w:r w:rsidR="00925F35" w:rsidRPr="003A7891">
        <w:rPr>
          <w:rFonts w:cs="Arial"/>
          <w:bCs w:val="0"/>
          <w:lang w:val="en-GB"/>
        </w:rPr>
        <w:t>,</w:t>
      </w:r>
      <w:r w:rsidR="00D0168C" w:rsidRPr="003A7891">
        <w:rPr>
          <w:rFonts w:cs="Arial"/>
          <w:bCs w:val="0"/>
          <w:lang w:val="en-GB"/>
        </w:rPr>
        <w:t xml:space="preserve"> </w:t>
      </w:r>
      <w:r w:rsidR="004A767C" w:rsidRPr="003A7891">
        <w:rPr>
          <w:rFonts w:cs="Arial"/>
          <w:bCs w:val="0"/>
          <w:lang w:val="en-GB"/>
        </w:rPr>
        <w:t>pure chemical compound)</w:t>
      </w:r>
      <w:r w:rsidR="00925F35" w:rsidRPr="003A7891">
        <w:rPr>
          <w:rFonts w:cs="Arial"/>
          <w:bCs w:val="0"/>
          <w:lang w:val="en-GB"/>
        </w:rPr>
        <w:t xml:space="preserve">. </w:t>
      </w:r>
      <w:r w:rsidR="00925F35" w:rsidRPr="003A7891">
        <w:rPr>
          <w:rFonts w:cs="Arial"/>
          <w:bCs w:val="0"/>
        </w:rPr>
        <w:t xml:space="preserve">These principles are </w:t>
      </w:r>
      <w:r w:rsidR="00AE5710" w:rsidRPr="003A7891">
        <w:rPr>
          <w:rFonts w:cs="Arial"/>
          <w:bCs w:val="0"/>
        </w:rPr>
        <w:t>important for</w:t>
      </w:r>
      <w:r w:rsidR="002905F1" w:rsidRPr="003A7891">
        <w:rPr>
          <w:rFonts w:cs="Arial"/>
          <w:bCs w:val="0"/>
        </w:rPr>
        <w:t xml:space="preserve"> foster</w:t>
      </w:r>
      <w:r w:rsidR="00AE5710" w:rsidRPr="003A7891">
        <w:rPr>
          <w:rFonts w:cs="Arial"/>
          <w:bCs w:val="0"/>
        </w:rPr>
        <w:t>ing</w:t>
      </w:r>
      <w:r w:rsidR="002905F1" w:rsidRPr="003A7891">
        <w:rPr>
          <w:rFonts w:cs="Arial"/>
          <w:bCs w:val="0"/>
        </w:rPr>
        <w:t xml:space="preserve"> public and commercial confidence in the risk assessment process.</w:t>
      </w:r>
    </w:p>
    <w:p w14:paraId="1E5BC66D" w14:textId="42F276B6" w:rsidR="002905F1" w:rsidRPr="003A7891" w:rsidRDefault="000F335C" w:rsidP="004A767C">
      <w:pPr>
        <w:rPr>
          <w:rFonts w:cs="Arial"/>
          <w:bCs w:val="0"/>
          <w:lang w:val="en-GB"/>
        </w:rPr>
      </w:pPr>
      <w:r w:rsidRPr="003A7891">
        <w:rPr>
          <w:rFonts w:cs="Arial"/>
          <w:bCs w:val="0"/>
          <w:lang w:val="en-GB"/>
        </w:rPr>
        <w:t>For clarity in the risk assessment review process, i</w:t>
      </w:r>
      <w:r w:rsidR="004A767C" w:rsidRPr="003A7891">
        <w:rPr>
          <w:rFonts w:cs="Arial"/>
          <w:bCs w:val="0"/>
          <w:lang w:val="en-GB"/>
        </w:rPr>
        <w:t xml:space="preserve">t is the </w:t>
      </w:r>
      <w:r w:rsidR="00657FDB" w:rsidRPr="003A7891">
        <w:rPr>
          <w:rFonts w:cs="Arial"/>
          <w:bCs w:val="0"/>
          <w:lang w:val="en-GB"/>
        </w:rPr>
        <w:t>M</w:t>
      </w:r>
      <w:r w:rsidR="004A767C" w:rsidRPr="003A7891">
        <w:rPr>
          <w:rFonts w:cs="Arial"/>
          <w:bCs w:val="0"/>
          <w:lang w:val="en-GB"/>
        </w:rPr>
        <w:t>inistry’s preference that the standard specified in a risk assessment be no greater than an estimate (</w:t>
      </w:r>
      <w:r w:rsidR="008A792B" w:rsidRPr="003A7891">
        <w:rPr>
          <w:rFonts w:cs="Arial"/>
          <w:bCs w:val="0"/>
          <w:lang w:val="en-GB"/>
        </w:rPr>
        <w:t>e.g.</w:t>
      </w:r>
      <w:r w:rsidR="004A767C" w:rsidRPr="003A7891">
        <w:rPr>
          <w:rFonts w:cs="Arial"/>
          <w:bCs w:val="0"/>
          <w:lang w:val="en-GB"/>
        </w:rPr>
        <w:t xml:space="preserve"> based on measured </w:t>
      </w:r>
      <w:r w:rsidR="00AE5710" w:rsidRPr="003A7891">
        <w:rPr>
          <w:rFonts w:cs="Arial"/>
          <w:bCs w:val="0"/>
          <w:lang w:val="en-GB"/>
        </w:rPr>
        <w:t xml:space="preserve">sample </w:t>
      </w:r>
      <w:r w:rsidR="004A767C" w:rsidRPr="003A7891">
        <w:rPr>
          <w:rFonts w:cs="Arial"/>
          <w:bCs w:val="0"/>
          <w:lang w:val="en-GB"/>
        </w:rPr>
        <w:t>variance) of the maximum concentration existing on</w:t>
      </w:r>
      <w:r w:rsidR="00A87E11" w:rsidRPr="003A7891">
        <w:rPr>
          <w:rFonts w:cs="Arial"/>
          <w:bCs w:val="0"/>
          <w:lang w:val="en-GB"/>
        </w:rPr>
        <w:t>, in</w:t>
      </w:r>
      <w:r w:rsidR="004A767C" w:rsidRPr="003A7891">
        <w:rPr>
          <w:rFonts w:cs="Arial"/>
          <w:bCs w:val="0"/>
          <w:lang w:val="en-GB"/>
        </w:rPr>
        <w:t xml:space="preserve"> </w:t>
      </w:r>
      <w:r w:rsidR="006D2338" w:rsidRPr="003A7891">
        <w:rPr>
          <w:rFonts w:cs="Arial"/>
          <w:bCs w:val="0"/>
          <w:lang w:val="en-GB"/>
        </w:rPr>
        <w:t xml:space="preserve">or under </w:t>
      </w:r>
      <w:r w:rsidR="004A767C" w:rsidRPr="003A7891">
        <w:rPr>
          <w:rFonts w:cs="Arial"/>
          <w:bCs w:val="0"/>
          <w:lang w:val="en-GB"/>
        </w:rPr>
        <w:t xml:space="preserve">the property at the time of undertaking the risk assessment. </w:t>
      </w:r>
      <w:r w:rsidR="00B163C2" w:rsidRPr="003A7891">
        <w:rPr>
          <w:rFonts w:cs="Arial"/>
          <w:bCs w:val="0"/>
          <w:lang w:val="en-GB"/>
        </w:rPr>
        <w:t xml:space="preserve">For </w:t>
      </w:r>
      <w:r w:rsidR="000E0192" w:rsidRPr="003A7891">
        <w:rPr>
          <w:rFonts w:cs="Arial"/>
          <w:bCs w:val="0"/>
          <w:lang w:val="en-GB"/>
        </w:rPr>
        <w:t>example,</w:t>
      </w:r>
      <w:r w:rsidR="00B163C2" w:rsidRPr="003A7891">
        <w:rPr>
          <w:rFonts w:cs="Arial"/>
          <w:bCs w:val="0"/>
          <w:lang w:val="en-GB"/>
        </w:rPr>
        <w:t xml:space="preserve"> in </w:t>
      </w:r>
      <w:r w:rsidR="00464152" w:rsidRPr="003A7891">
        <w:rPr>
          <w:rFonts w:cs="Arial"/>
          <w:bCs w:val="0"/>
          <w:lang w:val="en-GB"/>
        </w:rPr>
        <w:t>Tier 2</w:t>
      </w:r>
      <w:r w:rsidR="000E0192" w:rsidRPr="003A7891">
        <w:rPr>
          <w:rFonts w:cs="Arial"/>
          <w:bCs w:val="0"/>
          <w:lang w:val="en-GB"/>
        </w:rPr>
        <w:t xml:space="preserve"> </w:t>
      </w:r>
      <w:r w:rsidR="002B4755" w:rsidRPr="003A7891">
        <w:rPr>
          <w:rFonts w:cs="Arial"/>
          <w:bCs w:val="0"/>
          <w:lang w:val="en-GB"/>
        </w:rPr>
        <w:t xml:space="preserve">risk assessments, </w:t>
      </w:r>
      <w:r w:rsidR="00464152" w:rsidRPr="003A7891">
        <w:rPr>
          <w:rFonts w:cs="Arial"/>
          <w:bCs w:val="0"/>
          <w:lang w:val="en-GB"/>
        </w:rPr>
        <w:t xml:space="preserve">the approved model does not allow </w:t>
      </w:r>
      <w:r w:rsidR="000E0192" w:rsidRPr="003A7891">
        <w:rPr>
          <w:rFonts w:cs="Arial"/>
          <w:bCs w:val="0"/>
          <w:lang w:val="en-GB"/>
        </w:rPr>
        <w:t>the property specific standard</w:t>
      </w:r>
      <w:r w:rsidR="00B163C2" w:rsidRPr="003A7891">
        <w:rPr>
          <w:rFonts w:cs="Arial"/>
          <w:bCs w:val="0"/>
          <w:lang w:val="en-GB"/>
        </w:rPr>
        <w:t xml:space="preserve"> </w:t>
      </w:r>
      <w:r w:rsidR="00464152" w:rsidRPr="003A7891">
        <w:rPr>
          <w:rFonts w:cs="Arial"/>
          <w:bCs w:val="0"/>
          <w:lang w:val="en-GB"/>
        </w:rPr>
        <w:t>to</w:t>
      </w:r>
      <w:r w:rsidR="00B163C2" w:rsidRPr="003A7891">
        <w:rPr>
          <w:rFonts w:cs="Arial"/>
          <w:bCs w:val="0"/>
          <w:lang w:val="en-GB"/>
        </w:rPr>
        <w:t xml:space="preserve"> exceed the maximum measured concentration plus 20%</w:t>
      </w:r>
      <w:r w:rsidR="004E5E36" w:rsidRPr="003A7891">
        <w:rPr>
          <w:rFonts w:cs="Arial"/>
          <w:bCs w:val="0"/>
          <w:lang w:val="en-GB"/>
        </w:rPr>
        <w:t xml:space="preserve">; this same approach can also be adopted in Tier 3 </w:t>
      </w:r>
      <w:r w:rsidR="002B4755" w:rsidRPr="003A7891">
        <w:rPr>
          <w:rFonts w:cs="Arial"/>
          <w:bCs w:val="0"/>
          <w:lang w:val="en-GB"/>
        </w:rPr>
        <w:t>risk assessment</w:t>
      </w:r>
      <w:r w:rsidR="004E5E36" w:rsidRPr="003A7891">
        <w:rPr>
          <w:rFonts w:cs="Arial"/>
          <w:bCs w:val="0"/>
          <w:lang w:val="en-GB"/>
        </w:rPr>
        <w:t>s.</w:t>
      </w:r>
    </w:p>
    <w:p w14:paraId="41D8071C" w14:textId="5B0A5733" w:rsidR="00664273" w:rsidRPr="003A7891" w:rsidRDefault="00BC46CD" w:rsidP="004A767C">
      <w:pPr>
        <w:rPr>
          <w:rFonts w:cs="Arial"/>
          <w:bCs w:val="0"/>
          <w:lang w:val="en-GB"/>
        </w:rPr>
      </w:pPr>
      <w:r w:rsidRPr="003A7891">
        <w:rPr>
          <w:rFonts w:cs="Arial"/>
          <w:bCs w:val="0"/>
          <w:lang w:val="en-GB"/>
        </w:rPr>
        <w:t xml:space="preserve">If a standard specified in a risk assessment </w:t>
      </w:r>
      <w:r w:rsidR="002905F1" w:rsidRPr="003A7891">
        <w:rPr>
          <w:rFonts w:cs="Arial"/>
          <w:bCs w:val="0"/>
          <w:lang w:val="en-GB"/>
        </w:rPr>
        <w:t xml:space="preserve">exceeds </w:t>
      </w:r>
      <w:r w:rsidRPr="003A7891">
        <w:rPr>
          <w:rFonts w:cs="Arial"/>
          <w:bCs w:val="0"/>
          <w:lang w:val="en-GB"/>
        </w:rPr>
        <w:t>the</w:t>
      </w:r>
      <w:r w:rsidRPr="008D65C3">
        <w:rPr>
          <w:rFonts w:cs="Arial"/>
          <w:bCs w:val="0"/>
          <w:lang w:val="en-GB"/>
        </w:rPr>
        <w:t xml:space="preserve"> </w:t>
      </w:r>
      <w:r w:rsidR="003441B4" w:rsidRPr="008D65C3">
        <w:rPr>
          <w:rFonts w:cs="Arial"/>
          <w:bCs w:val="0"/>
          <w:lang w:val="en-GB"/>
        </w:rPr>
        <w:t>maximum concentration</w:t>
      </w:r>
      <w:r w:rsidR="002905F1" w:rsidRPr="008D65C3">
        <w:rPr>
          <w:rFonts w:cs="Arial"/>
          <w:bCs w:val="0"/>
          <w:lang w:val="en-GB"/>
        </w:rPr>
        <w:t xml:space="preserve"> </w:t>
      </w:r>
      <w:r w:rsidR="000C1A90" w:rsidRPr="008D65C3">
        <w:rPr>
          <w:rFonts w:cs="Arial"/>
          <w:bCs w:val="0"/>
          <w:lang w:val="en-GB"/>
        </w:rPr>
        <w:t>on</w:t>
      </w:r>
      <w:r w:rsidR="00A87E11" w:rsidRPr="008D65C3">
        <w:rPr>
          <w:rFonts w:cs="Arial"/>
          <w:bCs w:val="0"/>
          <w:lang w:val="en-GB"/>
        </w:rPr>
        <w:t>, in</w:t>
      </w:r>
      <w:r w:rsidR="000C1A90" w:rsidRPr="008D65C3">
        <w:rPr>
          <w:rFonts w:cs="Arial"/>
          <w:bCs w:val="0"/>
          <w:lang w:val="en-GB"/>
        </w:rPr>
        <w:t xml:space="preserve"> </w:t>
      </w:r>
      <w:r w:rsidR="006D2338" w:rsidRPr="008D65C3">
        <w:rPr>
          <w:rFonts w:cs="Arial"/>
          <w:bCs w:val="0"/>
          <w:lang w:val="en-GB"/>
        </w:rPr>
        <w:t xml:space="preserve">or under </w:t>
      </w:r>
      <w:r w:rsidR="000C1A90" w:rsidRPr="008D65C3">
        <w:rPr>
          <w:rFonts w:cs="Arial"/>
          <w:bCs w:val="0"/>
          <w:lang w:val="en-GB"/>
        </w:rPr>
        <w:t xml:space="preserve">the property </w:t>
      </w:r>
      <w:r w:rsidR="002905F1" w:rsidRPr="008D65C3">
        <w:rPr>
          <w:rFonts w:cs="Arial"/>
          <w:bCs w:val="0"/>
          <w:lang w:val="en-GB"/>
        </w:rPr>
        <w:t>by a significant amount</w:t>
      </w:r>
      <w:r w:rsidR="00E26F79" w:rsidRPr="008D65C3">
        <w:rPr>
          <w:rFonts w:cs="Arial"/>
          <w:bCs w:val="0"/>
          <w:lang w:val="en-GB"/>
        </w:rPr>
        <w:t>,</w:t>
      </w:r>
      <w:r w:rsidRPr="008D65C3">
        <w:rPr>
          <w:rFonts w:cs="Arial"/>
          <w:bCs w:val="0"/>
          <w:lang w:val="en-GB"/>
        </w:rPr>
        <w:t xml:space="preserve"> the property owner should be aware that the risk management measures required in conjunction with that standard may be more onerous than what is required for the actual contamination present. </w:t>
      </w:r>
      <w:r w:rsidR="004A767C" w:rsidRPr="008D65C3">
        <w:rPr>
          <w:rFonts w:cs="Arial"/>
          <w:bCs w:val="0"/>
          <w:lang w:val="en-GB"/>
        </w:rPr>
        <w:t xml:space="preserve">Risk management measures </w:t>
      </w:r>
      <w:r w:rsidR="000C1A90" w:rsidRPr="008D65C3">
        <w:rPr>
          <w:rFonts w:cs="Arial"/>
          <w:bCs w:val="0"/>
          <w:lang w:val="en-GB"/>
        </w:rPr>
        <w:t xml:space="preserve">are </w:t>
      </w:r>
      <w:r w:rsidR="004A767C" w:rsidRPr="008D65C3">
        <w:rPr>
          <w:rFonts w:cs="Arial"/>
          <w:bCs w:val="0"/>
          <w:lang w:val="en-GB"/>
        </w:rPr>
        <w:t>required in conjunctio</w:t>
      </w:r>
      <w:r w:rsidR="004A767C" w:rsidRPr="003A7891">
        <w:rPr>
          <w:rFonts w:cs="Arial"/>
          <w:bCs w:val="0"/>
          <w:lang w:val="en-GB"/>
        </w:rPr>
        <w:t xml:space="preserve">n with </w:t>
      </w:r>
      <w:r w:rsidR="000C1A90" w:rsidRPr="003A7891">
        <w:rPr>
          <w:rFonts w:cs="Arial"/>
          <w:bCs w:val="0"/>
          <w:lang w:val="en-GB"/>
        </w:rPr>
        <w:t xml:space="preserve">the </w:t>
      </w:r>
      <w:r w:rsidR="00D040E9" w:rsidRPr="003A7891">
        <w:rPr>
          <w:rFonts w:cs="Arial"/>
          <w:bCs w:val="0"/>
          <w:lang w:val="en-GB"/>
        </w:rPr>
        <w:t xml:space="preserve">property specific </w:t>
      </w:r>
      <w:r w:rsidR="004A767C" w:rsidRPr="003A7891">
        <w:rPr>
          <w:rFonts w:cs="Arial"/>
          <w:bCs w:val="0"/>
          <w:lang w:val="en-GB"/>
        </w:rPr>
        <w:t>standard</w:t>
      </w:r>
      <w:r w:rsidR="000C1A90" w:rsidRPr="003A7891">
        <w:rPr>
          <w:rFonts w:cs="Arial"/>
          <w:bCs w:val="0"/>
          <w:lang w:val="en-GB"/>
        </w:rPr>
        <w:t xml:space="preserve">, not the </w:t>
      </w:r>
      <w:r w:rsidR="0032339F" w:rsidRPr="003A7891">
        <w:rPr>
          <w:rFonts w:cs="Arial"/>
          <w:bCs w:val="0"/>
          <w:lang w:val="en-GB"/>
        </w:rPr>
        <w:t>p</w:t>
      </w:r>
      <w:r w:rsidR="000C1A90" w:rsidRPr="003A7891">
        <w:rPr>
          <w:rFonts w:cs="Arial"/>
          <w:bCs w:val="0"/>
          <w:lang w:val="en-GB"/>
        </w:rPr>
        <w:t xml:space="preserve">hase two </w:t>
      </w:r>
      <w:smartTag w:uri="urn:schemas-microsoft-com:office:smarttags" w:element="stockticker">
        <w:r w:rsidR="000C1A90" w:rsidRPr="003A7891">
          <w:rPr>
            <w:rFonts w:cs="Arial"/>
            <w:bCs w:val="0"/>
            <w:lang w:val="en-GB"/>
          </w:rPr>
          <w:t>ESA</w:t>
        </w:r>
      </w:smartTag>
      <w:r w:rsidR="000C1A90" w:rsidRPr="003A7891">
        <w:rPr>
          <w:rFonts w:cs="Arial"/>
          <w:bCs w:val="0"/>
          <w:lang w:val="en-GB"/>
        </w:rPr>
        <w:t xml:space="preserve"> data, and</w:t>
      </w:r>
      <w:r w:rsidR="004A767C" w:rsidRPr="003A7891">
        <w:rPr>
          <w:rFonts w:cs="Arial"/>
          <w:bCs w:val="0"/>
          <w:lang w:val="en-GB"/>
        </w:rPr>
        <w:t xml:space="preserve"> must </w:t>
      </w:r>
      <w:r w:rsidR="00E26F79" w:rsidRPr="003A7891">
        <w:rPr>
          <w:rFonts w:cs="Arial"/>
          <w:bCs w:val="0"/>
          <w:lang w:val="en-GB"/>
        </w:rPr>
        <w:t>apply to the entire property</w:t>
      </w:r>
      <w:r w:rsidR="00446085" w:rsidRPr="003A7891">
        <w:rPr>
          <w:rFonts w:cs="Arial"/>
          <w:bCs w:val="0"/>
          <w:lang w:val="en-GB"/>
        </w:rPr>
        <w:t xml:space="preserve"> area to which the </w:t>
      </w:r>
      <w:r w:rsidR="00D040E9" w:rsidRPr="003A7891">
        <w:rPr>
          <w:rFonts w:cs="Arial"/>
          <w:bCs w:val="0"/>
          <w:lang w:val="en-GB"/>
        </w:rPr>
        <w:t xml:space="preserve">property specific </w:t>
      </w:r>
      <w:r w:rsidR="00446085" w:rsidRPr="003A7891">
        <w:rPr>
          <w:rFonts w:cs="Arial"/>
          <w:bCs w:val="0"/>
          <w:lang w:val="en-GB"/>
        </w:rPr>
        <w:t xml:space="preserve">standard (and the </w:t>
      </w:r>
      <w:smartTag w:uri="urn:schemas-microsoft-com:office:smarttags" w:element="stockticker">
        <w:r w:rsidR="00446085" w:rsidRPr="003A7891">
          <w:rPr>
            <w:rFonts w:cs="Arial"/>
            <w:bCs w:val="0"/>
            <w:lang w:val="en-GB"/>
          </w:rPr>
          <w:t>RSC</w:t>
        </w:r>
      </w:smartTag>
      <w:r w:rsidR="00446085" w:rsidRPr="003A7891">
        <w:rPr>
          <w:rFonts w:cs="Arial"/>
          <w:bCs w:val="0"/>
          <w:lang w:val="en-GB"/>
        </w:rPr>
        <w:t>) appl</w:t>
      </w:r>
      <w:r w:rsidR="00A02150" w:rsidRPr="003A7891">
        <w:rPr>
          <w:rFonts w:cs="Arial"/>
          <w:bCs w:val="0"/>
          <w:lang w:val="en-GB"/>
        </w:rPr>
        <w:t>ies</w:t>
      </w:r>
      <w:r w:rsidR="00446085" w:rsidRPr="003A7891">
        <w:rPr>
          <w:rFonts w:cs="Arial"/>
          <w:bCs w:val="0"/>
          <w:lang w:val="en-GB"/>
        </w:rPr>
        <w:t>. T</w:t>
      </w:r>
      <w:r w:rsidR="00E26F79" w:rsidRPr="003A7891">
        <w:rPr>
          <w:rFonts w:cs="Arial"/>
          <w:bCs w:val="0"/>
          <w:lang w:val="en-GB"/>
        </w:rPr>
        <w:t xml:space="preserve">hey </w:t>
      </w:r>
      <w:r w:rsidR="00446085" w:rsidRPr="003A7891">
        <w:rPr>
          <w:rFonts w:cs="Arial"/>
          <w:bCs w:val="0"/>
          <w:lang w:val="en-GB"/>
        </w:rPr>
        <w:t xml:space="preserve">must </w:t>
      </w:r>
      <w:r w:rsidR="004A767C" w:rsidRPr="003A7891">
        <w:rPr>
          <w:rFonts w:cs="Arial"/>
          <w:bCs w:val="0"/>
          <w:lang w:val="en-GB"/>
        </w:rPr>
        <w:t xml:space="preserve">be sufficient to manage risk to all receptors (human and ecological) due to </w:t>
      </w:r>
      <w:r w:rsidR="00D30BCD" w:rsidRPr="003A7891">
        <w:rPr>
          <w:rFonts w:cs="Arial"/>
          <w:bCs w:val="0"/>
          <w:lang w:val="en-GB"/>
        </w:rPr>
        <w:t xml:space="preserve">contamination of </w:t>
      </w:r>
      <w:r w:rsidR="003D0BBE" w:rsidRPr="003A7891">
        <w:rPr>
          <w:rFonts w:cs="Arial"/>
          <w:bCs w:val="0"/>
          <w:lang w:val="en-GB"/>
        </w:rPr>
        <w:t xml:space="preserve">all portions of </w:t>
      </w:r>
      <w:r w:rsidR="00D30BCD" w:rsidRPr="003A7891">
        <w:rPr>
          <w:rFonts w:cs="Arial"/>
          <w:bCs w:val="0"/>
          <w:lang w:val="en-GB"/>
        </w:rPr>
        <w:t>the property</w:t>
      </w:r>
      <w:r w:rsidR="004A767C" w:rsidRPr="003A7891">
        <w:rPr>
          <w:rFonts w:cs="Arial"/>
          <w:bCs w:val="0"/>
          <w:lang w:val="en-GB"/>
        </w:rPr>
        <w:t xml:space="preserve"> at the concentration proposed as the standard</w:t>
      </w:r>
      <w:r w:rsidR="000C1A90" w:rsidRPr="003A7891">
        <w:rPr>
          <w:rFonts w:cs="Arial"/>
          <w:bCs w:val="0"/>
          <w:lang w:val="en-GB"/>
        </w:rPr>
        <w:t>.</w:t>
      </w:r>
    </w:p>
    <w:p w14:paraId="179589E7" w14:textId="0201A3AE" w:rsidR="002905F1" w:rsidRPr="003A7891" w:rsidRDefault="00A747FD" w:rsidP="004A767C">
      <w:pPr>
        <w:rPr>
          <w:rFonts w:cs="Arial"/>
          <w:bCs w:val="0"/>
          <w:lang w:val="en-GB"/>
        </w:rPr>
      </w:pPr>
      <w:r w:rsidRPr="003A7891">
        <w:rPr>
          <w:rFonts w:cs="Arial"/>
          <w:bCs w:val="0"/>
          <w:lang w:val="en-GB"/>
        </w:rPr>
        <w:t>In some cases, r</w:t>
      </w:r>
      <w:r w:rsidR="000C1A90" w:rsidRPr="003A7891">
        <w:rPr>
          <w:rFonts w:cs="Arial"/>
          <w:bCs w:val="0"/>
          <w:lang w:val="en-GB"/>
        </w:rPr>
        <w:t>isk management measures may be allocated to a portion of the property only</w:t>
      </w:r>
      <w:r w:rsidR="003D0BBE" w:rsidRPr="003A7891">
        <w:rPr>
          <w:rFonts w:cs="Arial"/>
          <w:bCs w:val="0"/>
          <w:lang w:val="en-GB"/>
        </w:rPr>
        <w:t xml:space="preserve"> where site charac</w:t>
      </w:r>
      <w:r w:rsidR="00A02150" w:rsidRPr="003A7891">
        <w:rPr>
          <w:rFonts w:cs="Arial"/>
          <w:bCs w:val="0"/>
          <w:lang w:val="en-GB"/>
        </w:rPr>
        <w:t xml:space="preserve">terization </w:t>
      </w:r>
      <w:r w:rsidR="000C1A90" w:rsidRPr="003A7891">
        <w:rPr>
          <w:rFonts w:cs="Arial"/>
          <w:bCs w:val="0"/>
          <w:lang w:val="en-GB"/>
        </w:rPr>
        <w:t xml:space="preserve">clearly </w:t>
      </w:r>
      <w:r w:rsidR="00A02150" w:rsidRPr="003A7891">
        <w:rPr>
          <w:rFonts w:cs="Arial"/>
          <w:bCs w:val="0"/>
          <w:lang w:val="en-GB"/>
        </w:rPr>
        <w:t xml:space="preserve">demonstrates that </w:t>
      </w:r>
      <w:r w:rsidR="000C1A90" w:rsidRPr="003A7891">
        <w:rPr>
          <w:rFonts w:cs="Arial"/>
          <w:bCs w:val="0"/>
          <w:lang w:val="en-GB"/>
        </w:rPr>
        <w:t>the rest</w:t>
      </w:r>
      <w:r w:rsidR="003D0BBE" w:rsidRPr="003A7891">
        <w:rPr>
          <w:rFonts w:cs="Arial"/>
          <w:bCs w:val="0"/>
          <w:lang w:val="en-GB"/>
        </w:rPr>
        <w:t xml:space="preserve"> of the property meets </w:t>
      </w:r>
      <w:r w:rsidR="002905F1" w:rsidRPr="003A7891">
        <w:rPr>
          <w:rFonts w:cs="Arial"/>
          <w:bCs w:val="0"/>
          <w:lang w:val="en-GB"/>
        </w:rPr>
        <w:t xml:space="preserve">some other approved standard such as </w:t>
      </w:r>
      <w:r w:rsidR="003D0BBE" w:rsidRPr="003A7891">
        <w:rPr>
          <w:rFonts w:cs="Arial"/>
          <w:bCs w:val="0"/>
          <w:lang w:val="en-GB"/>
        </w:rPr>
        <w:t>the applicable site condition standard</w:t>
      </w:r>
      <w:r w:rsidR="000E3301" w:rsidRPr="003A7891">
        <w:rPr>
          <w:rFonts w:cs="Arial"/>
          <w:bCs w:val="0"/>
          <w:lang w:val="en-GB"/>
        </w:rPr>
        <w:t>s</w:t>
      </w:r>
      <w:r w:rsidR="003D0BBE" w:rsidRPr="003A7891">
        <w:rPr>
          <w:rFonts w:cs="Arial"/>
          <w:bCs w:val="0"/>
          <w:lang w:val="en-GB"/>
        </w:rPr>
        <w:t xml:space="preserve"> published by the </w:t>
      </w:r>
      <w:r w:rsidR="00657FDB" w:rsidRPr="003A7891">
        <w:rPr>
          <w:rFonts w:cs="Arial"/>
          <w:bCs w:val="0"/>
          <w:lang w:val="en-GB"/>
        </w:rPr>
        <w:t>M</w:t>
      </w:r>
      <w:r w:rsidR="003D0BBE" w:rsidRPr="003A7891">
        <w:rPr>
          <w:rFonts w:cs="Arial"/>
          <w:bCs w:val="0"/>
          <w:lang w:val="en-GB"/>
        </w:rPr>
        <w:t>inistry</w:t>
      </w:r>
      <w:r w:rsidRPr="003A7891">
        <w:rPr>
          <w:rFonts w:cs="Arial"/>
          <w:bCs w:val="0"/>
          <w:lang w:val="en-GB"/>
        </w:rPr>
        <w:t xml:space="preserve"> – however further consultation with the Ministry’s local District Office is recommended if considering this approach, as </w:t>
      </w:r>
      <w:r w:rsidR="00925F35" w:rsidRPr="003A7891">
        <w:rPr>
          <w:rFonts w:cs="Arial"/>
          <w:bCs w:val="0"/>
          <w:lang w:val="en-GB"/>
        </w:rPr>
        <w:t xml:space="preserve">its appropriateness will depend on the </w:t>
      </w:r>
      <w:r w:rsidR="00EC2DDF" w:rsidRPr="003A7891">
        <w:rPr>
          <w:rFonts w:cs="Arial"/>
          <w:bCs w:val="0"/>
          <w:lang w:val="en-GB"/>
        </w:rPr>
        <w:t>circumstances</w:t>
      </w:r>
      <w:r w:rsidR="00925F35" w:rsidRPr="003A7891">
        <w:rPr>
          <w:rFonts w:cs="Arial"/>
          <w:bCs w:val="0"/>
          <w:lang w:val="en-GB"/>
        </w:rPr>
        <w:t xml:space="preserve"> of each case</w:t>
      </w:r>
      <w:r w:rsidR="004A767C" w:rsidRPr="003A7891">
        <w:rPr>
          <w:rFonts w:cs="Arial"/>
          <w:bCs w:val="0"/>
          <w:lang w:val="en-GB"/>
        </w:rPr>
        <w:t>.</w:t>
      </w:r>
      <w:r w:rsidR="00E40527" w:rsidRPr="003A7891">
        <w:rPr>
          <w:rFonts w:cs="Arial"/>
          <w:bCs w:val="0"/>
          <w:lang w:val="en-GB"/>
        </w:rPr>
        <w:t xml:space="preserve"> Also refer to Section 8 (Risk Management</w:t>
      </w:r>
      <w:r w:rsidR="002B4755" w:rsidRPr="003A7891">
        <w:rPr>
          <w:rFonts w:cs="Arial"/>
          <w:bCs w:val="0"/>
          <w:lang w:val="en-GB"/>
        </w:rPr>
        <w:t xml:space="preserve"> Plan</w:t>
      </w:r>
      <w:r w:rsidR="00E40527" w:rsidRPr="003A7891">
        <w:rPr>
          <w:rFonts w:cs="Arial"/>
          <w:bCs w:val="0"/>
          <w:lang w:val="en-GB"/>
        </w:rPr>
        <w:t xml:space="preserve">) </w:t>
      </w:r>
      <w:r w:rsidR="002B4755" w:rsidRPr="003A7891">
        <w:rPr>
          <w:rFonts w:cs="Arial"/>
          <w:bCs w:val="0"/>
          <w:lang w:val="en-GB"/>
        </w:rPr>
        <w:t xml:space="preserve">of this Procedures document </w:t>
      </w:r>
      <w:r w:rsidR="00E40527" w:rsidRPr="003A7891">
        <w:rPr>
          <w:rFonts w:cs="Arial"/>
          <w:bCs w:val="0"/>
          <w:lang w:val="en-GB"/>
        </w:rPr>
        <w:t>for additional details.</w:t>
      </w:r>
      <w:r w:rsidR="00B560DE" w:rsidRPr="003A7891">
        <w:rPr>
          <w:rFonts w:cs="Arial"/>
          <w:bCs w:val="0"/>
          <w:lang w:val="en-GB"/>
        </w:rPr>
        <w:t xml:space="preserve"> </w:t>
      </w:r>
      <w:r w:rsidR="00446085" w:rsidRPr="003A7891">
        <w:rPr>
          <w:rFonts w:cs="Arial"/>
          <w:bCs w:val="0"/>
          <w:lang w:val="en-GB"/>
        </w:rPr>
        <w:t xml:space="preserve">Thorough site characterization therefore should be considered as a more </w:t>
      </w:r>
      <w:r w:rsidR="00446085" w:rsidRPr="003A7891">
        <w:rPr>
          <w:rFonts w:cs="Arial"/>
          <w:bCs w:val="0"/>
          <w:lang w:val="en-GB"/>
        </w:rPr>
        <w:lastRenderedPageBreak/>
        <w:t xml:space="preserve">efficient and effective approach to managing site uncertainty than </w:t>
      </w:r>
      <w:r w:rsidR="007966AF" w:rsidRPr="003A7891">
        <w:rPr>
          <w:rFonts w:cs="Arial"/>
          <w:bCs w:val="0"/>
          <w:lang w:val="en-GB"/>
        </w:rPr>
        <w:t>the use of</w:t>
      </w:r>
      <w:r w:rsidR="003D0BBE" w:rsidRPr="003A7891">
        <w:rPr>
          <w:rFonts w:cs="Arial"/>
          <w:bCs w:val="0"/>
          <w:lang w:val="en-GB"/>
        </w:rPr>
        <w:t xml:space="preserve"> risk management alone</w:t>
      </w:r>
      <w:r w:rsidR="00446085" w:rsidRPr="003A7891">
        <w:rPr>
          <w:rFonts w:cs="Arial"/>
          <w:bCs w:val="0"/>
          <w:lang w:val="en-GB"/>
        </w:rPr>
        <w:t>.</w:t>
      </w:r>
    </w:p>
    <w:p w14:paraId="5ED81664" w14:textId="2D6EEAE6" w:rsidR="002905F1" w:rsidRPr="003A7891" w:rsidRDefault="002900CB" w:rsidP="00DE496B">
      <w:pPr>
        <w:pStyle w:val="Heading3"/>
        <w:rPr>
          <w:rFonts w:cs="Arial"/>
        </w:rPr>
      </w:pPr>
      <w:bookmarkStart w:id="118" w:name="_Toc41905667"/>
      <w:r w:rsidRPr="003A7891">
        <w:rPr>
          <w:rFonts w:cs="Arial"/>
        </w:rPr>
        <w:t xml:space="preserve">Proposing </w:t>
      </w:r>
      <w:r w:rsidR="00AF70E0" w:rsidRPr="003A7891">
        <w:rPr>
          <w:rFonts w:cs="Arial"/>
        </w:rPr>
        <w:t>M</w:t>
      </w:r>
      <w:r w:rsidR="002905F1" w:rsidRPr="003A7891">
        <w:rPr>
          <w:rFonts w:cs="Arial"/>
        </w:rPr>
        <w:t xml:space="preserve">ultiple </w:t>
      </w:r>
      <w:r w:rsidR="00AF70E0" w:rsidRPr="003A7891">
        <w:rPr>
          <w:rFonts w:cs="Arial"/>
        </w:rPr>
        <w:t>Sets of Property Specif</w:t>
      </w:r>
      <w:r w:rsidR="00464152" w:rsidRPr="003A7891">
        <w:rPr>
          <w:rFonts w:cs="Arial"/>
        </w:rPr>
        <w:t>i</w:t>
      </w:r>
      <w:r w:rsidR="00AF70E0" w:rsidRPr="003A7891">
        <w:rPr>
          <w:rFonts w:cs="Arial"/>
        </w:rPr>
        <w:t>c S</w:t>
      </w:r>
      <w:r w:rsidR="002905F1" w:rsidRPr="003A7891">
        <w:rPr>
          <w:rFonts w:cs="Arial"/>
        </w:rPr>
        <w:t>tandards</w:t>
      </w:r>
      <w:bookmarkEnd w:id="118"/>
    </w:p>
    <w:p w14:paraId="22DFF25E" w14:textId="1E7394F0" w:rsidR="00753D12" w:rsidRPr="003A7891" w:rsidRDefault="00007081" w:rsidP="004A767C">
      <w:pPr>
        <w:rPr>
          <w:rFonts w:cs="Arial"/>
          <w:bCs w:val="0"/>
          <w:lang w:val="en-GB"/>
        </w:rPr>
      </w:pPr>
      <w:r w:rsidRPr="003A7891">
        <w:rPr>
          <w:rFonts w:cs="Arial"/>
          <w:bCs w:val="0"/>
          <w:lang w:val="en-GB"/>
        </w:rPr>
        <w:t xml:space="preserve">A single </w:t>
      </w:r>
      <w:r w:rsidR="009F6C35" w:rsidRPr="003A7891">
        <w:rPr>
          <w:rFonts w:cs="Arial"/>
          <w:bCs w:val="0"/>
          <w:lang w:val="en-GB"/>
        </w:rPr>
        <w:t xml:space="preserve">Tier 3 </w:t>
      </w:r>
      <w:r w:rsidR="008131C5" w:rsidRPr="003A7891">
        <w:rPr>
          <w:rFonts w:cs="Arial"/>
          <w:bCs w:val="0"/>
          <w:lang w:val="en-GB"/>
        </w:rPr>
        <w:t>risk assessment</w:t>
      </w:r>
      <w:r w:rsidR="0061087B" w:rsidRPr="003A7891">
        <w:rPr>
          <w:rFonts w:cs="Arial"/>
          <w:bCs w:val="0"/>
          <w:lang w:val="en-GB"/>
        </w:rPr>
        <w:t xml:space="preserve"> </w:t>
      </w:r>
      <w:r w:rsidRPr="003A7891">
        <w:rPr>
          <w:rFonts w:cs="Arial"/>
          <w:bCs w:val="0"/>
          <w:lang w:val="en-GB"/>
        </w:rPr>
        <w:t xml:space="preserve">may propose </w:t>
      </w:r>
      <w:r w:rsidR="00D538C9" w:rsidRPr="003A7891">
        <w:rPr>
          <w:rFonts w:cs="Arial"/>
          <w:bCs w:val="0"/>
          <w:lang w:val="en-GB"/>
        </w:rPr>
        <w:t xml:space="preserve">more </w:t>
      </w:r>
      <w:r w:rsidR="00214E23" w:rsidRPr="003A7891">
        <w:rPr>
          <w:rFonts w:cs="Arial"/>
          <w:bCs w:val="0"/>
          <w:lang w:val="en-GB"/>
        </w:rPr>
        <w:t>than</w:t>
      </w:r>
      <w:r w:rsidR="008E1873" w:rsidRPr="003A7891">
        <w:rPr>
          <w:rFonts w:cs="Arial"/>
          <w:bCs w:val="0"/>
          <w:lang w:val="en-GB"/>
        </w:rPr>
        <w:t xml:space="preserve"> one set of </w:t>
      </w:r>
      <w:r w:rsidRPr="003A7891">
        <w:rPr>
          <w:rFonts w:cs="Arial"/>
          <w:bCs w:val="0"/>
          <w:lang w:val="en-GB"/>
        </w:rPr>
        <w:t xml:space="preserve">property specific standards </w:t>
      </w:r>
      <w:r w:rsidR="00D538C9" w:rsidRPr="003A7891">
        <w:rPr>
          <w:rFonts w:cs="Arial"/>
          <w:bCs w:val="0"/>
          <w:lang w:val="en-GB"/>
        </w:rPr>
        <w:t>to support</w:t>
      </w:r>
      <w:r w:rsidRPr="003A7891">
        <w:rPr>
          <w:rFonts w:cs="Arial"/>
          <w:bCs w:val="0"/>
          <w:lang w:val="en-GB"/>
        </w:rPr>
        <w:t xml:space="preserve"> </w:t>
      </w:r>
      <w:r w:rsidR="00056000" w:rsidRPr="003A7891">
        <w:rPr>
          <w:rFonts w:cs="Arial"/>
          <w:bCs w:val="0"/>
          <w:lang w:val="en-GB"/>
        </w:rPr>
        <w:t>submitting</w:t>
      </w:r>
      <w:r w:rsidRPr="003A7891">
        <w:rPr>
          <w:rFonts w:cs="Arial"/>
          <w:bCs w:val="0"/>
          <w:lang w:val="en-GB"/>
        </w:rPr>
        <w:t xml:space="preserve"> more than one RSC</w:t>
      </w:r>
      <w:r w:rsidR="00056000" w:rsidRPr="003A7891">
        <w:rPr>
          <w:rFonts w:cs="Arial"/>
          <w:bCs w:val="0"/>
          <w:lang w:val="en-GB"/>
        </w:rPr>
        <w:t xml:space="preserve"> for filing</w:t>
      </w:r>
      <w:r w:rsidR="00D538C9" w:rsidRPr="003A7891">
        <w:rPr>
          <w:rFonts w:cs="Arial"/>
          <w:bCs w:val="0"/>
          <w:lang w:val="en-GB"/>
        </w:rPr>
        <w:t>. In such a case,</w:t>
      </w:r>
      <w:r w:rsidRPr="003A7891">
        <w:rPr>
          <w:rFonts w:cs="Arial"/>
          <w:bCs w:val="0"/>
          <w:lang w:val="en-GB"/>
        </w:rPr>
        <w:t xml:space="preserve"> </w:t>
      </w:r>
      <w:r w:rsidR="0061087B" w:rsidRPr="003A7891">
        <w:rPr>
          <w:rFonts w:cs="Arial"/>
          <w:bCs w:val="0"/>
          <w:lang w:val="en-GB"/>
        </w:rPr>
        <w:t>each</w:t>
      </w:r>
      <w:r w:rsidRPr="003A7891">
        <w:rPr>
          <w:rFonts w:cs="Arial"/>
          <w:bCs w:val="0"/>
          <w:lang w:val="en-GB"/>
        </w:rPr>
        <w:t xml:space="preserve"> </w:t>
      </w:r>
      <w:smartTag w:uri="urn:schemas-microsoft-com:office:smarttags" w:element="stockticker">
        <w:r w:rsidRPr="003A7891">
          <w:rPr>
            <w:rFonts w:cs="Arial"/>
            <w:bCs w:val="0"/>
            <w:lang w:val="en-GB"/>
          </w:rPr>
          <w:t>RSC</w:t>
        </w:r>
      </w:smartTag>
      <w:r w:rsidRPr="003A7891">
        <w:rPr>
          <w:rFonts w:cs="Arial"/>
          <w:bCs w:val="0"/>
          <w:lang w:val="en-GB"/>
        </w:rPr>
        <w:t xml:space="preserve"> propert</w:t>
      </w:r>
      <w:r w:rsidR="0061087B" w:rsidRPr="003A7891">
        <w:rPr>
          <w:rFonts w:cs="Arial"/>
          <w:bCs w:val="0"/>
          <w:lang w:val="en-GB"/>
        </w:rPr>
        <w:t xml:space="preserve">y must </w:t>
      </w:r>
      <w:r w:rsidR="00D538C9" w:rsidRPr="003A7891">
        <w:rPr>
          <w:rFonts w:cs="Arial"/>
          <w:bCs w:val="0"/>
          <w:lang w:val="en-GB"/>
        </w:rPr>
        <w:t xml:space="preserve">be </w:t>
      </w:r>
      <w:r w:rsidRPr="003A7891">
        <w:rPr>
          <w:rFonts w:cs="Arial"/>
          <w:bCs w:val="0"/>
          <w:lang w:val="en-GB"/>
        </w:rPr>
        <w:t xml:space="preserve">clearly </w:t>
      </w:r>
      <w:r w:rsidR="0061087B" w:rsidRPr="003A7891">
        <w:rPr>
          <w:rFonts w:cs="Arial"/>
          <w:bCs w:val="0"/>
          <w:lang w:val="en-GB"/>
        </w:rPr>
        <w:t>identified</w:t>
      </w:r>
      <w:r w:rsidRPr="003A7891">
        <w:rPr>
          <w:rFonts w:cs="Arial"/>
          <w:bCs w:val="0"/>
          <w:lang w:val="en-GB"/>
        </w:rPr>
        <w:t xml:space="preserve"> in the risk assessment</w:t>
      </w:r>
      <w:r w:rsidR="0064790A" w:rsidRPr="003A7891">
        <w:rPr>
          <w:rFonts w:cs="Arial"/>
          <w:bCs w:val="0"/>
          <w:lang w:val="en-GB"/>
        </w:rPr>
        <w:t xml:space="preserve"> </w:t>
      </w:r>
      <w:r w:rsidR="00D040E9" w:rsidRPr="003A7891">
        <w:rPr>
          <w:rFonts w:cs="Arial"/>
          <w:bCs w:val="0"/>
          <w:lang w:val="en-GB"/>
        </w:rPr>
        <w:t xml:space="preserve">and </w:t>
      </w:r>
      <w:r w:rsidR="0061087B" w:rsidRPr="003A7891">
        <w:rPr>
          <w:rFonts w:cs="Arial"/>
          <w:bCs w:val="0"/>
          <w:lang w:val="en-GB"/>
        </w:rPr>
        <w:t>defined</w:t>
      </w:r>
      <w:r w:rsidR="00D040E9" w:rsidRPr="003A7891">
        <w:rPr>
          <w:rFonts w:cs="Arial"/>
          <w:bCs w:val="0"/>
          <w:lang w:val="en-GB"/>
        </w:rPr>
        <w:t xml:space="preserve"> in </w:t>
      </w:r>
      <w:r w:rsidR="00D040E9" w:rsidRPr="003A7891">
        <w:rPr>
          <w:rFonts w:cs="Arial"/>
        </w:rPr>
        <w:t>the legal description and plan of survey</w:t>
      </w:r>
      <w:r w:rsidR="00F035B4" w:rsidRPr="003A7891">
        <w:rPr>
          <w:rFonts w:cs="Arial"/>
          <w:bCs w:val="0"/>
          <w:lang w:val="en-GB"/>
        </w:rPr>
        <w:t xml:space="preserve">. </w:t>
      </w:r>
      <w:r w:rsidR="00753D12" w:rsidRPr="003A7891">
        <w:rPr>
          <w:rFonts w:cs="Arial"/>
          <w:bCs w:val="0"/>
          <w:lang w:val="en-GB"/>
        </w:rPr>
        <w:t>The requirements of the Regulation must be met for each RSC property.</w:t>
      </w:r>
    </w:p>
    <w:p w14:paraId="0461B32E" w14:textId="23454DCF" w:rsidR="009F6C35" w:rsidRPr="003A7891" w:rsidRDefault="009F6C35" w:rsidP="004A767C">
      <w:pPr>
        <w:rPr>
          <w:rFonts w:cs="Arial"/>
          <w:bCs w:val="0"/>
          <w:lang w:val="en-GB"/>
        </w:rPr>
      </w:pPr>
      <w:r w:rsidRPr="003A7891">
        <w:rPr>
          <w:rFonts w:cs="Arial"/>
          <w:bCs w:val="0"/>
          <w:lang w:val="en-GB"/>
        </w:rPr>
        <w:t>T</w:t>
      </w:r>
      <w:r w:rsidR="0079243A" w:rsidRPr="003A7891">
        <w:rPr>
          <w:rFonts w:cs="Arial"/>
          <w:bCs w:val="0"/>
          <w:lang w:val="en-GB"/>
        </w:rPr>
        <w:t xml:space="preserve">he </w:t>
      </w:r>
      <w:r w:rsidR="003A2390" w:rsidRPr="003A7891">
        <w:rPr>
          <w:rFonts w:cs="Arial"/>
          <w:bCs w:val="0"/>
          <w:lang w:val="en-GB"/>
        </w:rPr>
        <w:t>RA</w:t>
      </w:r>
      <w:r w:rsidR="0079243A" w:rsidRPr="003A7891">
        <w:rPr>
          <w:rFonts w:cs="Arial"/>
          <w:bCs w:val="0"/>
          <w:lang w:val="en-GB"/>
        </w:rPr>
        <w:t xml:space="preserve"> report will need to include </w:t>
      </w:r>
      <w:r w:rsidRPr="003A7891">
        <w:rPr>
          <w:rFonts w:cs="Arial"/>
          <w:bCs w:val="0"/>
          <w:lang w:val="en-GB"/>
        </w:rPr>
        <w:t>the following information</w:t>
      </w:r>
      <w:r w:rsidR="005724EB" w:rsidRPr="003A7891">
        <w:rPr>
          <w:rFonts w:cs="Arial"/>
          <w:bCs w:val="0"/>
          <w:lang w:val="en-GB"/>
        </w:rPr>
        <w:t xml:space="preserve">, in a clear and </w:t>
      </w:r>
      <w:r w:rsidR="00E07841" w:rsidRPr="003A7891">
        <w:rPr>
          <w:rFonts w:cs="Arial"/>
          <w:bCs w:val="0"/>
          <w:lang w:val="en-GB"/>
        </w:rPr>
        <w:t>straightforward</w:t>
      </w:r>
      <w:r w:rsidR="005724EB" w:rsidRPr="003A7891">
        <w:rPr>
          <w:rFonts w:cs="Arial"/>
          <w:bCs w:val="0"/>
          <w:lang w:val="en-GB"/>
        </w:rPr>
        <w:t xml:space="preserve"> manner, </w:t>
      </w:r>
      <w:r w:rsidR="00A830A5" w:rsidRPr="003A7891">
        <w:rPr>
          <w:rFonts w:cs="Arial"/>
          <w:bCs w:val="0"/>
          <w:lang w:val="en-GB"/>
        </w:rPr>
        <w:t>for</w:t>
      </w:r>
      <w:r w:rsidRPr="003A7891">
        <w:rPr>
          <w:rFonts w:cs="Arial"/>
          <w:bCs w:val="0"/>
          <w:lang w:val="en-GB"/>
        </w:rPr>
        <w:t xml:space="preserve"> each RSC property:</w:t>
      </w:r>
    </w:p>
    <w:p w14:paraId="33239393" w14:textId="6EE9207D" w:rsidR="00056000" w:rsidRPr="003A7891" w:rsidRDefault="00A149F1" w:rsidP="00A47B50">
      <w:pPr>
        <w:numPr>
          <w:ilvl w:val="0"/>
          <w:numId w:val="31"/>
        </w:numPr>
        <w:rPr>
          <w:rFonts w:cs="Arial"/>
          <w:bCs w:val="0"/>
          <w:lang w:val="en-GB"/>
        </w:rPr>
      </w:pPr>
      <w:r w:rsidRPr="003A7891">
        <w:rPr>
          <w:rFonts w:cs="Arial"/>
          <w:bCs w:val="0"/>
          <w:lang w:val="en-GB"/>
        </w:rPr>
        <w:t>Phase two conceptual site model</w:t>
      </w:r>
      <w:r w:rsidR="00056000" w:rsidRPr="003A7891">
        <w:rPr>
          <w:rFonts w:cs="Arial"/>
          <w:bCs w:val="0"/>
          <w:lang w:val="en-GB"/>
        </w:rPr>
        <w:t xml:space="preserve"> (Appendices),</w:t>
      </w:r>
    </w:p>
    <w:p w14:paraId="76E13A27" w14:textId="77777777" w:rsidR="009F6C35" w:rsidRPr="003A7891" w:rsidRDefault="009F6C35" w:rsidP="00A47B50">
      <w:pPr>
        <w:numPr>
          <w:ilvl w:val="0"/>
          <w:numId w:val="31"/>
        </w:numPr>
        <w:rPr>
          <w:rFonts w:cs="Arial"/>
          <w:bCs w:val="0"/>
          <w:lang w:val="en-GB"/>
        </w:rPr>
      </w:pPr>
      <w:r w:rsidRPr="003A7891">
        <w:rPr>
          <w:rFonts w:cs="Arial"/>
          <w:bCs w:val="0"/>
          <w:lang w:val="en-GB"/>
        </w:rPr>
        <w:t>COC screening</w:t>
      </w:r>
      <w:r w:rsidR="00853A92" w:rsidRPr="003A7891">
        <w:rPr>
          <w:rFonts w:cs="Arial"/>
          <w:bCs w:val="0"/>
          <w:lang w:val="en-GB"/>
        </w:rPr>
        <w:t xml:space="preserve"> and inventory</w:t>
      </w:r>
      <w:r w:rsidR="00056000" w:rsidRPr="003A7891">
        <w:rPr>
          <w:rFonts w:cs="Arial"/>
          <w:bCs w:val="0"/>
          <w:lang w:val="en-GB"/>
        </w:rPr>
        <w:t xml:space="preserve"> (Report Section 3)</w:t>
      </w:r>
      <w:r w:rsidR="0061087B" w:rsidRPr="003A7891">
        <w:rPr>
          <w:rFonts w:cs="Arial"/>
          <w:bCs w:val="0"/>
          <w:lang w:val="en-GB"/>
        </w:rPr>
        <w:t xml:space="preserve">, </w:t>
      </w:r>
    </w:p>
    <w:p w14:paraId="3980DC82" w14:textId="665B8E21" w:rsidR="009F6C35" w:rsidRPr="003A7891" w:rsidRDefault="00DB533E" w:rsidP="00A47B50">
      <w:pPr>
        <w:numPr>
          <w:ilvl w:val="0"/>
          <w:numId w:val="31"/>
        </w:numPr>
        <w:rPr>
          <w:rFonts w:cs="Arial"/>
          <w:bCs w:val="0"/>
          <w:lang w:val="en-GB"/>
        </w:rPr>
      </w:pPr>
      <w:r w:rsidRPr="003A7891">
        <w:rPr>
          <w:rFonts w:cs="Arial"/>
          <w:bCs w:val="0"/>
          <w:lang w:val="en-GB"/>
        </w:rPr>
        <w:t>H</w:t>
      </w:r>
      <w:r w:rsidR="009F6C35" w:rsidRPr="003A7891">
        <w:rPr>
          <w:rFonts w:cs="Arial"/>
          <w:bCs w:val="0"/>
          <w:lang w:val="en-GB"/>
        </w:rPr>
        <w:t xml:space="preserve">uman </w:t>
      </w:r>
      <w:r w:rsidR="008131C5" w:rsidRPr="003A7891">
        <w:rPr>
          <w:rFonts w:cs="Arial"/>
          <w:bCs w:val="0"/>
          <w:lang w:val="en-GB"/>
        </w:rPr>
        <w:t>h</w:t>
      </w:r>
      <w:r w:rsidR="009F6C35" w:rsidRPr="003A7891">
        <w:rPr>
          <w:rFonts w:cs="Arial"/>
          <w:bCs w:val="0"/>
          <w:lang w:val="en-GB"/>
        </w:rPr>
        <w:t xml:space="preserve">ealth </w:t>
      </w:r>
      <w:r w:rsidR="008131C5" w:rsidRPr="003A7891">
        <w:rPr>
          <w:rFonts w:cs="Arial"/>
          <w:bCs w:val="0"/>
          <w:lang w:val="en-GB"/>
        </w:rPr>
        <w:t>r</w:t>
      </w:r>
      <w:r w:rsidR="009F6C35" w:rsidRPr="003A7891">
        <w:rPr>
          <w:rFonts w:cs="Arial"/>
          <w:bCs w:val="0"/>
          <w:lang w:val="en-GB"/>
        </w:rPr>
        <w:t xml:space="preserve">isk </w:t>
      </w:r>
      <w:r w:rsidR="008131C5" w:rsidRPr="003A7891">
        <w:rPr>
          <w:rFonts w:cs="Arial"/>
          <w:bCs w:val="0"/>
          <w:lang w:val="en-GB"/>
        </w:rPr>
        <w:t>a</w:t>
      </w:r>
      <w:r w:rsidR="009F6C35" w:rsidRPr="003A7891">
        <w:rPr>
          <w:rFonts w:cs="Arial"/>
          <w:bCs w:val="0"/>
          <w:lang w:val="en-GB"/>
        </w:rPr>
        <w:t>ssessment</w:t>
      </w:r>
      <w:r w:rsidR="00056000" w:rsidRPr="003A7891">
        <w:rPr>
          <w:rFonts w:cs="Arial"/>
          <w:bCs w:val="0"/>
          <w:lang w:val="en-GB"/>
        </w:rPr>
        <w:t xml:space="preserve"> (Report Section 4)</w:t>
      </w:r>
      <w:r w:rsidR="0061087B" w:rsidRPr="003A7891">
        <w:rPr>
          <w:rFonts w:cs="Arial"/>
          <w:bCs w:val="0"/>
          <w:lang w:val="en-GB"/>
        </w:rPr>
        <w:t xml:space="preserve">, </w:t>
      </w:r>
    </w:p>
    <w:p w14:paraId="1F984843" w14:textId="6B6F413F" w:rsidR="009F6C35" w:rsidRPr="003A7891" w:rsidRDefault="00DB533E" w:rsidP="00A47B50">
      <w:pPr>
        <w:numPr>
          <w:ilvl w:val="0"/>
          <w:numId w:val="31"/>
        </w:numPr>
        <w:rPr>
          <w:rFonts w:cs="Arial"/>
          <w:bCs w:val="0"/>
          <w:lang w:val="en-GB"/>
        </w:rPr>
      </w:pPr>
      <w:r w:rsidRPr="003A7891">
        <w:rPr>
          <w:rFonts w:cs="Arial"/>
          <w:bCs w:val="0"/>
          <w:lang w:val="en-GB"/>
        </w:rPr>
        <w:t>E</w:t>
      </w:r>
      <w:r w:rsidR="009F6C35" w:rsidRPr="003A7891">
        <w:rPr>
          <w:rFonts w:cs="Arial"/>
          <w:bCs w:val="0"/>
          <w:lang w:val="en-GB"/>
        </w:rPr>
        <w:t xml:space="preserve">cological </w:t>
      </w:r>
      <w:r w:rsidR="008131C5" w:rsidRPr="003A7891">
        <w:rPr>
          <w:rFonts w:cs="Arial"/>
          <w:bCs w:val="0"/>
          <w:lang w:val="en-GB"/>
        </w:rPr>
        <w:t>r</w:t>
      </w:r>
      <w:r w:rsidR="009F6C35" w:rsidRPr="003A7891">
        <w:rPr>
          <w:rFonts w:cs="Arial"/>
          <w:bCs w:val="0"/>
          <w:lang w:val="en-GB"/>
        </w:rPr>
        <w:t xml:space="preserve">isk </w:t>
      </w:r>
      <w:r w:rsidR="008131C5" w:rsidRPr="003A7891">
        <w:rPr>
          <w:rFonts w:cs="Arial"/>
          <w:bCs w:val="0"/>
          <w:lang w:val="en-GB"/>
        </w:rPr>
        <w:t>a</w:t>
      </w:r>
      <w:r w:rsidR="009F6C35" w:rsidRPr="003A7891">
        <w:rPr>
          <w:rFonts w:cs="Arial"/>
          <w:bCs w:val="0"/>
          <w:lang w:val="en-GB"/>
        </w:rPr>
        <w:t>ssessment</w:t>
      </w:r>
      <w:r w:rsidR="00056000" w:rsidRPr="003A7891">
        <w:rPr>
          <w:rFonts w:cs="Arial"/>
          <w:bCs w:val="0"/>
          <w:lang w:val="en-GB"/>
        </w:rPr>
        <w:t xml:space="preserve"> (Report Section 5)</w:t>
      </w:r>
      <w:r w:rsidR="008E1873" w:rsidRPr="003A7891">
        <w:rPr>
          <w:rFonts w:cs="Arial"/>
          <w:bCs w:val="0"/>
          <w:lang w:val="en-GB"/>
        </w:rPr>
        <w:t xml:space="preserve">, </w:t>
      </w:r>
    </w:p>
    <w:p w14:paraId="3018EE6F" w14:textId="77777777" w:rsidR="009F6C35" w:rsidRPr="003A7891" w:rsidRDefault="00DB533E" w:rsidP="00A47B50">
      <w:pPr>
        <w:numPr>
          <w:ilvl w:val="0"/>
          <w:numId w:val="31"/>
        </w:numPr>
        <w:rPr>
          <w:rFonts w:cs="Arial"/>
          <w:bCs w:val="0"/>
          <w:lang w:val="en-GB"/>
        </w:rPr>
      </w:pPr>
      <w:r w:rsidRPr="003A7891">
        <w:rPr>
          <w:rFonts w:cs="Arial"/>
          <w:bCs w:val="0"/>
          <w:lang w:val="en-GB"/>
        </w:rPr>
        <w:t>S</w:t>
      </w:r>
      <w:r w:rsidR="009F6C35" w:rsidRPr="003A7891">
        <w:rPr>
          <w:rFonts w:cs="Arial"/>
          <w:bCs w:val="0"/>
          <w:lang w:val="en-GB"/>
        </w:rPr>
        <w:t>et of property specific standards</w:t>
      </w:r>
      <w:r w:rsidR="00056000" w:rsidRPr="003A7891">
        <w:rPr>
          <w:rFonts w:cs="Arial"/>
          <w:bCs w:val="0"/>
          <w:lang w:val="en-GB"/>
        </w:rPr>
        <w:t xml:space="preserve"> (Report Section 6)</w:t>
      </w:r>
      <w:r w:rsidR="009F6C35" w:rsidRPr="003A7891">
        <w:rPr>
          <w:rFonts w:cs="Arial"/>
          <w:bCs w:val="0"/>
          <w:lang w:val="en-GB"/>
        </w:rPr>
        <w:t xml:space="preserve">, </w:t>
      </w:r>
    </w:p>
    <w:p w14:paraId="477FE5BA" w14:textId="473AE06E" w:rsidR="00F035B4" w:rsidRPr="003A7891" w:rsidRDefault="00DB533E" w:rsidP="00A47B50">
      <w:pPr>
        <w:numPr>
          <w:ilvl w:val="0"/>
          <w:numId w:val="31"/>
        </w:numPr>
        <w:rPr>
          <w:rFonts w:cs="Arial"/>
          <w:bCs w:val="0"/>
          <w:lang w:val="en-GB"/>
        </w:rPr>
      </w:pPr>
      <w:r w:rsidRPr="003A7891">
        <w:rPr>
          <w:rFonts w:cs="Arial"/>
          <w:bCs w:val="0"/>
          <w:lang w:val="en-GB"/>
        </w:rPr>
        <w:t>R</w:t>
      </w:r>
      <w:r w:rsidR="009F6C35" w:rsidRPr="003A7891">
        <w:rPr>
          <w:rFonts w:cs="Arial"/>
          <w:bCs w:val="0"/>
          <w:lang w:val="en-GB"/>
        </w:rPr>
        <w:t xml:space="preserve">isk </w:t>
      </w:r>
      <w:r w:rsidR="008131C5" w:rsidRPr="003A7891">
        <w:rPr>
          <w:rFonts w:cs="Arial"/>
          <w:bCs w:val="0"/>
          <w:lang w:val="en-GB"/>
        </w:rPr>
        <w:t>m</w:t>
      </w:r>
      <w:r w:rsidR="009F6C35" w:rsidRPr="003A7891">
        <w:rPr>
          <w:rFonts w:cs="Arial"/>
          <w:bCs w:val="0"/>
          <w:lang w:val="en-GB"/>
        </w:rPr>
        <w:t xml:space="preserve">anagement </w:t>
      </w:r>
      <w:r w:rsidR="008131C5" w:rsidRPr="003A7891">
        <w:rPr>
          <w:rFonts w:cs="Arial"/>
          <w:bCs w:val="0"/>
          <w:lang w:val="en-GB"/>
        </w:rPr>
        <w:t>p</w:t>
      </w:r>
      <w:r w:rsidR="009F6C35" w:rsidRPr="003A7891">
        <w:rPr>
          <w:rFonts w:cs="Arial"/>
          <w:bCs w:val="0"/>
          <w:lang w:val="en-GB"/>
        </w:rPr>
        <w:t>lan</w:t>
      </w:r>
      <w:r w:rsidR="00056000" w:rsidRPr="003A7891">
        <w:rPr>
          <w:rFonts w:cs="Arial"/>
          <w:bCs w:val="0"/>
          <w:lang w:val="en-GB"/>
        </w:rPr>
        <w:t>, if applicable (Report Section 7)</w:t>
      </w:r>
      <w:r w:rsidR="009C0319" w:rsidRPr="003A7891">
        <w:rPr>
          <w:rFonts w:cs="Arial"/>
          <w:bCs w:val="0"/>
          <w:lang w:val="en-GB"/>
        </w:rPr>
        <w:t>, and</w:t>
      </w:r>
    </w:p>
    <w:p w14:paraId="109CDC67" w14:textId="77777777" w:rsidR="009C0319" w:rsidRPr="003A7891" w:rsidRDefault="009C0319" w:rsidP="00A47B50">
      <w:pPr>
        <w:numPr>
          <w:ilvl w:val="0"/>
          <w:numId w:val="31"/>
        </w:numPr>
        <w:rPr>
          <w:rFonts w:cs="Arial"/>
          <w:bCs w:val="0"/>
          <w:lang w:val="en-GB"/>
        </w:rPr>
      </w:pPr>
      <w:r w:rsidRPr="003A7891">
        <w:rPr>
          <w:rFonts w:cs="Arial"/>
          <w:bCs w:val="0"/>
          <w:lang w:val="en-GB"/>
        </w:rPr>
        <w:t>Mandatory certifications</w:t>
      </w:r>
      <w:r w:rsidR="00056000" w:rsidRPr="003A7891">
        <w:rPr>
          <w:rFonts w:cs="Arial"/>
          <w:bCs w:val="0"/>
          <w:lang w:val="en-GB"/>
        </w:rPr>
        <w:t xml:space="preserve"> (Appendices)</w:t>
      </w:r>
      <w:r w:rsidRPr="003A7891">
        <w:rPr>
          <w:rFonts w:cs="Arial"/>
          <w:bCs w:val="0"/>
          <w:lang w:val="en-GB"/>
        </w:rPr>
        <w:t>.</w:t>
      </w:r>
    </w:p>
    <w:p w14:paraId="6CC007FF" w14:textId="77777777" w:rsidR="00940986" w:rsidRPr="003A7891" w:rsidRDefault="00940986" w:rsidP="00940986">
      <w:pPr>
        <w:rPr>
          <w:rFonts w:cs="Arial"/>
          <w:bCs w:val="0"/>
          <w:lang w:val="en-GB"/>
        </w:rPr>
      </w:pPr>
      <w:r w:rsidRPr="003A7891">
        <w:rPr>
          <w:rFonts w:cs="Arial"/>
          <w:bCs w:val="0"/>
          <w:lang w:val="en-GB"/>
        </w:rPr>
        <w:t>In addition, n</w:t>
      </w:r>
      <w:r w:rsidR="009A0EAF" w:rsidRPr="003A7891">
        <w:rPr>
          <w:rFonts w:cs="Arial"/>
          <w:bCs w:val="0"/>
          <w:lang w:val="en-GB"/>
        </w:rPr>
        <w:t xml:space="preserve">ote that </w:t>
      </w:r>
      <w:r w:rsidR="006C127A" w:rsidRPr="003A7891">
        <w:rPr>
          <w:rFonts w:cs="Arial"/>
          <w:bCs w:val="0"/>
          <w:lang w:val="en-GB"/>
        </w:rPr>
        <w:t xml:space="preserve">at the time of RSC </w:t>
      </w:r>
      <w:r w:rsidR="00056000" w:rsidRPr="003A7891">
        <w:rPr>
          <w:rFonts w:cs="Arial"/>
          <w:bCs w:val="0"/>
          <w:lang w:val="en-GB"/>
        </w:rPr>
        <w:t>submission</w:t>
      </w:r>
      <w:r w:rsidR="006C127A" w:rsidRPr="003A7891">
        <w:rPr>
          <w:rFonts w:cs="Arial"/>
          <w:bCs w:val="0"/>
          <w:lang w:val="en-GB"/>
        </w:rPr>
        <w:t xml:space="preserve">, only </w:t>
      </w:r>
      <w:r w:rsidR="00007081" w:rsidRPr="003A7891">
        <w:rPr>
          <w:rFonts w:cs="Arial"/>
          <w:bCs w:val="0"/>
          <w:lang w:val="en-GB"/>
        </w:rPr>
        <w:t xml:space="preserve">one standard </w:t>
      </w:r>
      <w:r w:rsidR="006C127A" w:rsidRPr="003A7891">
        <w:rPr>
          <w:rFonts w:cs="Arial"/>
          <w:bCs w:val="0"/>
          <w:lang w:val="en-GB"/>
        </w:rPr>
        <w:t>can be selected by the QP</w:t>
      </w:r>
      <w:r w:rsidR="006C127A" w:rsidRPr="003A7891">
        <w:rPr>
          <w:rFonts w:cs="Arial"/>
          <w:bCs w:val="0"/>
          <w:vertAlign w:val="subscript"/>
          <w:lang w:val="en-GB"/>
        </w:rPr>
        <w:t>ESA</w:t>
      </w:r>
      <w:r w:rsidR="006C127A" w:rsidRPr="003A7891">
        <w:rPr>
          <w:rFonts w:cs="Arial"/>
          <w:bCs w:val="0"/>
          <w:lang w:val="en-GB"/>
        </w:rPr>
        <w:t xml:space="preserve"> per contaminant and </w:t>
      </w:r>
      <w:r w:rsidR="0079243A" w:rsidRPr="003A7891">
        <w:rPr>
          <w:rFonts w:cs="Arial"/>
          <w:bCs w:val="0"/>
          <w:lang w:val="en-GB"/>
        </w:rPr>
        <w:t>environmental medium</w:t>
      </w:r>
      <w:r w:rsidR="00006E11" w:rsidRPr="003A7891">
        <w:rPr>
          <w:rFonts w:cs="Arial"/>
          <w:bCs w:val="0"/>
          <w:lang w:val="en-GB"/>
        </w:rPr>
        <w:t xml:space="preserve"> for use in the RSC</w:t>
      </w:r>
      <w:r w:rsidR="00007081" w:rsidRPr="003A7891">
        <w:rPr>
          <w:rFonts w:cs="Arial"/>
          <w:bCs w:val="0"/>
          <w:lang w:val="en-GB"/>
        </w:rPr>
        <w:t>.</w:t>
      </w:r>
      <w:r w:rsidRPr="003A7891">
        <w:rPr>
          <w:rFonts w:cs="Arial"/>
          <w:bCs w:val="0"/>
          <w:lang w:val="en-GB"/>
        </w:rPr>
        <w:t xml:space="preserve"> </w:t>
      </w:r>
    </w:p>
    <w:p w14:paraId="1DFFC4C3" w14:textId="5C1FF50F" w:rsidR="00007081" w:rsidRPr="003A7891" w:rsidRDefault="00853A92" w:rsidP="004A767C">
      <w:pPr>
        <w:rPr>
          <w:rFonts w:cs="Arial"/>
          <w:bCs w:val="0"/>
          <w:lang w:val="en-GB"/>
        </w:rPr>
      </w:pPr>
      <w:r w:rsidRPr="003A7891">
        <w:rPr>
          <w:rFonts w:cs="Arial"/>
          <w:bCs w:val="0"/>
          <w:lang w:val="en-GB"/>
        </w:rPr>
        <w:t xml:space="preserve">Due to the added complexity, this approach is not expected to be useful or provide much benefit for the vast majority of Tier 3 </w:t>
      </w:r>
      <w:r w:rsidR="002B4755" w:rsidRPr="003A7891">
        <w:rPr>
          <w:rFonts w:cs="Arial"/>
          <w:bCs w:val="0"/>
          <w:lang w:val="en-GB"/>
        </w:rPr>
        <w:t>risk assessment</w:t>
      </w:r>
      <w:r w:rsidRPr="003A7891">
        <w:rPr>
          <w:rFonts w:cs="Arial"/>
          <w:bCs w:val="0"/>
          <w:lang w:val="en-GB"/>
        </w:rPr>
        <w:t>s. For this reason, f</w:t>
      </w:r>
      <w:r w:rsidR="00940986" w:rsidRPr="003A7891">
        <w:rPr>
          <w:rFonts w:cs="Arial"/>
          <w:bCs w:val="0"/>
          <w:lang w:val="en-GB"/>
        </w:rPr>
        <w:t>urther consultation with the Ministry (ideally at the PSF stage, or sooner) is strongly recommended if this of approach is being considered by the QP</w:t>
      </w:r>
      <w:r w:rsidR="00940986" w:rsidRPr="003A7891">
        <w:rPr>
          <w:rFonts w:cs="Arial"/>
          <w:bCs w:val="0"/>
          <w:vertAlign w:val="subscript"/>
          <w:lang w:val="en-GB"/>
        </w:rPr>
        <w:t>RA</w:t>
      </w:r>
      <w:r w:rsidR="00C32859" w:rsidRPr="003A7891">
        <w:rPr>
          <w:rFonts w:cs="Arial"/>
          <w:bCs w:val="0"/>
          <w:lang w:val="en-GB"/>
        </w:rPr>
        <w:t xml:space="preserve"> </w:t>
      </w:r>
      <w:r w:rsidRPr="003A7891">
        <w:rPr>
          <w:rFonts w:cs="Arial"/>
          <w:bCs w:val="0"/>
          <w:lang w:val="en-GB"/>
        </w:rPr>
        <w:t xml:space="preserve">and property owner; </w:t>
      </w:r>
      <w:r w:rsidR="00056000" w:rsidRPr="003A7891">
        <w:rPr>
          <w:rFonts w:cs="Arial"/>
          <w:bCs w:val="0"/>
          <w:lang w:val="en-GB"/>
        </w:rPr>
        <w:t xml:space="preserve">its appropriateness will depend on the </w:t>
      </w:r>
      <w:r w:rsidR="00EC2DDF" w:rsidRPr="003A7891">
        <w:rPr>
          <w:rFonts w:cs="Arial"/>
          <w:bCs w:val="0"/>
          <w:lang w:val="en-GB"/>
        </w:rPr>
        <w:t>circumstances</w:t>
      </w:r>
      <w:r w:rsidR="00056000" w:rsidRPr="003A7891">
        <w:rPr>
          <w:rFonts w:cs="Arial"/>
          <w:bCs w:val="0"/>
          <w:lang w:val="en-GB"/>
        </w:rPr>
        <w:t xml:space="preserve"> of each case.</w:t>
      </w:r>
    </w:p>
    <w:p w14:paraId="782C41E1" w14:textId="1B9D5BC0" w:rsidR="00E859F7" w:rsidRPr="003A7891" w:rsidRDefault="00E859F7" w:rsidP="00DE496B">
      <w:pPr>
        <w:pStyle w:val="Heading3"/>
        <w:rPr>
          <w:rFonts w:cs="Arial"/>
        </w:rPr>
      </w:pPr>
      <w:bookmarkStart w:id="119" w:name="_Toc41905668"/>
      <w:r w:rsidRPr="003A7891">
        <w:rPr>
          <w:rFonts w:cs="Arial"/>
        </w:rPr>
        <w:t>Non-Standard Delineation</w:t>
      </w:r>
      <w:bookmarkEnd w:id="119"/>
    </w:p>
    <w:p w14:paraId="54E85B29" w14:textId="7DF32BF9" w:rsidR="00E859F7" w:rsidRPr="003A7891" w:rsidRDefault="00E859F7" w:rsidP="00E859F7">
      <w:pPr>
        <w:rPr>
          <w:rFonts w:cs="Arial"/>
        </w:rPr>
      </w:pPr>
      <w:r w:rsidRPr="003A7891">
        <w:rPr>
          <w:rFonts w:cs="Arial"/>
        </w:rPr>
        <w:t xml:space="preserve">In cases where the phase two </w:t>
      </w:r>
      <w:r w:rsidR="00436D67" w:rsidRPr="003A7891">
        <w:rPr>
          <w:rFonts w:cs="Arial"/>
        </w:rPr>
        <w:t>ESA</w:t>
      </w:r>
      <w:r w:rsidRPr="003A7891">
        <w:rPr>
          <w:rFonts w:cs="Arial"/>
        </w:rPr>
        <w:t xml:space="preserve"> was prepared using non-standard delineation, Section 6 of the RA report must include a statement to this effect, specify the COCs to which non-standard delineation was applied and discuss the implications </w:t>
      </w:r>
      <w:r w:rsidR="00EF6413" w:rsidRPr="003A7891">
        <w:rPr>
          <w:rFonts w:cs="Arial"/>
        </w:rPr>
        <w:t>this may have</w:t>
      </w:r>
      <w:r w:rsidRPr="003A7891">
        <w:rPr>
          <w:rFonts w:cs="Arial"/>
        </w:rPr>
        <w:t xml:space="preserve"> on the conclusions of the risk assessment (including the setting of </w:t>
      </w:r>
      <w:r w:rsidR="00D64A63" w:rsidRPr="003A7891">
        <w:rPr>
          <w:rFonts w:cs="Arial"/>
        </w:rPr>
        <w:t>property specific standards</w:t>
      </w:r>
      <w:r w:rsidRPr="003A7891">
        <w:rPr>
          <w:rFonts w:cs="Arial"/>
        </w:rPr>
        <w:t xml:space="preserve"> and the proposed risk management measures, if any).</w:t>
      </w:r>
    </w:p>
    <w:p w14:paraId="70FE08A3" w14:textId="7966550F" w:rsidR="00AE5710" w:rsidRPr="003A7891" w:rsidRDefault="00AF70E0" w:rsidP="00DE496B">
      <w:pPr>
        <w:pStyle w:val="Heading3"/>
        <w:rPr>
          <w:rFonts w:cs="Arial"/>
        </w:rPr>
      </w:pPr>
      <w:bookmarkStart w:id="120" w:name="_Toc41905669"/>
      <w:r w:rsidRPr="003A7891">
        <w:rPr>
          <w:rFonts w:cs="Arial"/>
        </w:rPr>
        <w:t>A</w:t>
      </w:r>
      <w:r w:rsidR="00AE5710" w:rsidRPr="003A7891">
        <w:rPr>
          <w:rFonts w:cs="Arial"/>
        </w:rPr>
        <w:t xml:space="preserve">ssessment of </w:t>
      </w:r>
      <w:r w:rsidRPr="003A7891">
        <w:rPr>
          <w:rFonts w:cs="Arial"/>
        </w:rPr>
        <w:t>O</w:t>
      </w:r>
      <w:r w:rsidR="00AE5710" w:rsidRPr="003A7891">
        <w:rPr>
          <w:rFonts w:cs="Arial"/>
        </w:rPr>
        <w:t>ff</w:t>
      </w:r>
      <w:r w:rsidR="004950F2" w:rsidRPr="003A7891">
        <w:rPr>
          <w:rFonts w:cs="Arial"/>
        </w:rPr>
        <w:t>-</w:t>
      </w:r>
      <w:r w:rsidR="000C58C6" w:rsidRPr="003A7891">
        <w:rPr>
          <w:rFonts w:cs="Arial"/>
        </w:rPr>
        <w:t>S</w:t>
      </w:r>
      <w:r w:rsidR="00AE5710" w:rsidRPr="003A7891">
        <w:rPr>
          <w:rFonts w:cs="Arial"/>
        </w:rPr>
        <w:t xml:space="preserve">ite </w:t>
      </w:r>
      <w:r w:rsidRPr="003A7891">
        <w:rPr>
          <w:rFonts w:cs="Arial"/>
        </w:rPr>
        <w:t>R</w:t>
      </w:r>
      <w:r w:rsidR="00AE5710" w:rsidRPr="003A7891">
        <w:rPr>
          <w:rFonts w:cs="Arial"/>
        </w:rPr>
        <w:t>isk</w:t>
      </w:r>
      <w:bookmarkEnd w:id="120"/>
    </w:p>
    <w:p w14:paraId="5C9E3FC3" w14:textId="65BDF4FE" w:rsidR="002D7CC8" w:rsidRPr="008D65C3" w:rsidRDefault="002D7CC8" w:rsidP="00840964">
      <w:pPr>
        <w:rPr>
          <w:rFonts w:cs="Arial"/>
        </w:rPr>
      </w:pPr>
      <w:r w:rsidRPr="003A7891">
        <w:rPr>
          <w:rFonts w:cs="Arial"/>
        </w:rPr>
        <w:t xml:space="preserve">Under the </w:t>
      </w:r>
      <w:r w:rsidR="003A0421" w:rsidRPr="003A7891">
        <w:rPr>
          <w:rFonts w:cs="Arial"/>
        </w:rPr>
        <w:t>R</w:t>
      </w:r>
      <w:r w:rsidRPr="003A7891">
        <w:rPr>
          <w:rFonts w:cs="Arial"/>
        </w:rPr>
        <w:t xml:space="preserve">egulation, </w:t>
      </w:r>
      <w:r w:rsidR="00404E5C" w:rsidRPr="003A7891">
        <w:rPr>
          <w:rFonts w:cs="Arial"/>
        </w:rPr>
        <w:t xml:space="preserve">property specific standards can only be proposed for the RA property. However, </w:t>
      </w:r>
      <w:r w:rsidRPr="003A7891">
        <w:rPr>
          <w:rFonts w:cs="Arial"/>
        </w:rPr>
        <w:t xml:space="preserve">the potential effects of a property specific standard on </w:t>
      </w:r>
      <w:proofErr w:type="spellStart"/>
      <w:r w:rsidRPr="003A7891">
        <w:rPr>
          <w:rFonts w:cs="Arial"/>
        </w:rPr>
        <w:t>neighbouring</w:t>
      </w:r>
      <w:proofErr w:type="spellEnd"/>
      <w:r w:rsidRPr="003A7891">
        <w:rPr>
          <w:rFonts w:cs="Arial"/>
        </w:rPr>
        <w:t xml:space="preserve"> off-site properties must be considered as part of the </w:t>
      </w:r>
      <w:r w:rsidR="00AE7F71" w:rsidRPr="003A7891">
        <w:rPr>
          <w:rFonts w:cs="Arial"/>
        </w:rPr>
        <w:t xml:space="preserve">risk assessment and </w:t>
      </w:r>
      <w:r w:rsidRPr="003A7891">
        <w:rPr>
          <w:rFonts w:cs="Arial"/>
        </w:rPr>
        <w:t>review</w:t>
      </w:r>
      <w:r w:rsidRPr="008D65C3">
        <w:rPr>
          <w:rFonts w:cs="Arial"/>
        </w:rPr>
        <w:t xml:space="preserve"> process. Any expectation that a proposed property specific standard will result in an exceedance of the appropriate </w:t>
      </w:r>
      <w:r w:rsidR="00FB24D6" w:rsidRPr="008D65C3">
        <w:rPr>
          <w:rFonts w:cs="Arial"/>
        </w:rPr>
        <w:t>f</w:t>
      </w:r>
      <w:r w:rsidRPr="008D65C3">
        <w:rPr>
          <w:rFonts w:cs="Arial"/>
        </w:rPr>
        <w:t xml:space="preserve">ull </w:t>
      </w:r>
      <w:r w:rsidR="00FB24D6" w:rsidRPr="008D65C3">
        <w:rPr>
          <w:rFonts w:cs="Arial"/>
        </w:rPr>
        <w:t>d</w:t>
      </w:r>
      <w:r w:rsidRPr="008D65C3">
        <w:rPr>
          <w:rFonts w:cs="Arial"/>
        </w:rPr>
        <w:t xml:space="preserve">epth site condition standards on a </w:t>
      </w:r>
      <w:proofErr w:type="spellStart"/>
      <w:r w:rsidRPr="008D65C3">
        <w:rPr>
          <w:rFonts w:cs="Arial"/>
        </w:rPr>
        <w:t>neighbouring</w:t>
      </w:r>
      <w:proofErr w:type="spellEnd"/>
      <w:r w:rsidRPr="008D65C3">
        <w:rPr>
          <w:rFonts w:cs="Arial"/>
        </w:rPr>
        <w:t xml:space="preserve"> property must be assessed and explicitly reported.</w:t>
      </w:r>
    </w:p>
    <w:p w14:paraId="3E010112" w14:textId="22F20499" w:rsidR="00B56292" w:rsidRPr="002A75F2" w:rsidRDefault="00B736F9" w:rsidP="00B56292">
      <w:pPr>
        <w:rPr>
          <w:rFonts w:cs="Arial"/>
        </w:rPr>
      </w:pPr>
      <w:r w:rsidRPr="008D65C3">
        <w:rPr>
          <w:rFonts w:cs="Arial"/>
        </w:rPr>
        <w:lastRenderedPageBreak/>
        <w:t xml:space="preserve">As part of the </w:t>
      </w:r>
      <w:r w:rsidR="005724EB" w:rsidRPr="002A75F2">
        <w:rPr>
          <w:rFonts w:cs="Arial"/>
        </w:rPr>
        <w:t>mandatory certifications included</w:t>
      </w:r>
      <w:r w:rsidRPr="002A75F2">
        <w:rPr>
          <w:rFonts w:cs="Arial"/>
        </w:rPr>
        <w:t xml:space="preserve"> in the</w:t>
      </w:r>
      <w:r w:rsidRPr="008D65C3">
        <w:rPr>
          <w:rFonts w:cs="Arial"/>
        </w:rPr>
        <w:t xml:space="preserve"> RA report Appendices, the Q</w:t>
      </w:r>
      <w:r w:rsidR="00387EFF" w:rsidRPr="008D65C3">
        <w:rPr>
          <w:rFonts w:cs="Arial"/>
        </w:rPr>
        <w:t>P</w:t>
      </w:r>
      <w:r w:rsidRPr="008D65C3">
        <w:rPr>
          <w:rFonts w:cs="Arial"/>
          <w:vertAlign w:val="subscript"/>
        </w:rPr>
        <w:t>RA</w:t>
      </w:r>
      <w:r w:rsidRPr="008D65C3">
        <w:rPr>
          <w:rFonts w:cs="Arial"/>
        </w:rPr>
        <w:t xml:space="preserve"> must certify whether meeting the property</w:t>
      </w:r>
      <w:r w:rsidR="004031C1" w:rsidRPr="008D65C3">
        <w:rPr>
          <w:rFonts w:cs="Arial"/>
        </w:rPr>
        <w:t xml:space="preserve"> </w:t>
      </w:r>
      <w:r w:rsidRPr="008D65C3">
        <w:rPr>
          <w:rFonts w:cs="Arial"/>
        </w:rPr>
        <w:t xml:space="preserve">specific </w:t>
      </w:r>
      <w:r w:rsidR="00C739D6" w:rsidRPr="008D65C3">
        <w:rPr>
          <w:rFonts w:cs="Arial"/>
        </w:rPr>
        <w:t>standards</w:t>
      </w:r>
      <w:r w:rsidRPr="008D65C3">
        <w:rPr>
          <w:rFonts w:cs="Arial"/>
        </w:rPr>
        <w:t xml:space="preserve"> will result in an exceedance of the appropriate </w:t>
      </w:r>
      <w:r w:rsidR="00762548" w:rsidRPr="008D65C3">
        <w:rPr>
          <w:rFonts w:cs="Arial"/>
        </w:rPr>
        <w:t>f</w:t>
      </w:r>
      <w:r w:rsidRPr="008D65C3">
        <w:rPr>
          <w:rFonts w:cs="Arial"/>
        </w:rPr>
        <w:t xml:space="preserve">ull </w:t>
      </w:r>
      <w:r w:rsidR="00762548" w:rsidRPr="008D65C3">
        <w:rPr>
          <w:rFonts w:cs="Arial"/>
        </w:rPr>
        <w:t>d</w:t>
      </w:r>
      <w:r w:rsidRPr="008D65C3">
        <w:rPr>
          <w:rFonts w:cs="Arial"/>
        </w:rPr>
        <w:t xml:space="preserve">epth </w:t>
      </w:r>
      <w:r w:rsidR="00C739D6" w:rsidRPr="008D65C3">
        <w:rPr>
          <w:rFonts w:cs="Arial"/>
        </w:rPr>
        <w:t>site condition standards</w:t>
      </w:r>
      <w:r w:rsidRPr="008D65C3">
        <w:rPr>
          <w:rFonts w:cs="Arial"/>
        </w:rPr>
        <w:t xml:space="preserve"> at the closest off-site receptor (human or ecological). For a given </w:t>
      </w:r>
      <w:smartTag w:uri="urn:schemas-microsoft-com:office:smarttags" w:element="stockticker">
        <w:r w:rsidRPr="008D65C3">
          <w:rPr>
            <w:rFonts w:cs="Arial"/>
          </w:rPr>
          <w:t>COC</w:t>
        </w:r>
      </w:smartTag>
      <w:r w:rsidRPr="008D65C3">
        <w:rPr>
          <w:rFonts w:cs="Arial"/>
        </w:rPr>
        <w:t xml:space="preserve">, the </w:t>
      </w:r>
      <w:r w:rsidR="00657FDB" w:rsidRPr="008D65C3">
        <w:rPr>
          <w:rFonts w:cs="Arial"/>
        </w:rPr>
        <w:t>M</w:t>
      </w:r>
      <w:r w:rsidR="002A6EE0" w:rsidRPr="008D65C3">
        <w:rPr>
          <w:rFonts w:cs="Arial"/>
        </w:rPr>
        <w:t>inistry</w:t>
      </w:r>
      <w:r w:rsidR="002D7CC8" w:rsidRPr="008D65C3">
        <w:rPr>
          <w:rFonts w:cs="Arial"/>
        </w:rPr>
        <w:t>’s response to</w:t>
      </w:r>
      <w:r w:rsidR="000A2F89" w:rsidRPr="008D65C3">
        <w:rPr>
          <w:rFonts w:cs="Arial"/>
        </w:rPr>
        <w:t xml:space="preserve"> </w:t>
      </w:r>
      <w:r w:rsidRPr="008D65C3">
        <w:rPr>
          <w:rFonts w:cs="Arial"/>
        </w:rPr>
        <w:t xml:space="preserve">the potential for any off-site exceedance of the soil and/or groundwater </w:t>
      </w:r>
      <w:r w:rsidR="003F3C3D" w:rsidRPr="008D65C3">
        <w:rPr>
          <w:rFonts w:cs="Arial"/>
        </w:rPr>
        <w:t xml:space="preserve">site condition </w:t>
      </w:r>
      <w:r w:rsidRPr="008D65C3">
        <w:rPr>
          <w:rFonts w:cs="Arial"/>
        </w:rPr>
        <w:t xml:space="preserve">standard will be </w:t>
      </w:r>
      <w:r w:rsidR="00B56292" w:rsidRPr="008D65C3">
        <w:rPr>
          <w:rFonts w:cs="Arial"/>
        </w:rPr>
        <w:t xml:space="preserve">determined on a case-by-case basis </w:t>
      </w:r>
      <w:r w:rsidRPr="008D65C3">
        <w:rPr>
          <w:rFonts w:cs="Arial"/>
        </w:rPr>
        <w:t xml:space="preserve">by the </w:t>
      </w:r>
      <w:r w:rsidR="00657FDB" w:rsidRPr="008D65C3">
        <w:rPr>
          <w:rFonts w:cs="Arial"/>
        </w:rPr>
        <w:t>M</w:t>
      </w:r>
      <w:r w:rsidR="002A6EE0" w:rsidRPr="008D65C3">
        <w:rPr>
          <w:rFonts w:cs="Arial"/>
        </w:rPr>
        <w:t>inistry</w:t>
      </w:r>
      <w:r w:rsidRPr="008D65C3">
        <w:rPr>
          <w:rFonts w:cs="Arial"/>
        </w:rPr>
        <w:t xml:space="preserve"> District Office, which will prioritize any action that may be </w:t>
      </w:r>
      <w:r w:rsidRPr="002A75F2">
        <w:rPr>
          <w:rFonts w:cs="Arial"/>
        </w:rPr>
        <w:t xml:space="preserve">warranted on a specific property, considering the </w:t>
      </w:r>
      <w:r w:rsidR="000A2F89" w:rsidRPr="002A75F2">
        <w:rPr>
          <w:rFonts w:cs="Arial"/>
        </w:rPr>
        <w:t xml:space="preserve">potential </w:t>
      </w:r>
      <w:r w:rsidRPr="002A75F2">
        <w:rPr>
          <w:rFonts w:cs="Arial"/>
        </w:rPr>
        <w:t xml:space="preserve">human health and ecological risk level, social and economic impacts. </w:t>
      </w:r>
      <w:r w:rsidR="002D355B" w:rsidRPr="002A75F2">
        <w:rPr>
          <w:rFonts w:cs="Arial"/>
        </w:rPr>
        <w:t>RA properties with known or suspected contamination migration issues are strongly encouraged to contact the Ministry’s loca</w:t>
      </w:r>
      <w:r w:rsidR="003E3A24" w:rsidRPr="002A75F2">
        <w:rPr>
          <w:rFonts w:cs="Arial"/>
        </w:rPr>
        <w:t>l</w:t>
      </w:r>
      <w:r w:rsidR="002D355B" w:rsidRPr="002A75F2">
        <w:rPr>
          <w:rFonts w:cs="Arial"/>
        </w:rPr>
        <w:t xml:space="preserve"> District Office as soon as possible in the </w:t>
      </w:r>
      <w:r w:rsidR="006C4301" w:rsidRPr="002A75F2">
        <w:rPr>
          <w:rFonts w:cs="Arial"/>
        </w:rPr>
        <w:t>risk assessment</w:t>
      </w:r>
      <w:r w:rsidR="002D355B" w:rsidRPr="002A75F2">
        <w:rPr>
          <w:rFonts w:cs="Arial"/>
        </w:rPr>
        <w:t xml:space="preserve"> process, to avoid delays in the </w:t>
      </w:r>
      <w:r w:rsidR="006C4301" w:rsidRPr="002A75F2">
        <w:rPr>
          <w:rFonts w:cs="Arial"/>
        </w:rPr>
        <w:t>risk assessment</w:t>
      </w:r>
      <w:r w:rsidR="002D355B" w:rsidRPr="002A75F2">
        <w:rPr>
          <w:rFonts w:cs="Arial"/>
        </w:rPr>
        <w:t xml:space="preserve"> review process.</w:t>
      </w:r>
    </w:p>
    <w:p w14:paraId="4792D23A" w14:textId="7417C536" w:rsidR="00B736F9" w:rsidRPr="002A75F2" w:rsidRDefault="00B736F9" w:rsidP="00DE496B">
      <w:pPr>
        <w:pStyle w:val="Heading3"/>
        <w:rPr>
          <w:rFonts w:cs="Arial"/>
        </w:rPr>
      </w:pPr>
      <w:bookmarkStart w:id="121" w:name="_Toc91393543"/>
      <w:bookmarkStart w:id="122" w:name="_Toc112727404"/>
      <w:bookmarkStart w:id="123" w:name="_Toc41905670"/>
      <w:r w:rsidRPr="002A75F2">
        <w:rPr>
          <w:rFonts w:cs="Arial"/>
        </w:rPr>
        <w:t>Special Considerations for Ground</w:t>
      </w:r>
      <w:r w:rsidR="00FE18A0" w:rsidRPr="002A75F2">
        <w:rPr>
          <w:rFonts w:cs="Arial"/>
        </w:rPr>
        <w:t>w</w:t>
      </w:r>
      <w:r w:rsidRPr="002A75F2">
        <w:rPr>
          <w:rFonts w:cs="Arial"/>
        </w:rPr>
        <w:t>ater Standards</w:t>
      </w:r>
      <w:bookmarkEnd w:id="121"/>
      <w:bookmarkEnd w:id="122"/>
      <w:bookmarkEnd w:id="123"/>
    </w:p>
    <w:p w14:paraId="6697C7DF" w14:textId="1D6C8FB2" w:rsidR="0081434A" w:rsidRPr="002A75F2" w:rsidRDefault="007B2474" w:rsidP="00840964">
      <w:pPr>
        <w:rPr>
          <w:rFonts w:cs="Arial"/>
        </w:rPr>
      </w:pPr>
      <w:r w:rsidRPr="002A75F2">
        <w:rPr>
          <w:rFonts w:cs="Arial"/>
        </w:rPr>
        <w:t xml:space="preserve">In the development of generic </w:t>
      </w:r>
      <w:r w:rsidR="00404E5C" w:rsidRPr="002A75F2">
        <w:rPr>
          <w:rFonts w:cs="Arial"/>
        </w:rPr>
        <w:t xml:space="preserve">site condition standards for </w:t>
      </w:r>
      <w:r w:rsidRPr="002A75F2">
        <w:rPr>
          <w:rFonts w:cs="Arial"/>
        </w:rPr>
        <w:t xml:space="preserve">groundwater </w:t>
      </w:r>
      <w:r w:rsidR="001A6F66" w:rsidRPr="002A75F2">
        <w:rPr>
          <w:rFonts w:cs="Arial"/>
        </w:rPr>
        <w:t>and the approved model</w:t>
      </w:r>
      <w:r w:rsidRPr="002A75F2">
        <w:rPr>
          <w:rFonts w:cs="Arial"/>
        </w:rPr>
        <w:t xml:space="preserve">, </w:t>
      </w:r>
      <w:r w:rsidR="00AE2E64" w:rsidRPr="002A75F2">
        <w:rPr>
          <w:rFonts w:cs="Arial"/>
        </w:rPr>
        <w:t xml:space="preserve">the </w:t>
      </w:r>
      <w:r w:rsidR="00214E23" w:rsidRPr="002A75F2">
        <w:rPr>
          <w:rFonts w:cs="Arial"/>
        </w:rPr>
        <w:t>Ministry</w:t>
      </w:r>
      <w:r w:rsidR="00AE2E64" w:rsidRPr="002A75F2">
        <w:rPr>
          <w:rFonts w:cs="Arial"/>
        </w:rPr>
        <w:t xml:space="preserve"> included decision rule</w:t>
      </w:r>
      <w:r w:rsidR="0081434A" w:rsidRPr="002A75F2">
        <w:rPr>
          <w:rFonts w:cs="Arial"/>
        </w:rPr>
        <w:t>s</w:t>
      </w:r>
      <w:r w:rsidR="00AE2E64" w:rsidRPr="002A75F2">
        <w:rPr>
          <w:rFonts w:cs="Arial"/>
        </w:rPr>
        <w:t xml:space="preserve"> </w:t>
      </w:r>
      <w:r w:rsidR="0081434A" w:rsidRPr="002A75F2">
        <w:rPr>
          <w:rFonts w:cs="Arial"/>
        </w:rPr>
        <w:t xml:space="preserve">to protect against </w:t>
      </w:r>
      <w:r w:rsidR="00B02894" w:rsidRPr="002A75F2">
        <w:rPr>
          <w:rFonts w:cs="Arial"/>
        </w:rPr>
        <w:t>the</w:t>
      </w:r>
      <w:r w:rsidR="0081434A" w:rsidRPr="002A75F2">
        <w:rPr>
          <w:rFonts w:cs="Arial"/>
        </w:rPr>
        <w:t xml:space="preserve"> possible formation of free phase product in soil and groundwater. For soil, the numerical value of the standard cannot exceed its free phase threshold concentration (which is applicable to petroleum hydrocarbons). For groundwater, </w:t>
      </w:r>
      <w:r w:rsidR="00AE2E64" w:rsidRPr="002A75F2">
        <w:rPr>
          <w:rFonts w:cs="Arial"/>
        </w:rPr>
        <w:t xml:space="preserve">the numerical value of the standard cannot exceed </w:t>
      </w:r>
      <w:r w:rsidR="005B24BD" w:rsidRPr="002A75F2">
        <w:rPr>
          <w:rFonts w:cs="Arial"/>
        </w:rPr>
        <w:t xml:space="preserve">50% of its </w:t>
      </w:r>
      <w:r w:rsidR="00AE2E64" w:rsidRPr="002A75F2">
        <w:rPr>
          <w:rFonts w:cs="Arial"/>
        </w:rPr>
        <w:t>solubility</w:t>
      </w:r>
      <w:r w:rsidR="00146AF4" w:rsidRPr="002A75F2">
        <w:rPr>
          <w:rFonts w:cs="Arial"/>
        </w:rPr>
        <w:t xml:space="preserve"> concentration</w:t>
      </w:r>
      <w:r w:rsidR="00AE2E64" w:rsidRPr="002A75F2">
        <w:rPr>
          <w:rFonts w:cs="Arial"/>
        </w:rPr>
        <w:t>.</w:t>
      </w:r>
    </w:p>
    <w:p w14:paraId="67DB96D1" w14:textId="6971170A" w:rsidR="00AE2E64" w:rsidRPr="002A75F2" w:rsidRDefault="00AE2E64" w:rsidP="00840964">
      <w:pPr>
        <w:rPr>
          <w:rFonts w:cs="Arial"/>
        </w:rPr>
      </w:pPr>
      <w:r w:rsidRPr="002A75F2">
        <w:rPr>
          <w:rFonts w:cs="Arial"/>
        </w:rPr>
        <w:t>In a risk assessment,</w:t>
      </w:r>
      <w:r w:rsidR="006A323B" w:rsidRPr="002A75F2">
        <w:rPr>
          <w:rFonts w:cs="Arial"/>
        </w:rPr>
        <w:t xml:space="preserve"> </w:t>
      </w:r>
      <w:r w:rsidR="00B736F9" w:rsidRPr="002A75F2">
        <w:rPr>
          <w:rFonts w:cs="Arial"/>
        </w:rPr>
        <w:t xml:space="preserve">if the groundwater concentration for a given chemical parameter exceeds the 50% solubility </w:t>
      </w:r>
      <w:r w:rsidR="00404E5C" w:rsidRPr="002A75F2">
        <w:rPr>
          <w:rFonts w:cs="Arial"/>
        </w:rPr>
        <w:t>limit</w:t>
      </w:r>
      <w:r w:rsidRPr="002A75F2">
        <w:rPr>
          <w:rFonts w:cs="Arial"/>
        </w:rPr>
        <w:t>, then additional risk management may be required, based on a demonstration of the risk of free product formation and the need for mitigation. This requirement is included in Table 1 of Schedule C.</w:t>
      </w:r>
      <w:r w:rsidR="0081434A" w:rsidRPr="002A75F2">
        <w:rPr>
          <w:rFonts w:cs="Arial"/>
        </w:rPr>
        <w:t xml:space="preserve"> In addition, it is recommended that when proposing property specific standards for petroleum hydrocarbons in soil, a comparison to the free phase threshold concentration also be included </w:t>
      </w:r>
      <w:r w:rsidR="00404E5C" w:rsidRPr="002A75F2">
        <w:rPr>
          <w:rFonts w:cs="Arial"/>
        </w:rPr>
        <w:t xml:space="preserve">and discussed </w:t>
      </w:r>
      <w:r w:rsidR="0081434A" w:rsidRPr="002A75F2">
        <w:rPr>
          <w:rFonts w:cs="Arial"/>
        </w:rPr>
        <w:t xml:space="preserve">in </w:t>
      </w:r>
      <w:r w:rsidR="00404E5C" w:rsidRPr="002A75F2">
        <w:rPr>
          <w:rFonts w:cs="Arial"/>
        </w:rPr>
        <w:t>Report Section 6</w:t>
      </w:r>
      <w:r w:rsidR="0081434A" w:rsidRPr="002A75F2">
        <w:rPr>
          <w:rFonts w:cs="Arial"/>
        </w:rPr>
        <w:t xml:space="preserve">. </w:t>
      </w:r>
    </w:p>
    <w:p w14:paraId="6E35C3D6" w14:textId="762C2998" w:rsidR="008E42A1" w:rsidRPr="002A75F2" w:rsidRDefault="00FB24D6" w:rsidP="00840964">
      <w:pPr>
        <w:rPr>
          <w:rFonts w:cs="Arial"/>
        </w:rPr>
      </w:pPr>
      <w:r w:rsidRPr="002A75F2">
        <w:rPr>
          <w:rFonts w:cs="Arial"/>
        </w:rPr>
        <w:t xml:space="preserve">Free product on a site should be removed to the extent technologically practicable. Standards specified in a risk assessment should not result in the formation of free petroleum hydrocarbon product. Standards specified for potable groundwater use should not result in a sheen, taste or </w:t>
      </w:r>
      <w:proofErr w:type="spellStart"/>
      <w:r w:rsidRPr="002A75F2">
        <w:rPr>
          <w:rFonts w:cs="Arial"/>
        </w:rPr>
        <w:t>odour</w:t>
      </w:r>
      <w:proofErr w:type="spellEnd"/>
      <w:r w:rsidRPr="002A75F2">
        <w:rPr>
          <w:rFonts w:cs="Arial"/>
        </w:rPr>
        <w:t xml:space="preserve"> due to petroleum hydrocarbon contamination. </w:t>
      </w:r>
      <w:r w:rsidRPr="002A75F2">
        <w:rPr>
          <w:rFonts w:cs="Arial"/>
          <w:lang w:val="en-CA"/>
        </w:rPr>
        <w:t>Consistent with the approach in place through the 1996 Guideline</w:t>
      </w:r>
      <w:r w:rsidR="007F6CB8" w:rsidRPr="002A75F2">
        <w:rPr>
          <w:rFonts w:cs="Arial"/>
          <w:lang w:val="en-CA"/>
        </w:rPr>
        <w:t xml:space="preserve"> for Use at Contaminated Site in Ontario</w:t>
      </w:r>
      <w:r w:rsidRPr="002A75F2">
        <w:rPr>
          <w:rFonts w:cs="Arial"/>
          <w:lang w:val="en-CA"/>
        </w:rPr>
        <w:t>, the issuance of a certificate of property use and registration on title through a certificate of requirement will generally be required where risk management is necessary to control potential for free product.</w:t>
      </w:r>
      <w:r w:rsidR="00246C7B" w:rsidRPr="002A75F2">
        <w:rPr>
          <w:rFonts w:cs="Arial"/>
        </w:rPr>
        <w:t xml:space="preserve"> </w:t>
      </w:r>
      <w:r w:rsidR="00D119DB" w:rsidRPr="002A75F2">
        <w:rPr>
          <w:rFonts w:cs="Arial"/>
        </w:rPr>
        <w:t xml:space="preserve">QPs should contact the Ministry’s local District Office in cases where free product </w:t>
      </w:r>
      <w:r w:rsidR="00C929E9" w:rsidRPr="002A75F2">
        <w:rPr>
          <w:rFonts w:cs="Arial"/>
        </w:rPr>
        <w:t xml:space="preserve">(or the risk of free product formation) </w:t>
      </w:r>
      <w:r w:rsidR="00D119DB" w:rsidRPr="002A75F2">
        <w:rPr>
          <w:rFonts w:cs="Arial"/>
        </w:rPr>
        <w:t>is expected to remain at a</w:t>
      </w:r>
      <w:r w:rsidR="00743F57" w:rsidRPr="002A75F2">
        <w:rPr>
          <w:rFonts w:cs="Arial"/>
        </w:rPr>
        <w:t xml:space="preserve">n RA </w:t>
      </w:r>
      <w:r w:rsidR="00D119DB" w:rsidRPr="002A75F2">
        <w:rPr>
          <w:rFonts w:cs="Arial"/>
        </w:rPr>
        <w:t>property.</w:t>
      </w:r>
    </w:p>
    <w:p w14:paraId="1FA6E8DF" w14:textId="77777777" w:rsidR="00B736F9" w:rsidRPr="008D65C3" w:rsidRDefault="00B736F9" w:rsidP="00840964">
      <w:pPr>
        <w:rPr>
          <w:rFonts w:cs="Arial"/>
        </w:rPr>
      </w:pPr>
      <w:r w:rsidRPr="002A75F2">
        <w:rPr>
          <w:rFonts w:cs="Arial"/>
        </w:rPr>
        <w:t>If no groundwater standards are proposed that exceed the 50% solubility</w:t>
      </w:r>
      <w:r w:rsidRPr="008D65C3">
        <w:rPr>
          <w:rFonts w:cs="Arial"/>
        </w:rPr>
        <w:t xml:space="preserve"> </w:t>
      </w:r>
      <w:r w:rsidR="00A6163B" w:rsidRPr="008D65C3">
        <w:rPr>
          <w:rFonts w:cs="Arial"/>
        </w:rPr>
        <w:t>limit</w:t>
      </w:r>
      <w:r w:rsidRPr="008D65C3">
        <w:rPr>
          <w:rFonts w:cs="Arial"/>
        </w:rPr>
        <w:t xml:space="preserve"> and no other special considerations apply, the </w:t>
      </w:r>
      <w:r w:rsidR="000767FF" w:rsidRPr="008D65C3">
        <w:rPr>
          <w:rFonts w:cs="Arial"/>
        </w:rPr>
        <w:t>QP</w:t>
      </w:r>
      <w:r w:rsidR="000767FF" w:rsidRPr="008D65C3">
        <w:rPr>
          <w:rFonts w:cs="Arial"/>
          <w:vertAlign w:val="subscript"/>
        </w:rPr>
        <w:t>RA</w:t>
      </w:r>
      <w:r w:rsidRPr="008D65C3">
        <w:rPr>
          <w:rFonts w:cs="Arial"/>
        </w:rPr>
        <w:t xml:space="preserve"> should indicate that no special considerations apply to the groundwater.</w:t>
      </w:r>
    </w:p>
    <w:p w14:paraId="61407DDD" w14:textId="4CB668F2" w:rsidR="00B736F9" w:rsidRPr="008D65C3" w:rsidRDefault="00B736F9" w:rsidP="00445A80">
      <w:pPr>
        <w:pStyle w:val="Heading2"/>
        <w:rPr>
          <w:rFonts w:cs="Arial"/>
        </w:rPr>
      </w:pPr>
      <w:bookmarkStart w:id="124" w:name="_Toc91393544"/>
      <w:bookmarkStart w:id="125" w:name="_Toc112727405"/>
      <w:bookmarkStart w:id="126" w:name="_Toc41905671"/>
      <w:r w:rsidRPr="008D65C3">
        <w:rPr>
          <w:rFonts w:cs="Arial"/>
        </w:rPr>
        <w:t>Appendices</w:t>
      </w:r>
      <w:bookmarkEnd w:id="124"/>
      <w:bookmarkEnd w:id="125"/>
      <w:r w:rsidR="0049786B" w:rsidRPr="008D65C3">
        <w:rPr>
          <w:rFonts w:cs="Arial"/>
        </w:rPr>
        <w:t xml:space="preserve"> to </w:t>
      </w:r>
      <w:r w:rsidR="003A2390" w:rsidRPr="008D65C3">
        <w:rPr>
          <w:rFonts w:cs="Arial"/>
        </w:rPr>
        <w:t>RA</w:t>
      </w:r>
      <w:r w:rsidR="00C34984" w:rsidRPr="008D65C3">
        <w:rPr>
          <w:rFonts w:cs="Arial"/>
        </w:rPr>
        <w:t xml:space="preserve"> </w:t>
      </w:r>
      <w:r w:rsidR="0049786B" w:rsidRPr="008D65C3">
        <w:rPr>
          <w:rFonts w:cs="Arial"/>
        </w:rPr>
        <w:t>Report</w:t>
      </w:r>
      <w:bookmarkEnd w:id="126"/>
    </w:p>
    <w:p w14:paraId="022972BD" w14:textId="77777777" w:rsidR="00B736F9" w:rsidRPr="008D65C3" w:rsidRDefault="00B736F9" w:rsidP="00840964">
      <w:pPr>
        <w:rPr>
          <w:rFonts w:cs="Arial"/>
        </w:rPr>
      </w:pPr>
      <w:r w:rsidRPr="008D65C3">
        <w:rPr>
          <w:rFonts w:cs="Arial"/>
        </w:rPr>
        <w:t>Additional documents which must be supplied as Appendices to all RA reports are identified in the Regulation</w:t>
      </w:r>
      <w:r w:rsidR="00DB095B" w:rsidRPr="008D65C3">
        <w:rPr>
          <w:rFonts w:cs="Arial"/>
        </w:rPr>
        <w:t>:</w:t>
      </w:r>
    </w:p>
    <w:p w14:paraId="0B235BE9" w14:textId="77777777" w:rsidR="00DB095B" w:rsidRPr="008D65C3" w:rsidRDefault="00BC7AAD" w:rsidP="00A47B50">
      <w:pPr>
        <w:pStyle w:val="List2"/>
        <w:numPr>
          <w:ilvl w:val="0"/>
          <w:numId w:val="22"/>
        </w:numPr>
        <w:shd w:val="clear" w:color="auto" w:fill="D9D9D9"/>
        <w:rPr>
          <w:rFonts w:cs="Arial"/>
        </w:rPr>
      </w:pPr>
      <w:r w:rsidRPr="008D65C3">
        <w:rPr>
          <w:rFonts w:cs="Arial"/>
        </w:rPr>
        <w:t>S</w:t>
      </w:r>
      <w:r w:rsidR="00A6163B" w:rsidRPr="008D65C3">
        <w:rPr>
          <w:rFonts w:cs="Arial"/>
        </w:rPr>
        <w:t>ubs</w:t>
      </w:r>
      <w:r w:rsidRPr="008D65C3">
        <w:rPr>
          <w:rFonts w:cs="Arial"/>
        </w:rPr>
        <w:t>ection</w:t>
      </w:r>
      <w:r w:rsidR="00DB095B" w:rsidRPr="008D65C3">
        <w:rPr>
          <w:rFonts w:cs="Arial"/>
        </w:rPr>
        <w:t xml:space="preserve"> 4 (6) of Schedule C (</w:t>
      </w:r>
      <w:r w:rsidR="00530D33" w:rsidRPr="008D65C3">
        <w:rPr>
          <w:rFonts w:cs="Arial"/>
        </w:rPr>
        <w:t>Mandatory r</w:t>
      </w:r>
      <w:r w:rsidR="00DB095B" w:rsidRPr="008D65C3">
        <w:rPr>
          <w:rFonts w:cs="Arial"/>
        </w:rPr>
        <w:t>equiremen</w:t>
      </w:r>
      <w:r w:rsidR="00530D33" w:rsidRPr="008D65C3">
        <w:rPr>
          <w:rFonts w:cs="Arial"/>
        </w:rPr>
        <w:t>ts for risk assessment r</w:t>
      </w:r>
      <w:r w:rsidR="00DB095B" w:rsidRPr="008D65C3">
        <w:rPr>
          <w:rFonts w:cs="Arial"/>
        </w:rPr>
        <w:t>eports)</w:t>
      </w:r>
    </w:p>
    <w:p w14:paraId="6689A34E" w14:textId="77777777" w:rsidR="00DB095B" w:rsidRPr="008D65C3" w:rsidRDefault="00BC7AAD" w:rsidP="00A47B50">
      <w:pPr>
        <w:pStyle w:val="List2"/>
        <w:numPr>
          <w:ilvl w:val="0"/>
          <w:numId w:val="22"/>
        </w:numPr>
        <w:shd w:val="clear" w:color="auto" w:fill="D9D9D9"/>
        <w:rPr>
          <w:rFonts w:cs="Arial"/>
        </w:rPr>
      </w:pPr>
      <w:r w:rsidRPr="008D65C3">
        <w:rPr>
          <w:rFonts w:cs="Arial"/>
        </w:rPr>
        <w:lastRenderedPageBreak/>
        <w:t>Section</w:t>
      </w:r>
      <w:r w:rsidR="00DB095B" w:rsidRPr="008D65C3">
        <w:rPr>
          <w:rFonts w:cs="Arial"/>
        </w:rPr>
        <w:t xml:space="preserve"> 5 of Schedule C (Mandatory certifications)</w:t>
      </w:r>
    </w:p>
    <w:p w14:paraId="494AD7DE" w14:textId="722D16AB" w:rsidR="00B736F9" w:rsidRPr="002A75F2" w:rsidRDefault="00B736F9" w:rsidP="00840964">
      <w:pPr>
        <w:rPr>
          <w:rFonts w:cs="Arial"/>
        </w:rPr>
      </w:pPr>
      <w:r w:rsidRPr="008D65C3">
        <w:rPr>
          <w:rFonts w:cs="Arial"/>
        </w:rPr>
        <w:t xml:space="preserve">A list of documents </w:t>
      </w:r>
      <w:r w:rsidR="003B03E9" w:rsidRPr="008D65C3">
        <w:rPr>
          <w:rFonts w:cs="Arial"/>
        </w:rPr>
        <w:t xml:space="preserve">that must </w:t>
      </w:r>
      <w:r w:rsidRPr="008D65C3">
        <w:rPr>
          <w:rFonts w:cs="Arial"/>
        </w:rPr>
        <w:t xml:space="preserve">be attached </w:t>
      </w:r>
      <w:r w:rsidR="003B03E9" w:rsidRPr="008D65C3">
        <w:rPr>
          <w:rFonts w:cs="Arial"/>
        </w:rPr>
        <w:t xml:space="preserve">as appendices </w:t>
      </w:r>
      <w:r w:rsidRPr="008D65C3">
        <w:rPr>
          <w:rFonts w:cs="Arial"/>
        </w:rPr>
        <w:t>to the RA report is provided below.</w:t>
      </w:r>
      <w:r w:rsidR="0034145E">
        <w:rPr>
          <w:rFonts w:cs="Arial"/>
        </w:rPr>
        <w:t xml:space="preserve"> </w:t>
      </w:r>
      <w:r w:rsidRPr="008D65C3">
        <w:rPr>
          <w:rFonts w:cs="Arial"/>
        </w:rPr>
        <w:t xml:space="preserve">The </w:t>
      </w:r>
      <w:r w:rsidR="000767FF" w:rsidRPr="008D65C3">
        <w:rPr>
          <w:rFonts w:cs="Arial"/>
        </w:rPr>
        <w:t>QP</w:t>
      </w:r>
      <w:r w:rsidR="000767FF" w:rsidRPr="008D65C3">
        <w:rPr>
          <w:rFonts w:cs="Arial"/>
          <w:vertAlign w:val="subscript"/>
        </w:rPr>
        <w:t>RA</w:t>
      </w:r>
      <w:r w:rsidRPr="008D65C3">
        <w:rPr>
          <w:rFonts w:cs="Arial"/>
        </w:rPr>
        <w:t xml:space="preserve"> is </w:t>
      </w:r>
      <w:r w:rsidRPr="002A75F2">
        <w:rPr>
          <w:rFonts w:cs="Arial"/>
        </w:rPr>
        <w:t xml:space="preserve">directed to the </w:t>
      </w:r>
      <w:r w:rsidR="00E534E4" w:rsidRPr="002A75F2">
        <w:rPr>
          <w:rFonts w:cs="Arial"/>
        </w:rPr>
        <w:t>R</w:t>
      </w:r>
      <w:r w:rsidRPr="002A75F2">
        <w:rPr>
          <w:rFonts w:cs="Arial"/>
        </w:rPr>
        <w:t>egulation regarding the required content of these documents:</w:t>
      </w:r>
    </w:p>
    <w:p w14:paraId="574849D2" w14:textId="77777777" w:rsidR="00B736F9" w:rsidRPr="002A75F2" w:rsidRDefault="00B736F9" w:rsidP="000E72E5">
      <w:pPr>
        <w:pStyle w:val="ListBullet2"/>
        <w:rPr>
          <w:rFonts w:cs="Arial"/>
        </w:rPr>
      </w:pPr>
      <w:r w:rsidRPr="002A75F2">
        <w:rPr>
          <w:rFonts w:cs="Arial"/>
        </w:rPr>
        <w:t>Mandatory Certifications</w:t>
      </w:r>
      <w:r w:rsidR="00A6163B" w:rsidRPr="002A75F2">
        <w:rPr>
          <w:rFonts w:cs="Arial"/>
        </w:rPr>
        <w:t xml:space="preserve"> set out in section 5 of Schedule C</w:t>
      </w:r>
      <w:r w:rsidR="00E223A4" w:rsidRPr="002A75F2">
        <w:rPr>
          <w:rFonts w:cs="Arial"/>
        </w:rPr>
        <w:t>.</w:t>
      </w:r>
    </w:p>
    <w:p w14:paraId="0B44E5E4" w14:textId="7C1480D8" w:rsidR="004B7524" w:rsidRPr="002A75F2" w:rsidRDefault="0003694C" w:rsidP="000E72E5">
      <w:pPr>
        <w:pStyle w:val="ListBullet2"/>
        <w:rPr>
          <w:rFonts w:cs="Arial"/>
        </w:rPr>
      </w:pPr>
      <w:r w:rsidRPr="002A75F2">
        <w:rPr>
          <w:rFonts w:cs="Arial"/>
        </w:rPr>
        <w:t>PSF</w:t>
      </w:r>
      <w:r w:rsidR="00B736F9" w:rsidRPr="002A75F2">
        <w:rPr>
          <w:rFonts w:cs="Arial"/>
        </w:rPr>
        <w:t xml:space="preserve">, </w:t>
      </w:r>
      <w:r w:rsidR="00657FDB" w:rsidRPr="002A75F2">
        <w:rPr>
          <w:rFonts w:cs="Arial"/>
        </w:rPr>
        <w:t>M</w:t>
      </w:r>
      <w:r w:rsidR="002A6EE0" w:rsidRPr="002A75F2">
        <w:rPr>
          <w:rFonts w:cs="Arial"/>
        </w:rPr>
        <w:t>inistry</w:t>
      </w:r>
      <w:r w:rsidR="00B736F9" w:rsidRPr="002A75F2">
        <w:rPr>
          <w:rFonts w:cs="Arial"/>
        </w:rPr>
        <w:t xml:space="preserve"> response and how </w:t>
      </w:r>
      <w:r w:rsidR="00657FDB" w:rsidRPr="002A75F2">
        <w:rPr>
          <w:rFonts w:cs="Arial"/>
        </w:rPr>
        <w:t>M</w:t>
      </w:r>
      <w:r w:rsidR="002A6EE0" w:rsidRPr="002A75F2">
        <w:rPr>
          <w:rFonts w:cs="Arial"/>
        </w:rPr>
        <w:t>inistry</w:t>
      </w:r>
      <w:r w:rsidR="00B736F9" w:rsidRPr="002A75F2">
        <w:rPr>
          <w:rFonts w:cs="Arial"/>
        </w:rPr>
        <w:t xml:space="preserve"> concerns, if any, were addressed.</w:t>
      </w:r>
      <w:r w:rsidR="00196161" w:rsidRPr="002A75F2">
        <w:rPr>
          <w:rFonts w:cs="Arial"/>
        </w:rPr>
        <w:t xml:space="preserve"> </w:t>
      </w:r>
    </w:p>
    <w:p w14:paraId="6D34252E" w14:textId="1744A90D" w:rsidR="00B736F9" w:rsidRPr="002A75F2" w:rsidRDefault="00B736F9" w:rsidP="000E72E5">
      <w:pPr>
        <w:pStyle w:val="ListBullet2"/>
        <w:rPr>
          <w:rFonts w:cs="Arial"/>
        </w:rPr>
      </w:pPr>
      <w:r w:rsidRPr="002A75F2">
        <w:rPr>
          <w:rFonts w:cs="Arial"/>
        </w:rPr>
        <w:t xml:space="preserve">Resumes for the </w:t>
      </w:r>
      <w:r w:rsidR="000767FF" w:rsidRPr="002A75F2">
        <w:rPr>
          <w:rFonts w:cs="Arial"/>
        </w:rPr>
        <w:t>QP</w:t>
      </w:r>
      <w:r w:rsidR="000767FF" w:rsidRPr="002A75F2">
        <w:rPr>
          <w:rFonts w:cs="Arial"/>
          <w:vertAlign w:val="subscript"/>
        </w:rPr>
        <w:t>RA</w:t>
      </w:r>
      <w:r w:rsidRPr="002A75F2">
        <w:rPr>
          <w:rFonts w:cs="Arial"/>
        </w:rPr>
        <w:t xml:space="preserve"> and team technical leads</w:t>
      </w:r>
      <w:r w:rsidR="00A6163B" w:rsidRPr="002A75F2">
        <w:rPr>
          <w:rFonts w:cs="Arial"/>
        </w:rPr>
        <w:t>. C</w:t>
      </w:r>
      <w:r w:rsidRPr="002A75F2">
        <w:rPr>
          <w:rFonts w:cs="Arial"/>
        </w:rPr>
        <w:t xml:space="preserve">ontact information for work references (employers, colleagues, clients) who can support experience claims of the </w:t>
      </w:r>
      <w:r w:rsidR="000767FF" w:rsidRPr="002A75F2">
        <w:rPr>
          <w:rFonts w:cs="Arial"/>
        </w:rPr>
        <w:t>QP</w:t>
      </w:r>
      <w:r w:rsidR="000767FF" w:rsidRPr="002A75F2">
        <w:rPr>
          <w:rFonts w:cs="Arial"/>
          <w:vertAlign w:val="subscript"/>
        </w:rPr>
        <w:t>RA</w:t>
      </w:r>
      <w:r w:rsidR="00A6163B" w:rsidRPr="002A75F2">
        <w:rPr>
          <w:rFonts w:cs="Arial"/>
        </w:rPr>
        <w:t xml:space="preserve"> should also be provided.</w:t>
      </w:r>
    </w:p>
    <w:p w14:paraId="04834F40" w14:textId="77777777" w:rsidR="00B736F9" w:rsidRPr="002A75F2" w:rsidRDefault="00B736F9" w:rsidP="000E72E5">
      <w:pPr>
        <w:pStyle w:val="ListBullet2"/>
        <w:rPr>
          <w:rFonts w:cs="Arial"/>
        </w:rPr>
      </w:pPr>
      <w:r w:rsidRPr="002A75F2">
        <w:rPr>
          <w:rFonts w:cs="Arial"/>
        </w:rPr>
        <w:t>List of documents relied upon in the preparation of the RA report.</w:t>
      </w:r>
    </w:p>
    <w:p w14:paraId="3C83EF57" w14:textId="2E2E924F" w:rsidR="003B03E9" w:rsidRPr="002A75F2" w:rsidRDefault="003B03E9" w:rsidP="000E72E5">
      <w:pPr>
        <w:pStyle w:val="ListBullet2"/>
        <w:rPr>
          <w:rFonts w:cs="Arial"/>
        </w:rPr>
      </w:pPr>
      <w:r w:rsidRPr="002A75F2">
        <w:rPr>
          <w:rFonts w:cs="Arial"/>
        </w:rPr>
        <w:t xml:space="preserve">A summary of the phase one </w:t>
      </w:r>
      <w:r w:rsidR="00436D67" w:rsidRPr="002A75F2">
        <w:rPr>
          <w:rFonts w:cs="Arial"/>
        </w:rPr>
        <w:t>ESA</w:t>
      </w:r>
      <w:r w:rsidRPr="002A75F2">
        <w:rPr>
          <w:rFonts w:cs="Arial"/>
        </w:rPr>
        <w:t xml:space="preserve"> and phase two </w:t>
      </w:r>
      <w:r w:rsidR="00436D67" w:rsidRPr="002A75F2">
        <w:rPr>
          <w:rFonts w:cs="Arial"/>
        </w:rPr>
        <w:t>ESA</w:t>
      </w:r>
      <w:r w:rsidRPr="002A75F2">
        <w:rPr>
          <w:rFonts w:cs="Arial"/>
        </w:rPr>
        <w:t xml:space="preserve"> reports, including, </w:t>
      </w:r>
    </w:p>
    <w:p w14:paraId="2C81B313" w14:textId="0665B44D" w:rsidR="003B03E9" w:rsidRPr="002A75F2" w:rsidRDefault="003B03E9" w:rsidP="000E72E5">
      <w:pPr>
        <w:pStyle w:val="ListBullet2"/>
        <w:numPr>
          <w:ilvl w:val="0"/>
          <w:numId w:val="18"/>
        </w:numPr>
        <w:rPr>
          <w:rFonts w:cs="Arial"/>
        </w:rPr>
      </w:pPr>
      <w:r w:rsidRPr="002A75F2">
        <w:rPr>
          <w:rFonts w:cs="Arial"/>
        </w:rPr>
        <w:t xml:space="preserve">justification for the sampling program used in undertaking the phase two </w:t>
      </w:r>
      <w:r w:rsidR="00436D67" w:rsidRPr="002A75F2">
        <w:rPr>
          <w:rFonts w:cs="Arial"/>
        </w:rPr>
        <w:t>ESA</w:t>
      </w:r>
      <w:r w:rsidRPr="002A75F2">
        <w:rPr>
          <w:rFonts w:cs="Arial"/>
        </w:rPr>
        <w:t xml:space="preserve">, </w:t>
      </w:r>
    </w:p>
    <w:p w14:paraId="06BFAAE9" w14:textId="77777777" w:rsidR="003B03E9" w:rsidRPr="002A75F2" w:rsidRDefault="003B03E9" w:rsidP="000E72E5">
      <w:pPr>
        <w:pStyle w:val="ListBullet2"/>
        <w:numPr>
          <w:ilvl w:val="0"/>
          <w:numId w:val="18"/>
        </w:numPr>
        <w:rPr>
          <w:rFonts w:cs="Arial"/>
        </w:rPr>
      </w:pPr>
      <w:r w:rsidRPr="002A75F2">
        <w:rPr>
          <w:rFonts w:cs="Arial"/>
        </w:rPr>
        <w:t xml:space="preserve">a summary of quality assurance and quality controls used for the sampling program and analysis of the samples, </w:t>
      </w:r>
    </w:p>
    <w:p w14:paraId="020C594E" w14:textId="77777777" w:rsidR="003B03E9" w:rsidRPr="002A75F2" w:rsidRDefault="003B03E9" w:rsidP="000E72E5">
      <w:pPr>
        <w:pStyle w:val="ListBullet2"/>
        <w:numPr>
          <w:ilvl w:val="0"/>
          <w:numId w:val="18"/>
        </w:numPr>
        <w:rPr>
          <w:rFonts w:cs="Arial"/>
        </w:rPr>
      </w:pPr>
      <w:r w:rsidRPr="002A75F2">
        <w:rPr>
          <w:rFonts w:cs="Arial"/>
        </w:rPr>
        <w:t xml:space="preserve">an assessment of whether the sampling program is sufficient for the purposes of the risk assessment and if not, a description of what further site investigations were conducted to support the risk assessment, and </w:t>
      </w:r>
    </w:p>
    <w:p w14:paraId="2ECAC2B4" w14:textId="77777777" w:rsidR="003B03E9" w:rsidRPr="002A75F2" w:rsidRDefault="003B03E9" w:rsidP="000E72E5">
      <w:pPr>
        <w:pStyle w:val="ListBullet2"/>
        <w:numPr>
          <w:ilvl w:val="0"/>
          <w:numId w:val="18"/>
        </w:numPr>
        <w:rPr>
          <w:rFonts w:cs="Arial"/>
        </w:rPr>
      </w:pPr>
      <w:r w:rsidRPr="002A75F2">
        <w:rPr>
          <w:rFonts w:cs="Arial"/>
        </w:rPr>
        <w:t>a rationale for and description of any hydrogeological and geological interpretations which differ from assumptions on which the Soil, Ground Water and Sediment Standards are based.</w:t>
      </w:r>
    </w:p>
    <w:p w14:paraId="339C442B" w14:textId="401622E0" w:rsidR="003B03E9" w:rsidRPr="002A75F2" w:rsidRDefault="003B03E9" w:rsidP="000E72E5">
      <w:pPr>
        <w:pStyle w:val="ListBullet2"/>
        <w:rPr>
          <w:rFonts w:cs="Arial"/>
        </w:rPr>
      </w:pPr>
      <w:r w:rsidRPr="002A75F2">
        <w:rPr>
          <w:rFonts w:cs="Arial"/>
        </w:rPr>
        <w:t xml:space="preserve">The appendix to the phase two </w:t>
      </w:r>
      <w:r w:rsidR="00436D67" w:rsidRPr="002A75F2">
        <w:rPr>
          <w:rFonts w:cs="Arial"/>
        </w:rPr>
        <w:t>ESA</w:t>
      </w:r>
      <w:r w:rsidRPr="002A75F2">
        <w:rPr>
          <w:rFonts w:cs="Arial"/>
        </w:rPr>
        <w:t xml:space="preserve"> report that reports on requirements in a phase two </w:t>
      </w:r>
      <w:r w:rsidR="00307733" w:rsidRPr="002A75F2">
        <w:rPr>
          <w:rFonts w:cs="Arial"/>
        </w:rPr>
        <w:t>ESA</w:t>
      </w:r>
      <w:r w:rsidRPr="002A75F2">
        <w:rPr>
          <w:rFonts w:cs="Arial"/>
        </w:rPr>
        <w:t xml:space="preserve"> in support of a</w:t>
      </w:r>
      <w:r w:rsidR="00E14BCD" w:rsidRPr="002A75F2">
        <w:rPr>
          <w:rFonts w:cs="Arial"/>
        </w:rPr>
        <w:t xml:space="preserve">n MGRA </w:t>
      </w:r>
      <w:r w:rsidR="00E7728F" w:rsidRPr="002A75F2">
        <w:rPr>
          <w:rFonts w:cs="Arial"/>
        </w:rPr>
        <w:t xml:space="preserve">(i.e. Table 4 of Schedule E). This requirement is specific to Tier 2 </w:t>
      </w:r>
      <w:r w:rsidR="002B4755" w:rsidRPr="002A75F2">
        <w:rPr>
          <w:rFonts w:cs="Arial"/>
        </w:rPr>
        <w:t>risk assessments</w:t>
      </w:r>
      <w:r w:rsidR="00993A09" w:rsidRPr="002A75F2">
        <w:rPr>
          <w:rFonts w:cs="Arial"/>
        </w:rPr>
        <w:t xml:space="preserve"> only</w:t>
      </w:r>
      <w:r w:rsidR="00E7728F" w:rsidRPr="002A75F2">
        <w:rPr>
          <w:rFonts w:cs="Arial"/>
        </w:rPr>
        <w:t xml:space="preserve">, however for Tier 3 </w:t>
      </w:r>
      <w:r w:rsidR="008131C5" w:rsidRPr="002A75F2">
        <w:rPr>
          <w:rFonts w:cs="Arial"/>
        </w:rPr>
        <w:t>risk assessments</w:t>
      </w:r>
      <w:r w:rsidR="00E7728F" w:rsidRPr="002A75F2">
        <w:rPr>
          <w:rFonts w:cs="Arial"/>
        </w:rPr>
        <w:t xml:space="preserve"> which rely in part on the </w:t>
      </w:r>
      <w:r w:rsidR="00BA09A1" w:rsidRPr="002A75F2">
        <w:rPr>
          <w:rFonts w:cs="Arial"/>
        </w:rPr>
        <w:t>Ministry’s a</w:t>
      </w:r>
      <w:r w:rsidR="00E7728F" w:rsidRPr="002A75F2">
        <w:rPr>
          <w:rFonts w:cs="Arial"/>
        </w:rPr>
        <w:t xml:space="preserve">pproved </w:t>
      </w:r>
      <w:r w:rsidR="00BA09A1" w:rsidRPr="002A75F2">
        <w:rPr>
          <w:rFonts w:cs="Arial"/>
        </w:rPr>
        <w:t>m</w:t>
      </w:r>
      <w:r w:rsidR="00E7728F" w:rsidRPr="002A75F2">
        <w:rPr>
          <w:rFonts w:cs="Arial"/>
        </w:rPr>
        <w:t>odel (e.g. for updated component values, site</w:t>
      </w:r>
      <w:r w:rsidR="00E07B06" w:rsidRPr="002A75F2">
        <w:rPr>
          <w:rFonts w:cs="Arial"/>
        </w:rPr>
        <w:t>-</w:t>
      </w:r>
      <w:r w:rsidR="00214E23" w:rsidRPr="002A75F2">
        <w:rPr>
          <w:rFonts w:cs="Arial"/>
        </w:rPr>
        <w:t>specific</w:t>
      </w:r>
      <w:r w:rsidR="00E7728F" w:rsidRPr="002A75F2">
        <w:rPr>
          <w:rFonts w:cs="Arial"/>
        </w:rPr>
        <w:t xml:space="preserve"> component values, </w:t>
      </w:r>
      <w:r w:rsidR="00993A09" w:rsidRPr="002A75F2">
        <w:rPr>
          <w:rFonts w:cs="Arial"/>
        </w:rPr>
        <w:t xml:space="preserve">soil </w:t>
      </w:r>
      <w:proofErr w:type="spellStart"/>
      <w:r w:rsidR="00993A09" w:rsidRPr="002A75F2">
        <w:rPr>
          <w:rFonts w:cs="Arial"/>
        </w:rPr>
        <w:t>vapour</w:t>
      </w:r>
      <w:proofErr w:type="spellEnd"/>
      <w:r w:rsidR="00993A09" w:rsidRPr="002A75F2">
        <w:rPr>
          <w:rFonts w:cs="Arial"/>
        </w:rPr>
        <w:t xml:space="preserve"> screening levels, </w:t>
      </w:r>
      <w:r w:rsidR="00E7728F" w:rsidRPr="002A75F2">
        <w:rPr>
          <w:rFonts w:cs="Arial"/>
        </w:rPr>
        <w:t>etc.), this information should also be provided.</w:t>
      </w:r>
    </w:p>
    <w:p w14:paraId="0CEFE8C3" w14:textId="2C44CC55" w:rsidR="003B03E9" w:rsidRPr="002A75F2" w:rsidRDefault="003B03E9" w:rsidP="000E72E5">
      <w:pPr>
        <w:pStyle w:val="ListBullet2"/>
        <w:rPr>
          <w:rFonts w:cs="Arial"/>
        </w:rPr>
      </w:pPr>
      <w:r w:rsidRPr="002A75F2">
        <w:rPr>
          <w:rFonts w:cs="Arial"/>
        </w:rPr>
        <w:t xml:space="preserve">The portion of the review and evaluation section of the phase two </w:t>
      </w:r>
      <w:r w:rsidR="00307733" w:rsidRPr="002A75F2">
        <w:rPr>
          <w:rFonts w:cs="Arial"/>
        </w:rPr>
        <w:t>ESA</w:t>
      </w:r>
      <w:r w:rsidRPr="002A75F2">
        <w:rPr>
          <w:rFonts w:cs="Arial"/>
        </w:rPr>
        <w:t xml:space="preserve"> report headed “phase two conceptual site model”.</w:t>
      </w:r>
      <w:r w:rsidR="00993A09" w:rsidRPr="002A75F2">
        <w:rPr>
          <w:rFonts w:cs="Arial"/>
        </w:rPr>
        <w:t xml:space="preserve"> The phase two conceptual site model should be extracted directly from the phase two </w:t>
      </w:r>
      <w:r w:rsidR="002806D0" w:rsidRPr="002A75F2">
        <w:rPr>
          <w:rFonts w:cs="Arial"/>
        </w:rPr>
        <w:t xml:space="preserve">ESA </w:t>
      </w:r>
      <w:r w:rsidR="00993A09" w:rsidRPr="002A75F2">
        <w:rPr>
          <w:rFonts w:cs="Arial"/>
        </w:rPr>
        <w:t>report.</w:t>
      </w:r>
    </w:p>
    <w:p w14:paraId="6AC12AB9" w14:textId="77777777" w:rsidR="00B736F9" w:rsidRPr="008D65C3" w:rsidRDefault="00B736F9" w:rsidP="000E72E5">
      <w:pPr>
        <w:pStyle w:val="ListBullet2"/>
        <w:rPr>
          <w:rFonts w:cs="Arial"/>
        </w:rPr>
      </w:pPr>
      <w:r w:rsidRPr="002A75F2">
        <w:rPr>
          <w:rFonts w:cs="Arial"/>
        </w:rPr>
        <w:t>A copy of any reports documenting further site investigations</w:t>
      </w:r>
      <w:r w:rsidRPr="008D65C3">
        <w:rPr>
          <w:rFonts w:cs="Arial"/>
        </w:rPr>
        <w:t xml:space="preserve"> conducted for risk assessment purposes (if applicable).</w:t>
      </w:r>
    </w:p>
    <w:p w14:paraId="0F90E9A8" w14:textId="77777777" w:rsidR="00B736F9" w:rsidRPr="002A75F2" w:rsidRDefault="00B736F9" w:rsidP="000E72E5">
      <w:pPr>
        <w:pStyle w:val="ListBullet2"/>
        <w:rPr>
          <w:rFonts w:cs="Arial"/>
        </w:rPr>
      </w:pPr>
      <w:r w:rsidRPr="008D65C3">
        <w:rPr>
          <w:rFonts w:cs="Arial"/>
        </w:rPr>
        <w:t xml:space="preserve">A copy of the written notice of intention to conduct a risk assessment that assumes non-potable groundwater condition addressed to the municipality in which the RA </w:t>
      </w:r>
      <w:r w:rsidRPr="002A75F2">
        <w:rPr>
          <w:rFonts w:cs="Arial"/>
        </w:rPr>
        <w:t>property is located, together with a copy of any response from the municipality (if non-potable groundwater use was assumed).</w:t>
      </w:r>
    </w:p>
    <w:p w14:paraId="45607B77" w14:textId="77777777" w:rsidR="00A6163B" w:rsidRPr="002A75F2" w:rsidRDefault="00B736F9" w:rsidP="00A6163B">
      <w:pPr>
        <w:pStyle w:val="ListBullet2"/>
        <w:rPr>
          <w:rFonts w:cs="Arial"/>
        </w:rPr>
      </w:pPr>
      <w:r w:rsidRPr="002A75F2">
        <w:rPr>
          <w:rFonts w:cs="Arial"/>
        </w:rPr>
        <w:t>An engineering or hydrogeological report recommending the design of engineering and/or hydrogeological controls, including detailed plans and specifications (if applicable).</w:t>
      </w:r>
      <w:r w:rsidR="00A6163B" w:rsidRPr="002A75F2">
        <w:rPr>
          <w:rFonts w:cs="Arial"/>
        </w:rPr>
        <w:t xml:space="preserve"> </w:t>
      </w:r>
    </w:p>
    <w:p w14:paraId="216D6F3B" w14:textId="77777777" w:rsidR="00B736F9" w:rsidRPr="002A75F2" w:rsidRDefault="00A6163B" w:rsidP="00A6163B">
      <w:pPr>
        <w:pStyle w:val="ListBullet2"/>
        <w:rPr>
          <w:rFonts w:cs="Arial"/>
        </w:rPr>
      </w:pPr>
      <w:r w:rsidRPr="002A75F2">
        <w:rPr>
          <w:rFonts w:cs="Arial"/>
        </w:rPr>
        <w:lastRenderedPageBreak/>
        <w:t>Note that if there was any change in the RA property ownership and/or change in the RA property boundaries since the submission of the PSF, then an updated legal description (including plan of survey) will need to be included in a separate appendix to the RA report.</w:t>
      </w:r>
    </w:p>
    <w:p w14:paraId="7E50EC98" w14:textId="77777777" w:rsidR="00B736F9" w:rsidRPr="008D65C3" w:rsidRDefault="00B736F9" w:rsidP="00840964">
      <w:pPr>
        <w:rPr>
          <w:rFonts w:cs="Arial"/>
        </w:rPr>
      </w:pPr>
      <w:r w:rsidRPr="002A75F2">
        <w:rPr>
          <w:rFonts w:cs="Arial"/>
        </w:rPr>
        <w:t>Other information may be provided</w:t>
      </w:r>
      <w:r w:rsidRPr="008D65C3">
        <w:rPr>
          <w:rFonts w:cs="Arial"/>
        </w:rPr>
        <w:t xml:space="preserve"> as Appendices to the RA report at the discretion of the </w:t>
      </w:r>
      <w:r w:rsidR="000767FF" w:rsidRPr="008D65C3">
        <w:rPr>
          <w:rFonts w:cs="Arial"/>
        </w:rPr>
        <w:t>QP</w:t>
      </w:r>
      <w:r w:rsidR="000767FF" w:rsidRPr="008D65C3">
        <w:rPr>
          <w:rFonts w:cs="Arial"/>
          <w:vertAlign w:val="subscript"/>
        </w:rPr>
        <w:t>RA</w:t>
      </w:r>
      <w:r w:rsidRPr="008D65C3">
        <w:rPr>
          <w:rFonts w:cs="Arial"/>
        </w:rPr>
        <w:t>.</w:t>
      </w:r>
    </w:p>
    <w:p w14:paraId="01916BF9" w14:textId="77777777" w:rsidR="003F3C3D" w:rsidRPr="008D65C3" w:rsidRDefault="003F3C3D" w:rsidP="006F25DD">
      <w:pPr>
        <w:pStyle w:val="Heading1"/>
      </w:pPr>
      <w:bookmarkStart w:id="127" w:name="_Toc112727409"/>
      <w:bookmarkStart w:id="128" w:name="_Toc41905672"/>
      <w:bookmarkStart w:id="129" w:name="_Toc91393549"/>
      <w:bookmarkStart w:id="130" w:name="_Toc74119412"/>
      <w:bookmarkStart w:id="131" w:name="_Toc74450892"/>
      <w:r w:rsidRPr="008D65C3">
        <w:lastRenderedPageBreak/>
        <w:t>Property Information, Site Plan and Geological Interpretation</w:t>
      </w:r>
      <w:bookmarkEnd w:id="127"/>
      <w:bookmarkEnd w:id="128"/>
    </w:p>
    <w:p w14:paraId="42E7E089" w14:textId="4FE25DA8" w:rsidR="00887CE9" w:rsidRPr="008D65C3" w:rsidRDefault="00887CE9" w:rsidP="00887CE9">
      <w:pPr>
        <w:rPr>
          <w:rFonts w:cs="Arial"/>
          <w:lang w:val="en-CA"/>
        </w:rPr>
      </w:pPr>
      <w:r w:rsidRPr="008D65C3">
        <w:rPr>
          <w:rFonts w:cs="Arial"/>
        </w:rPr>
        <w:t xml:space="preserve">The HHRA and ERA rely on a common description of the property, its geological and hydrogeological </w:t>
      </w:r>
      <w:r w:rsidRPr="002A75F2">
        <w:rPr>
          <w:rFonts w:cs="Arial"/>
        </w:rPr>
        <w:t xml:space="preserve">setting and contamination status. This information is collected and reported through </w:t>
      </w:r>
      <w:r w:rsidR="0087712A" w:rsidRPr="002A75F2">
        <w:rPr>
          <w:rFonts w:cs="Arial"/>
        </w:rPr>
        <w:t>p</w:t>
      </w:r>
      <w:r w:rsidRPr="002A75F2">
        <w:rPr>
          <w:rFonts w:cs="Arial"/>
        </w:rPr>
        <w:t xml:space="preserve">hase one and </w:t>
      </w:r>
      <w:r w:rsidR="0087712A" w:rsidRPr="002A75F2">
        <w:rPr>
          <w:rFonts w:cs="Arial"/>
        </w:rPr>
        <w:t>p</w:t>
      </w:r>
      <w:r w:rsidRPr="002A75F2">
        <w:rPr>
          <w:rFonts w:cs="Arial"/>
        </w:rPr>
        <w:t xml:space="preserve">hase two </w:t>
      </w:r>
      <w:r w:rsidR="00CC73C0" w:rsidRPr="002A75F2">
        <w:rPr>
          <w:rFonts w:cs="Arial"/>
        </w:rPr>
        <w:t>ESA</w:t>
      </w:r>
      <w:r w:rsidR="00B45E05" w:rsidRPr="002A75F2">
        <w:rPr>
          <w:rFonts w:cs="Arial"/>
        </w:rPr>
        <w:t>s</w:t>
      </w:r>
      <w:r w:rsidRPr="002A75F2">
        <w:rPr>
          <w:rFonts w:cs="Arial"/>
        </w:rPr>
        <w:t>. A summary of this information</w:t>
      </w:r>
      <w:r w:rsidR="00DC68DA" w:rsidRPr="002A75F2">
        <w:rPr>
          <w:rFonts w:cs="Arial"/>
        </w:rPr>
        <w:t>, along with the phase two conceptual site model,</w:t>
      </w:r>
      <w:r w:rsidR="005E0B10" w:rsidRPr="002A75F2">
        <w:rPr>
          <w:rFonts w:cs="Arial"/>
        </w:rPr>
        <w:t xml:space="preserve"> </w:t>
      </w:r>
      <w:r w:rsidRPr="002A75F2">
        <w:rPr>
          <w:rFonts w:cs="Arial"/>
        </w:rPr>
        <w:t>which</w:t>
      </w:r>
      <w:r w:rsidRPr="008D65C3">
        <w:rPr>
          <w:rFonts w:cs="Arial"/>
        </w:rPr>
        <w:t xml:space="preserve"> supports the approach and assumptions of the human health and ecological risk assessments must be provided with the RA report. Much of this information would have been provided with the PSF to support the preliminary conceptual site model. The information provided with the RA report would confirm or finalize the conceptual site model for use in the HHRA and ERA.</w:t>
      </w:r>
    </w:p>
    <w:p w14:paraId="549DC0A2" w14:textId="3A2FCC80" w:rsidR="00CF42AE" w:rsidRPr="008D65C3" w:rsidRDefault="003F3C3D" w:rsidP="003F3C3D">
      <w:pPr>
        <w:rPr>
          <w:rFonts w:cs="Arial"/>
        </w:rPr>
      </w:pPr>
      <w:r w:rsidRPr="008D65C3">
        <w:rPr>
          <w:rFonts w:cs="Arial"/>
        </w:rPr>
        <w:t xml:space="preserve">The third section of the RA report must provide </w:t>
      </w:r>
      <w:r w:rsidR="00887CE9" w:rsidRPr="008D65C3">
        <w:rPr>
          <w:rFonts w:cs="Arial"/>
        </w:rPr>
        <w:t xml:space="preserve">a summary and analysis of information from the </w:t>
      </w:r>
      <w:r w:rsidR="002806D0" w:rsidRPr="008D65C3">
        <w:rPr>
          <w:rFonts w:cs="Arial"/>
        </w:rPr>
        <w:t>p</w:t>
      </w:r>
      <w:r w:rsidR="00887CE9" w:rsidRPr="008D65C3">
        <w:rPr>
          <w:rFonts w:cs="Arial"/>
        </w:rPr>
        <w:t xml:space="preserve">hase one and </w:t>
      </w:r>
      <w:r w:rsidR="002806D0" w:rsidRPr="008D65C3">
        <w:rPr>
          <w:rFonts w:cs="Arial"/>
        </w:rPr>
        <w:t>p</w:t>
      </w:r>
      <w:r w:rsidR="00887CE9" w:rsidRPr="008D65C3">
        <w:rPr>
          <w:rFonts w:cs="Arial"/>
        </w:rPr>
        <w:t xml:space="preserve">hase two </w:t>
      </w:r>
      <w:smartTag w:uri="urn:schemas-microsoft-com:office:smarttags" w:element="stockticker">
        <w:r w:rsidR="00CC73C0" w:rsidRPr="008D65C3">
          <w:rPr>
            <w:rFonts w:cs="Arial"/>
          </w:rPr>
          <w:t>ESA</w:t>
        </w:r>
      </w:smartTag>
      <w:r w:rsidR="00887CE9" w:rsidRPr="008D65C3">
        <w:rPr>
          <w:rFonts w:cs="Arial"/>
        </w:rPr>
        <w:t xml:space="preserve">, </w:t>
      </w:r>
      <w:r w:rsidRPr="008D65C3">
        <w:rPr>
          <w:rFonts w:cs="Arial"/>
        </w:rPr>
        <w:t xml:space="preserve">including </w:t>
      </w:r>
      <w:r w:rsidR="00887CE9" w:rsidRPr="008D65C3">
        <w:rPr>
          <w:rFonts w:cs="Arial"/>
        </w:rPr>
        <w:t xml:space="preserve">property information, </w:t>
      </w:r>
      <w:r w:rsidRPr="008D65C3">
        <w:rPr>
          <w:rFonts w:cs="Arial"/>
        </w:rPr>
        <w:t>a site plan and pertinent geological information</w:t>
      </w:r>
      <w:r w:rsidR="00E026B9" w:rsidRPr="008D65C3">
        <w:rPr>
          <w:rFonts w:cs="Arial"/>
        </w:rPr>
        <w:t xml:space="preserve">. </w:t>
      </w:r>
      <w:r w:rsidRPr="008D65C3">
        <w:rPr>
          <w:rFonts w:cs="Arial"/>
        </w:rPr>
        <w:t>The minimum requirements for Section 3 of the RA report are provided in Table 1 Report Section 3 “Property Information, Site Plan and Geological Interpretation” of the Regulation, Schedule C, and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DC68DA" w:rsidRPr="000C0EF2" w14:paraId="0A8E141A" w14:textId="77777777" w:rsidTr="005B40DA">
        <w:trPr>
          <w:trHeight w:val="229"/>
          <w:tblHeader/>
        </w:trPr>
        <w:tc>
          <w:tcPr>
            <w:tcW w:w="2468" w:type="dxa"/>
          </w:tcPr>
          <w:p w14:paraId="42F3FC7D" w14:textId="77777777" w:rsidR="00DC68DA" w:rsidRPr="000C0EF2" w:rsidRDefault="00DC68DA"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252A27FF" w14:textId="77777777" w:rsidR="00DC68DA" w:rsidRPr="000C0EF2" w:rsidRDefault="00DC68DA"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5D4D1A48" w14:textId="77777777" w:rsidR="00DC68DA" w:rsidRPr="000C0EF2" w:rsidRDefault="00DC68DA"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71F62248" w14:textId="77777777" w:rsidR="00DC68DA" w:rsidRPr="000C0EF2" w:rsidRDefault="00DC68DA" w:rsidP="000C0EF2">
            <w:pPr>
              <w:pStyle w:val="table-e"/>
              <w:spacing w:line="240" w:lineRule="auto"/>
              <w:rPr>
                <w:b/>
                <w:sz w:val="24"/>
              </w:rPr>
            </w:pPr>
            <w:r w:rsidRPr="000C0EF2">
              <w:rPr>
                <w:b/>
                <w:sz w:val="24"/>
              </w:rPr>
              <w:t>Column 4</w:t>
            </w:r>
            <w:r w:rsidRPr="000C0EF2">
              <w:rPr>
                <w:b/>
                <w:sz w:val="24"/>
              </w:rPr>
              <w:br/>
              <w:t>Minimum Requirements</w:t>
            </w:r>
          </w:p>
        </w:tc>
      </w:tr>
      <w:tr w:rsidR="00DC68DA" w:rsidRPr="000C0EF2" w14:paraId="4DB2187F" w14:textId="77777777" w:rsidTr="005B40DA">
        <w:trPr>
          <w:trHeight w:val="20"/>
        </w:trPr>
        <w:tc>
          <w:tcPr>
            <w:tcW w:w="2468" w:type="dxa"/>
          </w:tcPr>
          <w:p w14:paraId="07A5EB50" w14:textId="77777777" w:rsidR="00DC68DA" w:rsidRPr="000C0EF2" w:rsidRDefault="00DC68DA" w:rsidP="000C0EF2">
            <w:pPr>
              <w:pStyle w:val="table-e"/>
              <w:spacing w:line="240" w:lineRule="auto"/>
              <w:rPr>
                <w:sz w:val="24"/>
              </w:rPr>
            </w:pPr>
            <w:r w:rsidRPr="000C0EF2">
              <w:rPr>
                <w:sz w:val="24"/>
              </w:rPr>
              <w:t>3.  Property Information, Site Plan and Geological Interpretation</w:t>
            </w:r>
          </w:p>
        </w:tc>
        <w:tc>
          <w:tcPr>
            <w:tcW w:w="2014" w:type="dxa"/>
          </w:tcPr>
          <w:p w14:paraId="03410294" w14:textId="77777777" w:rsidR="00DC68DA" w:rsidRPr="000C0EF2" w:rsidRDefault="00DC68DA" w:rsidP="000C0EF2">
            <w:pPr>
              <w:pStyle w:val="table-e"/>
              <w:spacing w:line="240" w:lineRule="auto"/>
              <w:rPr>
                <w:sz w:val="24"/>
              </w:rPr>
            </w:pPr>
            <w:r w:rsidRPr="000C0EF2">
              <w:rPr>
                <w:sz w:val="24"/>
              </w:rPr>
              <w:t>(a)  Property Information</w:t>
            </w:r>
          </w:p>
        </w:tc>
        <w:tc>
          <w:tcPr>
            <w:tcW w:w="1839" w:type="dxa"/>
          </w:tcPr>
          <w:p w14:paraId="700CA92D" w14:textId="77777777" w:rsidR="00DC68DA" w:rsidRPr="000C0EF2" w:rsidRDefault="00DC68DA" w:rsidP="000C0EF2">
            <w:pPr>
              <w:pStyle w:val="table-e"/>
              <w:spacing w:line="240" w:lineRule="auto"/>
              <w:rPr>
                <w:sz w:val="24"/>
              </w:rPr>
            </w:pPr>
            <w:r w:rsidRPr="000C0EF2">
              <w:rPr>
                <w:sz w:val="24"/>
              </w:rPr>
              <w:t>not applicable</w:t>
            </w:r>
          </w:p>
        </w:tc>
        <w:tc>
          <w:tcPr>
            <w:tcW w:w="3759" w:type="dxa"/>
          </w:tcPr>
          <w:p w14:paraId="30C31325" w14:textId="77777777" w:rsidR="00DC68DA" w:rsidRPr="000C0EF2" w:rsidRDefault="00DC68DA" w:rsidP="000C0EF2">
            <w:pPr>
              <w:pStyle w:val="table-e"/>
              <w:spacing w:line="240" w:lineRule="auto"/>
              <w:rPr>
                <w:sz w:val="24"/>
              </w:rPr>
            </w:pPr>
            <w:r w:rsidRPr="000C0EF2">
              <w:rPr>
                <w:sz w:val="24"/>
              </w:rPr>
              <w:t>1.  State the property location and ownership.</w:t>
            </w:r>
          </w:p>
          <w:p w14:paraId="46C23D4B" w14:textId="77777777" w:rsidR="00DC68DA" w:rsidRPr="000C0EF2" w:rsidRDefault="00DC68DA" w:rsidP="000C0EF2">
            <w:pPr>
              <w:pStyle w:val="table-e"/>
              <w:spacing w:line="240" w:lineRule="auto"/>
              <w:rPr>
                <w:b/>
                <w:bCs w:val="0"/>
                <w:i/>
                <w:iCs/>
                <w:sz w:val="24"/>
              </w:rPr>
            </w:pPr>
            <w:r w:rsidRPr="000C0EF2">
              <w:rPr>
                <w:sz w:val="24"/>
              </w:rPr>
              <w:t xml:space="preserve">2.  Describe the general physical characteristics of the property including size of the property and size of contaminated area. </w:t>
            </w:r>
          </w:p>
          <w:p w14:paraId="24B651B2" w14:textId="77777777" w:rsidR="00DC68DA" w:rsidRPr="000C0EF2" w:rsidRDefault="00DC68DA" w:rsidP="000C0EF2">
            <w:pPr>
              <w:pStyle w:val="table-e"/>
              <w:spacing w:line="240" w:lineRule="auto"/>
              <w:rPr>
                <w:sz w:val="24"/>
              </w:rPr>
            </w:pPr>
            <w:r w:rsidRPr="000C0EF2">
              <w:rPr>
                <w:sz w:val="24"/>
              </w:rPr>
              <w:t>3.  Provide sufficient detail on the property to support the conceptual site model used in the preparation of the risk assessment report, including,</w:t>
            </w:r>
          </w:p>
          <w:p w14:paraId="0168DF47" w14:textId="77777777" w:rsidR="00DC68DA" w:rsidRPr="000C0EF2" w:rsidRDefault="00DC68DA" w:rsidP="000C0EF2">
            <w:pPr>
              <w:pStyle w:val="table-e"/>
              <w:spacing w:line="240" w:lineRule="auto"/>
              <w:rPr>
                <w:sz w:val="24"/>
              </w:rPr>
            </w:pPr>
            <w:r w:rsidRPr="000C0EF2">
              <w:rPr>
                <w:sz w:val="24"/>
              </w:rPr>
              <w:t>(a)  a summary of past and current use of property;</w:t>
            </w:r>
          </w:p>
          <w:p w14:paraId="2F4A5074" w14:textId="77777777" w:rsidR="00DC68DA" w:rsidRPr="000C0EF2" w:rsidRDefault="00DC68DA" w:rsidP="000C0EF2">
            <w:pPr>
              <w:pStyle w:val="table-e"/>
              <w:spacing w:line="240" w:lineRule="auto"/>
              <w:rPr>
                <w:sz w:val="24"/>
              </w:rPr>
            </w:pPr>
            <w:r w:rsidRPr="000C0EF2">
              <w:rPr>
                <w:sz w:val="24"/>
              </w:rPr>
              <w:t>(b)  a summary of past and current use of any relevant property that is adjacent to the property;</w:t>
            </w:r>
          </w:p>
          <w:p w14:paraId="50FD4BAE" w14:textId="77777777" w:rsidR="00DC68DA" w:rsidRPr="000C0EF2" w:rsidRDefault="00DC68DA" w:rsidP="000C0EF2">
            <w:pPr>
              <w:pStyle w:val="table-e"/>
              <w:spacing w:line="240" w:lineRule="auto"/>
              <w:rPr>
                <w:sz w:val="24"/>
              </w:rPr>
            </w:pPr>
            <w:r w:rsidRPr="000C0EF2">
              <w:rPr>
                <w:sz w:val="24"/>
              </w:rPr>
              <w:t>(c)  a description of off-site sources of contaminants of concern and off-site receptors; and</w:t>
            </w:r>
          </w:p>
          <w:p w14:paraId="204D39E0" w14:textId="77777777" w:rsidR="00DC68DA" w:rsidRPr="000C0EF2" w:rsidRDefault="00DC68DA" w:rsidP="000C0EF2">
            <w:pPr>
              <w:pStyle w:val="table-e"/>
              <w:spacing w:line="240" w:lineRule="auto"/>
              <w:rPr>
                <w:sz w:val="24"/>
              </w:rPr>
            </w:pPr>
            <w:r w:rsidRPr="000C0EF2">
              <w:rPr>
                <w:sz w:val="24"/>
              </w:rPr>
              <w:t>(d)  an indication of the proposed use of property.</w:t>
            </w:r>
          </w:p>
        </w:tc>
      </w:tr>
      <w:tr w:rsidR="00DC68DA" w:rsidRPr="000C0EF2" w14:paraId="079E8DB6" w14:textId="77777777" w:rsidTr="005B40DA">
        <w:trPr>
          <w:trHeight w:val="20"/>
        </w:trPr>
        <w:tc>
          <w:tcPr>
            <w:tcW w:w="2468" w:type="dxa"/>
          </w:tcPr>
          <w:p w14:paraId="44629CF9" w14:textId="77777777" w:rsidR="00DC68DA" w:rsidRPr="000C0EF2" w:rsidRDefault="00DC68DA" w:rsidP="000C0EF2">
            <w:pPr>
              <w:pStyle w:val="table-e"/>
              <w:spacing w:line="240" w:lineRule="auto"/>
              <w:rPr>
                <w:sz w:val="24"/>
              </w:rPr>
            </w:pPr>
            <w:r w:rsidRPr="000C0EF2">
              <w:rPr>
                <w:sz w:val="24"/>
              </w:rPr>
              <w:t xml:space="preserve">3.  Property Information, Site Plan </w:t>
            </w:r>
            <w:r w:rsidRPr="000C0EF2">
              <w:rPr>
                <w:sz w:val="24"/>
              </w:rPr>
              <w:lastRenderedPageBreak/>
              <w:t>and Geological Interpretation</w:t>
            </w:r>
          </w:p>
        </w:tc>
        <w:tc>
          <w:tcPr>
            <w:tcW w:w="2014" w:type="dxa"/>
          </w:tcPr>
          <w:p w14:paraId="162CD852" w14:textId="77777777" w:rsidR="00DC68DA" w:rsidRPr="000C0EF2" w:rsidRDefault="00DC68DA" w:rsidP="000C0EF2">
            <w:pPr>
              <w:pStyle w:val="table-e"/>
              <w:spacing w:line="240" w:lineRule="auto"/>
              <w:rPr>
                <w:sz w:val="24"/>
              </w:rPr>
            </w:pPr>
            <w:r w:rsidRPr="000C0EF2">
              <w:rPr>
                <w:sz w:val="24"/>
              </w:rPr>
              <w:lastRenderedPageBreak/>
              <w:t xml:space="preserve">(b)  Site Plan and Hydrogeological </w:t>
            </w:r>
            <w:r w:rsidRPr="000C0EF2">
              <w:rPr>
                <w:sz w:val="24"/>
              </w:rPr>
              <w:lastRenderedPageBreak/>
              <w:t>Interpretation of RA Property</w:t>
            </w:r>
          </w:p>
        </w:tc>
        <w:tc>
          <w:tcPr>
            <w:tcW w:w="1839" w:type="dxa"/>
          </w:tcPr>
          <w:p w14:paraId="51738FCA" w14:textId="77777777" w:rsidR="00DC68DA" w:rsidRPr="000C0EF2" w:rsidRDefault="00DC68DA" w:rsidP="000C0EF2">
            <w:pPr>
              <w:pStyle w:val="table-e"/>
              <w:spacing w:line="240" w:lineRule="auto"/>
              <w:rPr>
                <w:sz w:val="24"/>
              </w:rPr>
            </w:pPr>
            <w:r w:rsidRPr="000C0EF2">
              <w:rPr>
                <w:sz w:val="24"/>
              </w:rPr>
              <w:lastRenderedPageBreak/>
              <w:t>not applicable</w:t>
            </w:r>
          </w:p>
        </w:tc>
        <w:tc>
          <w:tcPr>
            <w:tcW w:w="3759" w:type="dxa"/>
          </w:tcPr>
          <w:p w14:paraId="59601598" w14:textId="77777777" w:rsidR="00DC68DA" w:rsidRPr="000C0EF2" w:rsidRDefault="00DC68DA" w:rsidP="000C0EF2">
            <w:pPr>
              <w:pStyle w:val="table-e"/>
              <w:spacing w:line="240" w:lineRule="auto"/>
              <w:rPr>
                <w:sz w:val="24"/>
              </w:rPr>
            </w:pPr>
            <w:r w:rsidRPr="000C0EF2">
              <w:rPr>
                <w:sz w:val="24"/>
              </w:rPr>
              <w:t xml:space="preserve">1.  Provide the site plans, cross-sections and a hydrogeological </w:t>
            </w:r>
            <w:r w:rsidRPr="000C0EF2">
              <w:rPr>
                <w:sz w:val="24"/>
              </w:rPr>
              <w:lastRenderedPageBreak/>
              <w:t>interpretation of the RA property that satisfies the requirements of clauses 3 (8) (a), (b) and (c) and that was relied upon in the preparation of the risk assessment and all documentation used to support this interpretation.</w:t>
            </w:r>
          </w:p>
          <w:p w14:paraId="5629408F" w14:textId="77777777" w:rsidR="00DC68DA" w:rsidRPr="000C0EF2" w:rsidRDefault="00DC68DA" w:rsidP="000C0EF2">
            <w:pPr>
              <w:pStyle w:val="table-e"/>
              <w:spacing w:line="240" w:lineRule="auto"/>
              <w:rPr>
                <w:sz w:val="24"/>
              </w:rPr>
            </w:pPr>
            <w:r w:rsidRPr="000C0EF2">
              <w:rPr>
                <w:sz w:val="24"/>
              </w:rPr>
              <w:t>2.  If a non-standard delineation was conducted in accordance with section 7.1 of Schedule E as part of preparing the phase two environmental site assessment report, a narrative description of how the non-standard delineation satisfies the requirements in that section.</w:t>
            </w:r>
          </w:p>
        </w:tc>
      </w:tr>
      <w:tr w:rsidR="00DC68DA" w:rsidRPr="000C0EF2" w14:paraId="197BEE63" w14:textId="77777777" w:rsidTr="005B40DA">
        <w:trPr>
          <w:trHeight w:val="20"/>
        </w:trPr>
        <w:tc>
          <w:tcPr>
            <w:tcW w:w="2468" w:type="dxa"/>
          </w:tcPr>
          <w:p w14:paraId="68AF37D6" w14:textId="77777777" w:rsidR="00DC68DA" w:rsidRPr="000C0EF2" w:rsidRDefault="00DC68DA" w:rsidP="000C0EF2">
            <w:pPr>
              <w:pStyle w:val="table-e"/>
              <w:spacing w:line="240" w:lineRule="auto"/>
              <w:rPr>
                <w:sz w:val="24"/>
              </w:rPr>
            </w:pPr>
            <w:r w:rsidRPr="000C0EF2">
              <w:rPr>
                <w:sz w:val="24"/>
              </w:rPr>
              <w:lastRenderedPageBreak/>
              <w:t>3.  Property Information, Site Plan and Geological Interpretation</w:t>
            </w:r>
          </w:p>
        </w:tc>
        <w:tc>
          <w:tcPr>
            <w:tcW w:w="2014" w:type="dxa"/>
          </w:tcPr>
          <w:p w14:paraId="24FDF9D7" w14:textId="77777777" w:rsidR="00DC68DA" w:rsidRPr="000C0EF2" w:rsidRDefault="00DC68DA" w:rsidP="000C0EF2">
            <w:pPr>
              <w:pStyle w:val="table-e"/>
              <w:spacing w:line="240" w:lineRule="auto"/>
              <w:rPr>
                <w:sz w:val="24"/>
              </w:rPr>
            </w:pPr>
            <w:r w:rsidRPr="000C0EF2">
              <w:rPr>
                <w:sz w:val="24"/>
              </w:rPr>
              <w:t>(c)  Contaminants of Concern</w:t>
            </w:r>
          </w:p>
        </w:tc>
        <w:tc>
          <w:tcPr>
            <w:tcW w:w="1839" w:type="dxa"/>
          </w:tcPr>
          <w:p w14:paraId="3E667290" w14:textId="77777777" w:rsidR="00DC68DA" w:rsidRPr="000C0EF2" w:rsidRDefault="00DC68DA" w:rsidP="000C0EF2">
            <w:pPr>
              <w:pStyle w:val="table-e"/>
              <w:spacing w:line="240" w:lineRule="auto"/>
              <w:rPr>
                <w:sz w:val="24"/>
              </w:rPr>
            </w:pPr>
            <w:r w:rsidRPr="000C0EF2">
              <w:rPr>
                <w:sz w:val="24"/>
              </w:rPr>
              <w:t>not applicable</w:t>
            </w:r>
          </w:p>
        </w:tc>
        <w:tc>
          <w:tcPr>
            <w:tcW w:w="3759" w:type="dxa"/>
          </w:tcPr>
          <w:p w14:paraId="7B45E6C2" w14:textId="77777777" w:rsidR="00DC68DA" w:rsidRPr="000C0EF2" w:rsidRDefault="00DC68DA" w:rsidP="000C0EF2">
            <w:pPr>
              <w:pStyle w:val="table-e"/>
              <w:spacing w:line="240" w:lineRule="auto"/>
              <w:rPr>
                <w:sz w:val="24"/>
              </w:rPr>
            </w:pPr>
            <w:r w:rsidRPr="000C0EF2">
              <w:rPr>
                <w:sz w:val="24"/>
              </w:rPr>
              <w:t>1.  List all of the contaminants of concern.</w:t>
            </w:r>
          </w:p>
          <w:p w14:paraId="43B2A89F" w14:textId="77777777" w:rsidR="00DC68DA" w:rsidRPr="000C0EF2" w:rsidRDefault="00DC68DA" w:rsidP="000C0EF2">
            <w:pPr>
              <w:pStyle w:val="table-e"/>
              <w:spacing w:line="240" w:lineRule="auto"/>
              <w:rPr>
                <w:sz w:val="24"/>
              </w:rPr>
            </w:pPr>
            <w:r w:rsidRPr="000C0EF2">
              <w:rPr>
                <w:sz w:val="24"/>
              </w:rPr>
              <w:t>2.  The contaminants of concern must include the following:</w:t>
            </w:r>
          </w:p>
          <w:p w14:paraId="37FBB740" w14:textId="77777777" w:rsidR="00DC68DA" w:rsidRPr="000C0EF2" w:rsidRDefault="00DC68DA" w:rsidP="000C0EF2">
            <w:pPr>
              <w:pStyle w:val="table-e"/>
              <w:spacing w:line="240" w:lineRule="auto"/>
              <w:rPr>
                <w:sz w:val="24"/>
              </w:rPr>
            </w:pPr>
            <w:proofErr w:type="spellStart"/>
            <w:r w:rsidRPr="000C0EF2">
              <w:rPr>
                <w:sz w:val="24"/>
              </w:rPr>
              <w:t>i</w:t>
            </w:r>
            <w:proofErr w:type="spellEnd"/>
            <w:r w:rsidRPr="000C0EF2">
              <w:rPr>
                <w:sz w:val="24"/>
              </w:rPr>
              <w:t>.  Any contaminants detected on, in or under the RA property that exceed the applicable site condition standards.</w:t>
            </w:r>
          </w:p>
          <w:p w14:paraId="4EB1E3C5" w14:textId="77777777" w:rsidR="00DC68DA" w:rsidRPr="000C0EF2" w:rsidRDefault="00DC68DA" w:rsidP="000C0EF2">
            <w:pPr>
              <w:pStyle w:val="table-e"/>
              <w:spacing w:line="240" w:lineRule="auto"/>
              <w:rPr>
                <w:sz w:val="24"/>
              </w:rPr>
            </w:pPr>
            <w:r w:rsidRPr="000C0EF2">
              <w:rPr>
                <w:sz w:val="24"/>
              </w:rPr>
              <w:t>ii.  Any contaminants detected on, in or under the RA property and for which no applicable site condition standard is prescribed under Part IX (Site Condition Standards and Risk Assessment) of the regulation.</w:t>
            </w:r>
          </w:p>
        </w:tc>
      </w:tr>
      <w:tr w:rsidR="00DC68DA" w:rsidRPr="000C0EF2" w14:paraId="081B9B24" w14:textId="77777777" w:rsidTr="005B40DA">
        <w:trPr>
          <w:trHeight w:val="20"/>
        </w:trPr>
        <w:tc>
          <w:tcPr>
            <w:tcW w:w="2468" w:type="dxa"/>
          </w:tcPr>
          <w:p w14:paraId="4274FC12" w14:textId="77777777" w:rsidR="00DC68DA" w:rsidRPr="000C0EF2" w:rsidRDefault="00DC68DA" w:rsidP="000C0EF2">
            <w:pPr>
              <w:pStyle w:val="table-e"/>
              <w:spacing w:line="240" w:lineRule="auto"/>
              <w:rPr>
                <w:sz w:val="24"/>
              </w:rPr>
            </w:pPr>
            <w:r w:rsidRPr="000C0EF2">
              <w:rPr>
                <w:sz w:val="24"/>
              </w:rPr>
              <w:t>3.  Property Information, Site Plan and Geological Interpretation</w:t>
            </w:r>
          </w:p>
        </w:tc>
        <w:tc>
          <w:tcPr>
            <w:tcW w:w="2014" w:type="dxa"/>
          </w:tcPr>
          <w:p w14:paraId="1CF7098B" w14:textId="77777777" w:rsidR="00DC68DA" w:rsidRPr="000C0EF2" w:rsidRDefault="00DC68DA" w:rsidP="000C0EF2">
            <w:pPr>
              <w:pStyle w:val="table-e"/>
              <w:spacing w:line="240" w:lineRule="auto"/>
              <w:rPr>
                <w:sz w:val="24"/>
              </w:rPr>
            </w:pPr>
            <w:r w:rsidRPr="000C0EF2">
              <w:rPr>
                <w:sz w:val="24"/>
              </w:rPr>
              <w:t>(c)  Contaminants of Concern</w:t>
            </w:r>
          </w:p>
        </w:tc>
        <w:tc>
          <w:tcPr>
            <w:tcW w:w="1839" w:type="dxa"/>
          </w:tcPr>
          <w:p w14:paraId="4C35EC84" w14:textId="77777777" w:rsidR="00DC68DA" w:rsidRPr="000C0EF2" w:rsidRDefault="00DC68DA"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Sampling Programs</w:t>
            </w:r>
          </w:p>
        </w:tc>
        <w:tc>
          <w:tcPr>
            <w:tcW w:w="3759" w:type="dxa"/>
          </w:tcPr>
          <w:p w14:paraId="4BBF67AF" w14:textId="77777777" w:rsidR="00DC68DA" w:rsidRPr="000C0EF2" w:rsidRDefault="00DC68DA" w:rsidP="000C0EF2">
            <w:pPr>
              <w:pStyle w:val="table-e"/>
              <w:spacing w:line="240" w:lineRule="auto"/>
              <w:rPr>
                <w:sz w:val="24"/>
              </w:rPr>
            </w:pPr>
            <w:r w:rsidRPr="000C0EF2">
              <w:rPr>
                <w:sz w:val="24"/>
              </w:rPr>
              <w:t>1.  With reference to the sampling programs summarized in the appendices to the risk assessment report, describe how the program is adequate for the risk assessment objectives and approach specified in Report Section 1 (Summary of Recommendations and Findings).</w:t>
            </w:r>
          </w:p>
          <w:p w14:paraId="08F9755A" w14:textId="77777777" w:rsidR="00DC68DA" w:rsidRPr="000C0EF2" w:rsidRDefault="00DC68DA" w:rsidP="000C0EF2">
            <w:pPr>
              <w:pStyle w:val="table-e"/>
              <w:spacing w:line="240" w:lineRule="auto"/>
              <w:rPr>
                <w:sz w:val="24"/>
              </w:rPr>
            </w:pPr>
            <w:r w:rsidRPr="000C0EF2">
              <w:rPr>
                <w:sz w:val="24"/>
              </w:rPr>
              <w:lastRenderedPageBreak/>
              <w:t>2.  In the case of an estimation of natural local background concentration risk assessment, specify the methods that were used to estimate the local background concentrations in soil, including details of,</w:t>
            </w:r>
          </w:p>
          <w:p w14:paraId="6517A9D3" w14:textId="77777777" w:rsidR="00DC68DA" w:rsidRPr="000C0EF2" w:rsidRDefault="00DC68DA" w:rsidP="000C0EF2">
            <w:pPr>
              <w:pStyle w:val="table-e"/>
              <w:spacing w:line="240" w:lineRule="auto"/>
              <w:rPr>
                <w:sz w:val="24"/>
              </w:rPr>
            </w:pPr>
            <w:r w:rsidRPr="000C0EF2">
              <w:rPr>
                <w:sz w:val="24"/>
              </w:rPr>
              <w:t>(a)  any sampling programs undertaken in accordance with subsections 8 (4) to (8);</w:t>
            </w:r>
          </w:p>
          <w:p w14:paraId="57DB0354" w14:textId="77777777" w:rsidR="00DC68DA" w:rsidRPr="000C0EF2" w:rsidRDefault="00DC68DA" w:rsidP="000C0EF2">
            <w:pPr>
              <w:pStyle w:val="table-e"/>
              <w:spacing w:line="240" w:lineRule="auto"/>
              <w:rPr>
                <w:sz w:val="24"/>
              </w:rPr>
            </w:pPr>
            <w:r w:rsidRPr="000C0EF2">
              <w:rPr>
                <w:sz w:val="24"/>
              </w:rPr>
              <w:t>(b)  any existing geological data, as described in subsection 8 (9) that were used to estimate the natural local background concentrations in place of sampling data.</w:t>
            </w:r>
          </w:p>
        </w:tc>
      </w:tr>
    </w:tbl>
    <w:p w14:paraId="261B5D97" w14:textId="77777777" w:rsidR="003F3C3D" w:rsidRPr="000C60E1" w:rsidRDefault="003F3C3D" w:rsidP="006F25DD">
      <w:pPr>
        <w:pStyle w:val="Heading2"/>
        <w:rPr>
          <w:rFonts w:cs="Arial"/>
        </w:rPr>
      </w:pPr>
      <w:bookmarkStart w:id="132" w:name="_2.2.1____Property_Information"/>
      <w:bookmarkStart w:id="133" w:name="_Toc112727410"/>
      <w:bookmarkStart w:id="134" w:name="_Toc41905673"/>
      <w:bookmarkEnd w:id="132"/>
      <w:r w:rsidRPr="000C60E1">
        <w:rPr>
          <w:rFonts w:cs="Arial"/>
        </w:rPr>
        <w:lastRenderedPageBreak/>
        <w:t>Property Information</w:t>
      </w:r>
      <w:bookmarkEnd w:id="133"/>
      <w:bookmarkEnd w:id="134"/>
    </w:p>
    <w:p w14:paraId="02E23576" w14:textId="0D96BBB1" w:rsidR="00B8028F" w:rsidRPr="002A75F2" w:rsidRDefault="003F3C3D" w:rsidP="003F3C3D">
      <w:pPr>
        <w:rPr>
          <w:rFonts w:cs="Arial"/>
        </w:rPr>
      </w:pPr>
      <w:r w:rsidRPr="000C60E1">
        <w:rPr>
          <w:rFonts w:cs="Arial"/>
          <w:highlight w:val="white"/>
        </w:rPr>
        <w:t xml:space="preserve">The property description must provide basic information on the RA property, including </w:t>
      </w:r>
      <w:r w:rsidR="00B8028F" w:rsidRPr="000C60E1">
        <w:rPr>
          <w:rFonts w:cs="Arial"/>
          <w:highlight w:val="white"/>
        </w:rPr>
        <w:t xml:space="preserve">location, </w:t>
      </w:r>
      <w:r w:rsidR="00CE235D" w:rsidRPr="000C60E1">
        <w:rPr>
          <w:rFonts w:cs="Arial"/>
          <w:highlight w:val="white"/>
        </w:rPr>
        <w:t>ownership</w:t>
      </w:r>
      <w:r w:rsidR="00B8028F" w:rsidRPr="000C60E1">
        <w:rPr>
          <w:rFonts w:cs="Arial"/>
          <w:highlight w:val="white"/>
        </w:rPr>
        <w:t xml:space="preserve">, </w:t>
      </w:r>
      <w:r w:rsidRPr="000C60E1">
        <w:rPr>
          <w:rFonts w:cs="Arial"/>
          <w:highlight w:val="white"/>
        </w:rPr>
        <w:t xml:space="preserve">a summary of past and current </w:t>
      </w:r>
      <w:r w:rsidRPr="002A75F2">
        <w:rPr>
          <w:rFonts w:cs="Arial"/>
        </w:rPr>
        <w:t xml:space="preserve">use of the property and a summary of past and current use of all other relevant </w:t>
      </w:r>
      <w:r w:rsidR="001B7A60" w:rsidRPr="002A75F2">
        <w:rPr>
          <w:rFonts w:cs="Arial"/>
        </w:rPr>
        <w:t xml:space="preserve">adjacent </w:t>
      </w:r>
      <w:r w:rsidRPr="002A75F2">
        <w:rPr>
          <w:rFonts w:cs="Arial"/>
        </w:rPr>
        <w:t xml:space="preserve">properties. </w:t>
      </w:r>
      <w:r w:rsidR="00B8028F" w:rsidRPr="002A75F2">
        <w:rPr>
          <w:rFonts w:cs="Arial"/>
        </w:rPr>
        <w:t xml:space="preserve">If there has been a change in ownership and/or </w:t>
      </w:r>
      <w:r w:rsidR="00187A34" w:rsidRPr="002A75F2">
        <w:rPr>
          <w:rFonts w:cs="Arial"/>
        </w:rPr>
        <w:t xml:space="preserve">changes in the </w:t>
      </w:r>
      <w:r w:rsidR="00B8028F" w:rsidRPr="002A75F2">
        <w:rPr>
          <w:rFonts w:cs="Arial"/>
        </w:rPr>
        <w:t xml:space="preserve">RA property boundaries since the submission of the PSF, then updated legal description </w:t>
      </w:r>
      <w:r w:rsidR="00FD542E" w:rsidRPr="002A75F2">
        <w:rPr>
          <w:rFonts w:cs="Arial"/>
        </w:rPr>
        <w:t xml:space="preserve">(including </w:t>
      </w:r>
      <w:r w:rsidR="00E34FD2" w:rsidRPr="002A75F2">
        <w:rPr>
          <w:rFonts w:cs="Arial"/>
        </w:rPr>
        <w:t xml:space="preserve">a </w:t>
      </w:r>
      <w:r w:rsidR="00FD542E" w:rsidRPr="002A75F2">
        <w:rPr>
          <w:rFonts w:cs="Arial"/>
        </w:rPr>
        <w:t xml:space="preserve">plan of survey) must be included in </w:t>
      </w:r>
      <w:r w:rsidR="00CE5874" w:rsidRPr="002A75F2">
        <w:rPr>
          <w:rFonts w:cs="Arial"/>
        </w:rPr>
        <w:t>an</w:t>
      </w:r>
      <w:r w:rsidR="00FD542E" w:rsidRPr="002A75F2">
        <w:rPr>
          <w:rFonts w:cs="Arial"/>
        </w:rPr>
        <w:t xml:space="preserve"> appendix to the RA report. In addition, in cases where there is a change in ownership, updated property owner information and confirmation that </w:t>
      </w:r>
      <w:r w:rsidR="00187A34" w:rsidRPr="002A75F2">
        <w:rPr>
          <w:rFonts w:cs="Arial"/>
        </w:rPr>
        <w:t>the owner has signed on to the risk assessment (e.g. by providing updated sections of the PSF) must be included.</w:t>
      </w:r>
      <w:r w:rsidR="00A14C7B" w:rsidRPr="002A75F2">
        <w:rPr>
          <w:rFonts w:cs="Arial"/>
        </w:rPr>
        <w:t xml:space="preserve"> </w:t>
      </w:r>
      <w:r w:rsidR="00187A34" w:rsidRPr="002A75F2">
        <w:rPr>
          <w:rFonts w:cs="Arial"/>
        </w:rPr>
        <w:t xml:space="preserve">For additional questions or direction regarding changes in ownership and/or RA property boundaries, QPs should contact the </w:t>
      </w:r>
      <w:r w:rsidR="00CE5874" w:rsidRPr="002A75F2">
        <w:rPr>
          <w:rFonts w:cs="Arial"/>
        </w:rPr>
        <w:t>Ministry</w:t>
      </w:r>
      <w:r w:rsidR="00187A34" w:rsidRPr="002A75F2">
        <w:rPr>
          <w:rFonts w:cs="Arial"/>
        </w:rPr>
        <w:t xml:space="preserve"> directly.</w:t>
      </w:r>
    </w:p>
    <w:p w14:paraId="3B29ADE9" w14:textId="77777777" w:rsidR="003F3C3D" w:rsidRPr="000C60E1" w:rsidRDefault="0072019D" w:rsidP="003F3C3D">
      <w:pPr>
        <w:rPr>
          <w:rFonts w:cs="Arial"/>
        </w:rPr>
      </w:pPr>
      <w:r w:rsidRPr="002A75F2">
        <w:rPr>
          <w:rFonts w:cs="Arial"/>
        </w:rPr>
        <w:t>The p</w:t>
      </w:r>
      <w:r w:rsidR="001A43A8" w:rsidRPr="002A75F2">
        <w:rPr>
          <w:rFonts w:cs="Arial"/>
        </w:rPr>
        <w:t xml:space="preserve">roposed property use </w:t>
      </w:r>
      <w:r w:rsidR="00471186" w:rsidRPr="002A75F2">
        <w:rPr>
          <w:rFonts w:cs="Arial"/>
        </w:rPr>
        <w:t xml:space="preserve">that will be used when </w:t>
      </w:r>
      <w:r w:rsidR="000D521C" w:rsidRPr="002A75F2">
        <w:rPr>
          <w:rFonts w:cs="Arial"/>
        </w:rPr>
        <w:t xml:space="preserve">submitting </w:t>
      </w:r>
      <w:r w:rsidR="00471186" w:rsidRPr="002A75F2">
        <w:rPr>
          <w:rFonts w:cs="Arial"/>
        </w:rPr>
        <w:t xml:space="preserve">the RSC </w:t>
      </w:r>
      <w:r w:rsidR="001A43A8" w:rsidRPr="002A75F2">
        <w:rPr>
          <w:rFonts w:cs="Arial"/>
        </w:rPr>
        <w:t>should also be identified</w:t>
      </w:r>
      <w:r w:rsidR="009C0436" w:rsidRPr="002A75F2">
        <w:rPr>
          <w:rFonts w:cs="Arial"/>
        </w:rPr>
        <w:t xml:space="preserve">; </w:t>
      </w:r>
      <w:r w:rsidR="002236E6" w:rsidRPr="002A75F2">
        <w:rPr>
          <w:rFonts w:cs="Arial"/>
        </w:rPr>
        <w:t xml:space="preserve">note that the possible </w:t>
      </w:r>
      <w:r w:rsidR="009C0436" w:rsidRPr="002A75F2">
        <w:rPr>
          <w:rFonts w:cs="Arial"/>
        </w:rPr>
        <w:t xml:space="preserve">property uses are defined in the Regulation. </w:t>
      </w:r>
    </w:p>
    <w:p w14:paraId="49018668" w14:textId="77777777" w:rsidR="003F3C3D" w:rsidRPr="000C60E1" w:rsidRDefault="00887CE9" w:rsidP="006F25DD">
      <w:pPr>
        <w:pStyle w:val="Heading2"/>
        <w:rPr>
          <w:rFonts w:cs="Arial"/>
        </w:rPr>
      </w:pPr>
      <w:bookmarkStart w:id="135" w:name="_Toc112727411"/>
      <w:bookmarkStart w:id="136" w:name="_Toc41905674"/>
      <w:r w:rsidRPr="000C60E1">
        <w:rPr>
          <w:rFonts w:cs="Arial"/>
        </w:rPr>
        <w:t>Site Plan and Hydrog</w:t>
      </w:r>
      <w:r w:rsidR="003F3C3D" w:rsidRPr="000C60E1">
        <w:rPr>
          <w:rFonts w:cs="Arial"/>
        </w:rPr>
        <w:t xml:space="preserve">eological Interpretation of </w:t>
      </w:r>
      <w:r w:rsidR="00530D33" w:rsidRPr="000C60E1">
        <w:rPr>
          <w:rFonts w:cs="Arial"/>
        </w:rPr>
        <w:t>RA</w:t>
      </w:r>
      <w:r w:rsidR="003F3C3D" w:rsidRPr="000C60E1">
        <w:rPr>
          <w:rFonts w:cs="Arial"/>
        </w:rPr>
        <w:t xml:space="preserve"> Property</w:t>
      </w:r>
      <w:bookmarkEnd w:id="135"/>
      <w:bookmarkEnd w:id="136"/>
    </w:p>
    <w:p w14:paraId="5A8E2E8E" w14:textId="6AAB2E65" w:rsidR="00F46107" w:rsidRPr="002A75F2" w:rsidRDefault="003F3C3D" w:rsidP="00F46107">
      <w:pPr>
        <w:rPr>
          <w:rFonts w:cs="Arial"/>
        </w:rPr>
      </w:pPr>
      <w:r w:rsidRPr="000C60E1">
        <w:rPr>
          <w:rFonts w:cs="Arial"/>
        </w:rPr>
        <w:t xml:space="preserve">It is the </w:t>
      </w:r>
      <w:r w:rsidR="00B24C01" w:rsidRPr="000C60E1">
        <w:rPr>
          <w:rFonts w:cs="Arial"/>
        </w:rPr>
        <w:t>risk assessment</w:t>
      </w:r>
      <w:r w:rsidRPr="000C60E1">
        <w:rPr>
          <w:rFonts w:cs="Arial"/>
        </w:rPr>
        <w:t xml:space="preserve"> team’s responsibility to utilize the results of the </w:t>
      </w:r>
      <w:r w:rsidR="0032339F" w:rsidRPr="000C60E1">
        <w:rPr>
          <w:rFonts w:cs="Arial"/>
        </w:rPr>
        <w:t>p</w:t>
      </w:r>
      <w:r w:rsidRPr="000C60E1">
        <w:rPr>
          <w:rFonts w:cs="Arial"/>
        </w:rPr>
        <w:t xml:space="preserve">hase one and </w:t>
      </w:r>
      <w:r w:rsidR="0032339F" w:rsidRPr="000C60E1">
        <w:rPr>
          <w:rFonts w:cs="Arial"/>
        </w:rPr>
        <w:t>p</w:t>
      </w:r>
      <w:r w:rsidRPr="000C60E1">
        <w:rPr>
          <w:rFonts w:cs="Arial"/>
        </w:rPr>
        <w:t>hase two ESAs, and any additional investigations required, to determine the hydrogeological setting, and the anticipated contam</w:t>
      </w:r>
      <w:r w:rsidR="00CF42AE" w:rsidRPr="000C60E1">
        <w:rPr>
          <w:rFonts w:cs="Arial"/>
        </w:rPr>
        <w:t xml:space="preserve">inant behavior in that setting and </w:t>
      </w:r>
      <w:r w:rsidRPr="000C60E1">
        <w:rPr>
          <w:rFonts w:cs="Arial"/>
        </w:rPr>
        <w:t xml:space="preserve">to articulate a conceptual site model of contaminant distribution for the property. Sufficient detail must be provided to demonstrate that the site has been </w:t>
      </w:r>
      <w:r w:rsidRPr="002A75F2">
        <w:rPr>
          <w:rFonts w:cs="Arial"/>
        </w:rPr>
        <w:t>adequately characterized and that the site and regional geology, hydrogeology and natural and contaminant geochemistry, are adequately understood to support the development of a conceptual site model and to support the risk assessment and any risk management plan proposed.</w:t>
      </w:r>
      <w:r w:rsidR="00C923BE" w:rsidRPr="002A75F2">
        <w:rPr>
          <w:rFonts w:cs="Arial"/>
        </w:rPr>
        <w:t xml:space="preserve"> The </w:t>
      </w:r>
      <w:r w:rsidR="00B24C01" w:rsidRPr="002A75F2">
        <w:rPr>
          <w:rFonts w:cs="Arial"/>
        </w:rPr>
        <w:t>risk assessment</w:t>
      </w:r>
      <w:r w:rsidR="00C923BE" w:rsidRPr="002A75F2">
        <w:rPr>
          <w:rFonts w:cs="Arial"/>
        </w:rPr>
        <w:t xml:space="preserve"> team must be able to provide a description of routes of potential contaminant transport in the context of property specific characteristics. </w:t>
      </w:r>
    </w:p>
    <w:p w14:paraId="1B9CD135" w14:textId="55C0A628" w:rsidR="000C67D4" w:rsidRPr="002A75F2" w:rsidRDefault="0056554D" w:rsidP="000C67D4">
      <w:pPr>
        <w:rPr>
          <w:rFonts w:cs="Arial"/>
        </w:rPr>
      </w:pPr>
      <w:bookmarkStart w:id="137" w:name="_Toc112727412"/>
      <w:r w:rsidRPr="002A75F2">
        <w:rPr>
          <w:rFonts w:cs="Arial"/>
        </w:rPr>
        <w:lastRenderedPageBreak/>
        <w:t xml:space="preserve">Note that much of the information required under this heading (and subheadings) </w:t>
      </w:r>
      <w:r w:rsidR="0086036B" w:rsidRPr="002A75F2">
        <w:rPr>
          <w:rFonts w:cs="Arial"/>
        </w:rPr>
        <w:t>should</w:t>
      </w:r>
      <w:r w:rsidRPr="002A75F2">
        <w:rPr>
          <w:rFonts w:cs="Arial"/>
        </w:rPr>
        <w:t xml:space="preserve"> already be included in the phase two conceptual site model</w:t>
      </w:r>
      <w:r w:rsidR="002236E6" w:rsidRPr="002A75F2">
        <w:rPr>
          <w:rFonts w:cs="Arial"/>
        </w:rPr>
        <w:t xml:space="preserve">, </w:t>
      </w:r>
      <w:r w:rsidR="0086036B" w:rsidRPr="002A75F2">
        <w:rPr>
          <w:rFonts w:cs="Arial"/>
        </w:rPr>
        <w:t xml:space="preserve">which was previously provided with the PSF and </w:t>
      </w:r>
      <w:r w:rsidRPr="002A75F2">
        <w:rPr>
          <w:rFonts w:cs="Arial"/>
        </w:rPr>
        <w:t xml:space="preserve">which </w:t>
      </w:r>
      <w:r w:rsidR="0086036B" w:rsidRPr="002A75F2">
        <w:rPr>
          <w:rFonts w:cs="Arial"/>
        </w:rPr>
        <w:t xml:space="preserve">now </w:t>
      </w:r>
      <w:r w:rsidRPr="002A75F2">
        <w:rPr>
          <w:rFonts w:cs="Arial"/>
        </w:rPr>
        <w:t xml:space="preserve">must be included </w:t>
      </w:r>
      <w:r w:rsidR="0086036B" w:rsidRPr="002A75F2">
        <w:rPr>
          <w:rFonts w:cs="Arial"/>
        </w:rPr>
        <w:t xml:space="preserve">with the RA report, </w:t>
      </w:r>
      <w:r w:rsidRPr="002A75F2">
        <w:rPr>
          <w:rFonts w:cs="Arial"/>
        </w:rPr>
        <w:t>as a</w:t>
      </w:r>
      <w:r w:rsidR="0001565C" w:rsidRPr="002A75F2">
        <w:rPr>
          <w:rFonts w:cs="Arial"/>
        </w:rPr>
        <w:t xml:space="preserve"> separate</w:t>
      </w:r>
      <w:r w:rsidR="00E34FD2" w:rsidRPr="002A75F2">
        <w:rPr>
          <w:rFonts w:cs="Arial"/>
        </w:rPr>
        <w:t>, stand-alone</w:t>
      </w:r>
      <w:r w:rsidR="0001565C" w:rsidRPr="002A75F2">
        <w:rPr>
          <w:rFonts w:cs="Arial"/>
        </w:rPr>
        <w:t xml:space="preserve"> </w:t>
      </w:r>
      <w:r w:rsidRPr="002A75F2">
        <w:rPr>
          <w:rFonts w:cs="Arial"/>
        </w:rPr>
        <w:t xml:space="preserve">appendix. In most cases, including a short summary of the required information, along with a reference </w:t>
      </w:r>
      <w:r w:rsidR="0086036B" w:rsidRPr="002A75F2">
        <w:rPr>
          <w:rFonts w:cs="Arial"/>
        </w:rPr>
        <w:t>to</w:t>
      </w:r>
      <w:r w:rsidRPr="002A75F2">
        <w:rPr>
          <w:rFonts w:cs="Arial"/>
        </w:rPr>
        <w:t xml:space="preserve"> where this information is located within the phase two conceptual site model, will be sufficient to meet the requirements. Note that additional information (narrative, summary, figures, etc.) may be required for more complex site</w:t>
      </w:r>
      <w:r w:rsidR="0086036B" w:rsidRPr="002A75F2">
        <w:rPr>
          <w:rFonts w:cs="Arial"/>
        </w:rPr>
        <w:t>s</w:t>
      </w:r>
      <w:r w:rsidRPr="002A75F2">
        <w:rPr>
          <w:rFonts w:cs="Arial"/>
        </w:rPr>
        <w:t xml:space="preserve"> or for sites where additional information not included in the phase two conceptual site model is being relied upon.</w:t>
      </w:r>
    </w:p>
    <w:p w14:paraId="6A12AD00" w14:textId="77777777" w:rsidR="0001565C" w:rsidRPr="002A75F2" w:rsidRDefault="00850F83" w:rsidP="000C67D4">
      <w:pPr>
        <w:rPr>
          <w:rFonts w:cs="Arial"/>
        </w:rPr>
      </w:pPr>
      <w:r w:rsidRPr="002A75F2">
        <w:rPr>
          <w:rFonts w:cs="Arial"/>
        </w:rPr>
        <w:t>T</w:t>
      </w:r>
      <w:r w:rsidR="00585A3F" w:rsidRPr="002A75F2">
        <w:rPr>
          <w:rFonts w:cs="Arial"/>
        </w:rPr>
        <w:t>he requiremen</w:t>
      </w:r>
      <w:r w:rsidRPr="002A75F2">
        <w:rPr>
          <w:rFonts w:cs="Arial"/>
        </w:rPr>
        <w:t>t</w:t>
      </w:r>
      <w:r w:rsidR="00585A3F" w:rsidRPr="002A75F2">
        <w:rPr>
          <w:rFonts w:cs="Arial"/>
        </w:rPr>
        <w:t>s for the phase two conceptual site model, including non-standard delineation, w</w:t>
      </w:r>
      <w:r w:rsidRPr="002A75F2">
        <w:rPr>
          <w:rFonts w:cs="Arial"/>
        </w:rPr>
        <w:t xml:space="preserve">ere </w:t>
      </w:r>
      <w:r w:rsidR="00585A3F" w:rsidRPr="002A75F2">
        <w:rPr>
          <w:rFonts w:cs="Arial"/>
        </w:rPr>
        <w:t xml:space="preserve">previously covered in </w:t>
      </w:r>
      <w:r w:rsidRPr="002A75F2">
        <w:rPr>
          <w:rFonts w:cs="Arial"/>
        </w:rPr>
        <w:t>S</w:t>
      </w:r>
      <w:r w:rsidR="00585A3F" w:rsidRPr="002A75F2">
        <w:rPr>
          <w:rFonts w:cs="Arial"/>
        </w:rPr>
        <w:t>ection 2.2 of this Procedures document</w:t>
      </w:r>
      <w:r w:rsidR="00470BE2" w:rsidRPr="002A75F2">
        <w:rPr>
          <w:rFonts w:cs="Arial"/>
        </w:rPr>
        <w:t>, for the PSF</w:t>
      </w:r>
      <w:r w:rsidR="00585A3F" w:rsidRPr="002A75F2">
        <w:rPr>
          <w:rFonts w:cs="Arial"/>
        </w:rPr>
        <w:t xml:space="preserve">. </w:t>
      </w:r>
    </w:p>
    <w:p w14:paraId="6983D587" w14:textId="77777777" w:rsidR="003F3C3D" w:rsidRPr="002A75F2" w:rsidRDefault="003F3C3D" w:rsidP="00DE496B">
      <w:pPr>
        <w:pStyle w:val="Heading3"/>
        <w:rPr>
          <w:rFonts w:cs="Arial"/>
        </w:rPr>
      </w:pPr>
      <w:bookmarkStart w:id="138" w:name="_Toc41905675"/>
      <w:r w:rsidRPr="002A75F2">
        <w:rPr>
          <w:rFonts w:cs="Arial"/>
        </w:rPr>
        <w:t>Conceptual Site Model</w:t>
      </w:r>
      <w:bookmarkEnd w:id="137"/>
      <w:r w:rsidR="00346D65" w:rsidRPr="002A75F2">
        <w:rPr>
          <w:rFonts w:cs="Arial"/>
        </w:rPr>
        <w:t xml:space="preserve"> – Additional Guidance</w:t>
      </w:r>
      <w:bookmarkEnd w:id="138"/>
    </w:p>
    <w:p w14:paraId="01A397E7" w14:textId="58B153D2" w:rsidR="003F3C3D" w:rsidRPr="002A75F2" w:rsidRDefault="00A91142" w:rsidP="003F3C3D">
      <w:pPr>
        <w:rPr>
          <w:rFonts w:cs="Arial"/>
        </w:rPr>
      </w:pPr>
      <w:r w:rsidRPr="002A75F2">
        <w:rPr>
          <w:rFonts w:cs="Arial"/>
        </w:rPr>
        <w:t xml:space="preserve">A conceptual site model </w:t>
      </w:r>
      <w:r w:rsidR="003F3C3D" w:rsidRPr="002A75F2">
        <w:rPr>
          <w:rFonts w:cs="Arial"/>
        </w:rPr>
        <w:t xml:space="preserve">is </w:t>
      </w:r>
      <w:r w:rsidR="000D521C" w:rsidRPr="002A75F2">
        <w:rPr>
          <w:rFonts w:cs="Arial"/>
        </w:rPr>
        <w:t>described</w:t>
      </w:r>
      <w:r w:rsidR="00887CE9" w:rsidRPr="002A75F2">
        <w:rPr>
          <w:rFonts w:cs="Arial"/>
        </w:rPr>
        <w:t xml:space="preserve"> in</w:t>
      </w:r>
      <w:r w:rsidR="00887CE9" w:rsidRPr="002A75F2">
        <w:rPr>
          <w:rFonts w:cs="Arial"/>
          <w:lang w:val="en-CA"/>
        </w:rPr>
        <w:t xml:space="preserve"> </w:t>
      </w:r>
      <w:r w:rsidR="00394DAF" w:rsidRPr="002A75F2">
        <w:rPr>
          <w:rFonts w:cs="Arial"/>
          <w:lang w:val="en-CA"/>
        </w:rPr>
        <w:t>s</w:t>
      </w:r>
      <w:r w:rsidR="00887CE9" w:rsidRPr="002A75F2">
        <w:rPr>
          <w:rFonts w:cs="Arial"/>
          <w:lang w:val="en-CA"/>
        </w:rPr>
        <w:t xml:space="preserve">ection 3 of Schedule C </w:t>
      </w:r>
      <w:r w:rsidR="000D521C" w:rsidRPr="002A75F2">
        <w:rPr>
          <w:rFonts w:cs="Arial"/>
          <w:lang w:val="en-CA"/>
        </w:rPr>
        <w:t xml:space="preserve">of the Regulation </w:t>
      </w:r>
      <w:r w:rsidR="00887CE9" w:rsidRPr="002A75F2">
        <w:rPr>
          <w:rFonts w:cs="Arial"/>
          <w:lang w:val="en-CA"/>
        </w:rPr>
        <w:t xml:space="preserve">as comprising specified </w:t>
      </w:r>
      <w:r w:rsidR="00394DAF" w:rsidRPr="002A75F2">
        <w:rPr>
          <w:rFonts w:cs="Arial"/>
          <w:lang w:val="en-CA"/>
        </w:rPr>
        <w:t xml:space="preserve">diagrams </w:t>
      </w:r>
      <w:r w:rsidR="00887CE9" w:rsidRPr="002A75F2">
        <w:rPr>
          <w:rFonts w:cs="Arial"/>
          <w:lang w:val="en-CA"/>
        </w:rPr>
        <w:t xml:space="preserve">with explanatory notes (text description). The </w:t>
      </w:r>
      <w:r w:rsidR="00FB474A" w:rsidRPr="002A75F2">
        <w:rPr>
          <w:rFonts w:cs="Arial"/>
          <w:lang w:val="en-CA"/>
        </w:rPr>
        <w:t xml:space="preserve">conceptual site model </w:t>
      </w:r>
      <w:r w:rsidR="00887CE9" w:rsidRPr="002A75F2">
        <w:rPr>
          <w:rFonts w:cs="Arial"/>
          <w:lang w:val="en-CA"/>
        </w:rPr>
        <w:t xml:space="preserve">provides </w:t>
      </w:r>
      <w:r w:rsidR="003F3C3D" w:rsidRPr="002A75F2">
        <w:rPr>
          <w:rFonts w:cs="Arial"/>
        </w:rPr>
        <w:t>a three-dimensional</w:t>
      </w:r>
      <w:r w:rsidR="00887CE9" w:rsidRPr="002A75F2">
        <w:rPr>
          <w:rFonts w:cs="Arial"/>
        </w:rPr>
        <w:t xml:space="preserve"> (area and depth)</w:t>
      </w:r>
      <w:r w:rsidR="003F3C3D" w:rsidRPr="002A75F2">
        <w:rPr>
          <w:rFonts w:cs="Arial"/>
        </w:rPr>
        <w:t xml:space="preserve"> </w:t>
      </w:r>
      <w:r w:rsidR="00887CE9" w:rsidRPr="002A75F2">
        <w:rPr>
          <w:rFonts w:cs="Arial"/>
        </w:rPr>
        <w:t>description</w:t>
      </w:r>
      <w:r w:rsidR="003F3C3D" w:rsidRPr="002A75F2">
        <w:rPr>
          <w:rFonts w:cs="Arial"/>
        </w:rPr>
        <w:t xml:space="preserve"> of site conditions that illustrates contaminant sources and distributions, release mechanisms, exposure pathways, migration routes and potential receptors. A </w:t>
      </w:r>
      <w:r w:rsidRPr="002A75F2">
        <w:rPr>
          <w:rFonts w:cs="Arial"/>
        </w:rPr>
        <w:t>conceptual site model</w:t>
      </w:r>
      <w:r w:rsidR="003F3C3D" w:rsidRPr="002A75F2">
        <w:rPr>
          <w:rFonts w:cs="Arial"/>
        </w:rPr>
        <w:t xml:space="preserve"> must show all potential human </w:t>
      </w:r>
      <w:r w:rsidR="00887CE9" w:rsidRPr="002A75F2">
        <w:rPr>
          <w:rFonts w:cs="Arial"/>
        </w:rPr>
        <w:t xml:space="preserve">receptors </w:t>
      </w:r>
      <w:r w:rsidR="003F3C3D" w:rsidRPr="002A75F2">
        <w:rPr>
          <w:rFonts w:cs="Arial"/>
        </w:rPr>
        <w:t>and VEC</w:t>
      </w:r>
      <w:r w:rsidR="00C60164" w:rsidRPr="002A75F2">
        <w:rPr>
          <w:rFonts w:cs="Arial"/>
        </w:rPr>
        <w:t>s</w:t>
      </w:r>
      <w:r w:rsidR="003F3C3D" w:rsidRPr="002A75F2">
        <w:rPr>
          <w:rFonts w:cs="Arial"/>
        </w:rPr>
        <w:t xml:space="preserve"> </w:t>
      </w:r>
      <w:r w:rsidR="00661AF9" w:rsidRPr="002A75F2">
        <w:rPr>
          <w:rFonts w:cs="Arial"/>
        </w:rPr>
        <w:t>along with</w:t>
      </w:r>
      <w:r w:rsidR="003F3C3D" w:rsidRPr="002A75F2">
        <w:rPr>
          <w:rFonts w:cs="Arial"/>
        </w:rPr>
        <w:t xml:space="preserve"> exposure pathways</w:t>
      </w:r>
      <w:r w:rsidR="00887CE9" w:rsidRPr="002A75F2">
        <w:rPr>
          <w:rFonts w:cs="Arial"/>
        </w:rPr>
        <w:t xml:space="preserve"> specific to the site and adjacent properties</w:t>
      </w:r>
      <w:r w:rsidR="003F3C3D" w:rsidRPr="002A75F2">
        <w:rPr>
          <w:rFonts w:cs="Arial"/>
        </w:rPr>
        <w:t xml:space="preserve">. Each relevant pathway is to be provided, including those that may be eliminated through risk management measures. The </w:t>
      </w:r>
      <w:r w:rsidRPr="002A75F2">
        <w:rPr>
          <w:rFonts w:cs="Arial"/>
        </w:rPr>
        <w:t>conceptual site model</w:t>
      </w:r>
      <w:r w:rsidR="003F3C3D" w:rsidRPr="002A75F2">
        <w:rPr>
          <w:rFonts w:cs="Arial"/>
        </w:rPr>
        <w:t xml:space="preserve"> is expected to highlight the effects of any existing or anticipated pathway barrier on potential exposure pathways.</w:t>
      </w:r>
      <w:r w:rsidR="00743AE6" w:rsidRPr="002A75F2">
        <w:rPr>
          <w:rFonts w:cs="Arial"/>
        </w:rPr>
        <w:t xml:space="preserve"> </w:t>
      </w:r>
      <w:r w:rsidR="003F3C3D" w:rsidRPr="002A75F2">
        <w:rPr>
          <w:rFonts w:cs="Arial"/>
        </w:rPr>
        <w:t>Therefore</w:t>
      </w:r>
      <w:r w:rsidR="00214E23" w:rsidRPr="002A75F2">
        <w:rPr>
          <w:rFonts w:cs="Arial"/>
        </w:rPr>
        <w:t>,</w:t>
      </w:r>
      <w:r w:rsidR="003F3C3D" w:rsidRPr="002A75F2">
        <w:rPr>
          <w:rFonts w:cs="Arial"/>
        </w:rPr>
        <w:t xml:space="preserve"> the </w:t>
      </w:r>
      <w:r w:rsidRPr="002A75F2">
        <w:rPr>
          <w:rFonts w:cs="Arial"/>
        </w:rPr>
        <w:t>conceptual site model</w:t>
      </w:r>
      <w:r w:rsidR="003F3C3D" w:rsidRPr="002A75F2">
        <w:rPr>
          <w:rFonts w:cs="Arial"/>
        </w:rPr>
        <w:t xml:space="preserve"> must distinguish between the routes of exposure which would potentially exist without risk management measures and routes which are expected to exist under conditions which include risk management measures</w:t>
      </w:r>
      <w:r w:rsidR="007C26E1" w:rsidRPr="002A75F2">
        <w:rPr>
          <w:rFonts w:cs="Arial"/>
        </w:rPr>
        <w:t xml:space="preserve"> (existing or future pathway barriers)</w:t>
      </w:r>
      <w:r w:rsidR="003F3C3D" w:rsidRPr="002A75F2">
        <w:rPr>
          <w:rFonts w:cs="Arial"/>
        </w:rPr>
        <w:t>.</w:t>
      </w:r>
    </w:p>
    <w:p w14:paraId="7C07360E" w14:textId="25E996E0" w:rsidR="003F3C3D" w:rsidRPr="002A75F2" w:rsidRDefault="003F3C3D" w:rsidP="003F3C3D">
      <w:pPr>
        <w:rPr>
          <w:rFonts w:cs="Arial"/>
        </w:rPr>
      </w:pPr>
      <w:r w:rsidRPr="002A75F2">
        <w:rPr>
          <w:rFonts w:cs="Arial"/>
        </w:rPr>
        <w:t xml:space="preserve">The </w:t>
      </w:r>
      <w:r w:rsidR="00A91142" w:rsidRPr="002A75F2">
        <w:rPr>
          <w:rFonts w:cs="Arial"/>
        </w:rPr>
        <w:t>conceptual site model</w:t>
      </w:r>
      <w:r w:rsidRPr="002A75F2">
        <w:rPr>
          <w:rFonts w:cs="Arial"/>
        </w:rPr>
        <w:t xml:space="preserve"> for sub-surface transport provides an organized, three dimensional picture of the hydrogeologic setting (minimum of site plan and cross section). A narrative should be provided to explain the groundwater flow and c</w:t>
      </w:r>
      <w:r w:rsidR="00887CE9" w:rsidRPr="002A75F2">
        <w:rPr>
          <w:rFonts w:cs="Arial"/>
        </w:rPr>
        <w:t>ontaminant behavior,</w:t>
      </w:r>
      <w:r w:rsidRPr="002A75F2">
        <w:rPr>
          <w:rFonts w:cs="Arial"/>
        </w:rPr>
        <w:t xml:space="preserve"> </w:t>
      </w:r>
      <w:r w:rsidR="00887CE9" w:rsidRPr="002A75F2">
        <w:rPr>
          <w:rFonts w:cs="Arial"/>
        </w:rPr>
        <w:t>interactions with receptors</w:t>
      </w:r>
      <w:r w:rsidRPr="002A75F2">
        <w:rPr>
          <w:rFonts w:cs="Arial"/>
        </w:rPr>
        <w:t xml:space="preserve">, as well as </w:t>
      </w:r>
      <w:r w:rsidR="00887CE9" w:rsidRPr="002A75F2">
        <w:rPr>
          <w:rFonts w:cs="Arial"/>
        </w:rPr>
        <w:t>consideration</w:t>
      </w:r>
      <w:r w:rsidRPr="002A75F2">
        <w:rPr>
          <w:rFonts w:cs="Arial"/>
        </w:rPr>
        <w:t xml:space="preserve"> of </w:t>
      </w:r>
      <w:r w:rsidR="00887CE9" w:rsidRPr="002A75F2">
        <w:rPr>
          <w:rFonts w:cs="Arial"/>
        </w:rPr>
        <w:t xml:space="preserve">the </w:t>
      </w:r>
      <w:r w:rsidRPr="002A75F2">
        <w:rPr>
          <w:rFonts w:cs="Arial"/>
        </w:rPr>
        <w:t>consequences of natural and human activities.</w:t>
      </w:r>
    </w:p>
    <w:p w14:paraId="3BB1BFAF" w14:textId="00633B62" w:rsidR="003F3C3D" w:rsidRPr="000C60E1" w:rsidRDefault="003F3C3D" w:rsidP="008502F8">
      <w:pPr>
        <w:rPr>
          <w:rFonts w:cs="Arial"/>
        </w:rPr>
      </w:pPr>
      <w:r w:rsidRPr="002A75F2">
        <w:rPr>
          <w:rFonts w:cs="Arial"/>
        </w:rPr>
        <w:t xml:space="preserve">The </w:t>
      </w:r>
      <w:r w:rsidR="00A91142" w:rsidRPr="002A75F2">
        <w:rPr>
          <w:rFonts w:cs="Arial"/>
        </w:rPr>
        <w:t>conceptual site model</w:t>
      </w:r>
      <w:r w:rsidRPr="002A75F2">
        <w:rPr>
          <w:rFonts w:cs="Arial"/>
        </w:rPr>
        <w:t xml:space="preserve"> must meet all the requirements specified in </w:t>
      </w:r>
      <w:r w:rsidR="00995725" w:rsidRPr="002A75F2">
        <w:rPr>
          <w:rFonts w:cs="Arial"/>
        </w:rPr>
        <w:t xml:space="preserve">section 3 of </w:t>
      </w:r>
      <w:r w:rsidRPr="002A75F2">
        <w:rPr>
          <w:rFonts w:cs="Arial"/>
        </w:rPr>
        <w:t xml:space="preserve">Schedule C and described in </w:t>
      </w:r>
      <w:r w:rsidR="003C00DA" w:rsidRPr="002A75F2">
        <w:rPr>
          <w:rFonts w:cs="Arial"/>
        </w:rPr>
        <w:t>S</w:t>
      </w:r>
      <w:r w:rsidRPr="002A75F2">
        <w:rPr>
          <w:rFonts w:cs="Arial"/>
        </w:rPr>
        <w:t xml:space="preserve">ection </w:t>
      </w:r>
      <w:r w:rsidR="00FC239E" w:rsidRPr="002A75F2">
        <w:rPr>
          <w:rFonts w:cs="Arial"/>
        </w:rPr>
        <w:t>2.2</w:t>
      </w:r>
      <w:r w:rsidRPr="002A75F2">
        <w:rPr>
          <w:rFonts w:cs="Arial"/>
        </w:rPr>
        <w:t xml:space="preserve"> of this Procedures document</w:t>
      </w:r>
      <w:r w:rsidR="00470BE2" w:rsidRPr="002A75F2">
        <w:rPr>
          <w:rFonts w:cs="Arial"/>
        </w:rPr>
        <w:t>,</w:t>
      </w:r>
      <w:r w:rsidRPr="002A75F2">
        <w:rPr>
          <w:rFonts w:cs="Arial"/>
        </w:rPr>
        <w:t xml:space="preserve"> for the PSF. The </w:t>
      </w:r>
      <w:r w:rsidR="00A91142" w:rsidRPr="002A75F2">
        <w:rPr>
          <w:rFonts w:cs="Arial"/>
        </w:rPr>
        <w:t>conceptual site model</w:t>
      </w:r>
      <w:r w:rsidRPr="002A75F2">
        <w:rPr>
          <w:rFonts w:cs="Arial"/>
        </w:rPr>
        <w:t xml:space="preserve"> presented in the RA report should be a finalized and refined version of the model presented in the PSF. Any changes to the </w:t>
      </w:r>
      <w:r w:rsidR="00A91142" w:rsidRPr="002A75F2">
        <w:rPr>
          <w:rFonts w:cs="Arial"/>
        </w:rPr>
        <w:t>conceptual site model</w:t>
      </w:r>
      <w:r w:rsidRPr="002A75F2">
        <w:rPr>
          <w:rFonts w:cs="Arial"/>
        </w:rPr>
        <w:t xml:space="preserve"> which may impact the risk assessment outcome </w:t>
      </w:r>
      <w:r w:rsidR="00E76422" w:rsidRPr="002A75F2">
        <w:rPr>
          <w:rFonts w:cs="Arial"/>
        </w:rPr>
        <w:t>(e.g. new COC, new maximum concentration,</w:t>
      </w:r>
      <w:r w:rsidR="00877F1D" w:rsidRPr="002A75F2">
        <w:rPr>
          <w:rFonts w:cs="Arial"/>
        </w:rPr>
        <w:t xml:space="preserve"> COC being dropped,</w:t>
      </w:r>
      <w:r w:rsidR="00E76422" w:rsidRPr="002A75F2">
        <w:rPr>
          <w:rFonts w:cs="Arial"/>
        </w:rPr>
        <w:t xml:space="preserve"> etc.) </w:t>
      </w:r>
      <w:r w:rsidRPr="002A75F2">
        <w:rPr>
          <w:rFonts w:cs="Arial"/>
        </w:rPr>
        <w:t>must be identified in Report Section 1 “Summary of Recommendations</w:t>
      </w:r>
      <w:r w:rsidR="00394DAF" w:rsidRPr="002A75F2">
        <w:rPr>
          <w:rFonts w:cs="Arial"/>
        </w:rPr>
        <w:t xml:space="preserve"> and </w:t>
      </w:r>
      <w:r w:rsidRPr="002A75F2">
        <w:rPr>
          <w:rFonts w:cs="Arial"/>
        </w:rPr>
        <w:t>Findings” under the heading “Deviations from Pre-</w:t>
      </w:r>
      <w:r w:rsidR="00394DAF" w:rsidRPr="002A75F2">
        <w:rPr>
          <w:rFonts w:cs="Arial"/>
        </w:rPr>
        <w:t>s</w:t>
      </w:r>
      <w:r w:rsidRPr="002A75F2">
        <w:rPr>
          <w:rFonts w:cs="Arial"/>
        </w:rPr>
        <w:t>ubmission Form”</w:t>
      </w:r>
      <w:r w:rsidR="00FC4664" w:rsidRPr="002A75F2">
        <w:rPr>
          <w:rFonts w:cs="Arial"/>
        </w:rPr>
        <w:t>.</w:t>
      </w:r>
    </w:p>
    <w:p w14:paraId="2D1360AF" w14:textId="77777777" w:rsidR="003F3C3D" w:rsidRPr="000C60E1" w:rsidRDefault="003F3C3D" w:rsidP="008502F8">
      <w:pPr>
        <w:pStyle w:val="Heading2"/>
        <w:rPr>
          <w:rFonts w:cs="Arial"/>
        </w:rPr>
      </w:pPr>
      <w:bookmarkStart w:id="139" w:name="_Toc112727413"/>
      <w:bookmarkStart w:id="140" w:name="_Toc41905676"/>
      <w:r w:rsidRPr="000C60E1">
        <w:rPr>
          <w:rFonts w:cs="Arial"/>
        </w:rPr>
        <w:t>Contaminants of Concern</w:t>
      </w:r>
      <w:bookmarkEnd w:id="139"/>
      <w:bookmarkEnd w:id="140"/>
    </w:p>
    <w:p w14:paraId="5B70F7AF" w14:textId="17BA7722" w:rsidR="003F3C3D" w:rsidRPr="000C60E1" w:rsidRDefault="007175A1" w:rsidP="008502F8">
      <w:pPr>
        <w:rPr>
          <w:rFonts w:cs="Arial"/>
        </w:rPr>
      </w:pPr>
      <w:r w:rsidRPr="000C60E1">
        <w:rPr>
          <w:rFonts w:cs="Arial"/>
        </w:rPr>
        <w:t>Contaminants of Concern (</w:t>
      </w:r>
      <w:r w:rsidR="007E715A" w:rsidRPr="000C60E1">
        <w:rPr>
          <w:rFonts w:cs="Arial"/>
        </w:rPr>
        <w:t>COCs</w:t>
      </w:r>
      <w:r w:rsidRPr="000C60E1">
        <w:rPr>
          <w:rFonts w:cs="Arial"/>
        </w:rPr>
        <w:t>)</w:t>
      </w:r>
      <w:r w:rsidR="007E715A" w:rsidRPr="000C60E1">
        <w:rPr>
          <w:rFonts w:cs="Arial"/>
        </w:rPr>
        <w:t xml:space="preserve"> identified for the RA property must be listed in the RA report. </w:t>
      </w:r>
      <w:r w:rsidR="003C00DA" w:rsidRPr="000C60E1">
        <w:rPr>
          <w:rFonts w:cs="Arial"/>
        </w:rPr>
        <w:t xml:space="preserve">Note that the COC identification process is completed at the </w:t>
      </w:r>
      <w:r w:rsidR="0032339F" w:rsidRPr="000C60E1">
        <w:rPr>
          <w:rFonts w:cs="Arial"/>
        </w:rPr>
        <w:t>p</w:t>
      </w:r>
      <w:r w:rsidR="003C00DA" w:rsidRPr="000C60E1">
        <w:rPr>
          <w:rFonts w:cs="Arial"/>
        </w:rPr>
        <w:t xml:space="preserve">hase two ESA stage. </w:t>
      </w:r>
      <w:r w:rsidR="003F3C3D" w:rsidRPr="000C60E1">
        <w:rPr>
          <w:rFonts w:cs="Arial"/>
        </w:rPr>
        <w:t xml:space="preserve">It is </w:t>
      </w:r>
      <w:r w:rsidR="003C00DA" w:rsidRPr="000C60E1">
        <w:rPr>
          <w:rFonts w:cs="Arial"/>
        </w:rPr>
        <w:t xml:space="preserve">however useful for </w:t>
      </w:r>
      <w:r w:rsidR="003F3C3D" w:rsidRPr="000C60E1">
        <w:rPr>
          <w:rFonts w:cs="Arial"/>
        </w:rPr>
        <w:t>the QP</w:t>
      </w:r>
      <w:r w:rsidR="003F3C3D" w:rsidRPr="000C60E1">
        <w:rPr>
          <w:rFonts w:cs="Arial"/>
          <w:vertAlign w:val="subscript"/>
        </w:rPr>
        <w:t>RA</w:t>
      </w:r>
      <w:r w:rsidR="003F3C3D" w:rsidRPr="000C60E1">
        <w:rPr>
          <w:rFonts w:cs="Arial"/>
        </w:rPr>
        <w:t xml:space="preserve"> and the QP</w:t>
      </w:r>
      <w:r w:rsidR="003F3C3D" w:rsidRPr="000C60E1">
        <w:rPr>
          <w:rFonts w:cs="Arial"/>
          <w:vertAlign w:val="subscript"/>
        </w:rPr>
        <w:t>ESA</w:t>
      </w:r>
      <w:r w:rsidR="003F3C3D" w:rsidRPr="000C60E1">
        <w:rPr>
          <w:rFonts w:cs="Arial"/>
        </w:rPr>
        <w:t xml:space="preserve"> </w:t>
      </w:r>
      <w:r w:rsidR="003C00DA" w:rsidRPr="000C60E1">
        <w:rPr>
          <w:rFonts w:cs="Arial"/>
        </w:rPr>
        <w:t xml:space="preserve">to </w:t>
      </w:r>
      <w:r w:rsidR="003F3C3D" w:rsidRPr="000C60E1">
        <w:rPr>
          <w:rFonts w:cs="Arial"/>
        </w:rPr>
        <w:t xml:space="preserve">work together to identify </w:t>
      </w:r>
      <w:smartTag w:uri="urn:schemas-microsoft-com:office:smarttags" w:element="stockticker">
        <w:r w:rsidR="003F3C3D" w:rsidRPr="000C60E1">
          <w:rPr>
            <w:rFonts w:cs="Arial"/>
          </w:rPr>
          <w:t>COC</w:t>
        </w:r>
      </w:smartTag>
      <w:r w:rsidR="00E826BA" w:rsidRPr="000C60E1">
        <w:rPr>
          <w:rFonts w:cs="Arial"/>
        </w:rPr>
        <w:t>s</w:t>
      </w:r>
      <w:r w:rsidR="003F3C3D" w:rsidRPr="000C60E1">
        <w:rPr>
          <w:rFonts w:cs="Arial"/>
        </w:rPr>
        <w:t xml:space="preserve"> </w:t>
      </w:r>
      <w:r w:rsidR="006A0D37" w:rsidRPr="000C60E1">
        <w:rPr>
          <w:rFonts w:cs="Arial"/>
        </w:rPr>
        <w:t xml:space="preserve">at the RA property. COCs </w:t>
      </w:r>
      <w:r w:rsidR="003C00DA" w:rsidRPr="000C60E1">
        <w:rPr>
          <w:rFonts w:cs="Arial"/>
        </w:rPr>
        <w:t>are defined as</w:t>
      </w:r>
      <w:r w:rsidR="006A0D37" w:rsidRPr="000C60E1">
        <w:rPr>
          <w:rFonts w:cs="Arial"/>
        </w:rPr>
        <w:t xml:space="preserve"> follows under the Regulation:</w:t>
      </w:r>
    </w:p>
    <w:p w14:paraId="17DAD3D0" w14:textId="77777777" w:rsidR="007E715A" w:rsidRPr="000C60E1" w:rsidRDefault="007E715A" w:rsidP="00F60914">
      <w:pPr>
        <w:shd w:val="clear" w:color="auto" w:fill="D9D9D9"/>
        <w:rPr>
          <w:rFonts w:cs="Arial"/>
        </w:rPr>
      </w:pPr>
      <w:r w:rsidRPr="000C60E1">
        <w:rPr>
          <w:rFonts w:cs="Arial"/>
        </w:rPr>
        <w:t>“contaminant of concern” means,</w:t>
      </w:r>
    </w:p>
    <w:p w14:paraId="40FC80DE" w14:textId="77777777" w:rsidR="00A87E11" w:rsidRPr="000C60E1" w:rsidRDefault="00A87E11" w:rsidP="00A47B50">
      <w:pPr>
        <w:numPr>
          <w:ilvl w:val="0"/>
          <w:numId w:val="23"/>
        </w:numPr>
        <w:shd w:val="clear" w:color="auto" w:fill="D9D9D9"/>
        <w:tabs>
          <w:tab w:val="left" w:pos="993"/>
        </w:tabs>
        <w:rPr>
          <w:rFonts w:cs="Arial"/>
        </w:rPr>
      </w:pPr>
      <w:r w:rsidRPr="000C60E1">
        <w:rPr>
          <w:rFonts w:cs="Arial"/>
        </w:rPr>
        <w:lastRenderedPageBreak/>
        <w:t>one or more contaminants found on, in or under a property at a concentration that exceeds the applicable site condition standards for the property, or</w:t>
      </w:r>
    </w:p>
    <w:p w14:paraId="31E8A83B" w14:textId="77777777" w:rsidR="00A87E11" w:rsidRPr="000C60E1" w:rsidRDefault="00A87E11" w:rsidP="00A47B50">
      <w:pPr>
        <w:numPr>
          <w:ilvl w:val="0"/>
          <w:numId w:val="23"/>
        </w:numPr>
        <w:shd w:val="clear" w:color="auto" w:fill="D9D9D9"/>
        <w:tabs>
          <w:tab w:val="left" w:pos="993"/>
        </w:tabs>
        <w:rPr>
          <w:rFonts w:cs="Arial"/>
        </w:rPr>
      </w:pPr>
      <w:r w:rsidRPr="000C60E1">
        <w:rPr>
          <w:rFonts w:cs="Arial"/>
        </w:rPr>
        <w:t>one or more contaminants found on, in or under a property for which no applicable site condition standard is prescribed under Part IX (Site Condition Standards and Risk Assessment) and which are associated with potentially contaminating activity;</w:t>
      </w:r>
    </w:p>
    <w:p w14:paraId="458AA245" w14:textId="0F2C5671" w:rsidR="00CF5AE1" w:rsidRPr="002A75F2" w:rsidRDefault="00CF5AE1" w:rsidP="00A87E11">
      <w:pPr>
        <w:rPr>
          <w:rFonts w:cs="Arial"/>
        </w:rPr>
      </w:pPr>
      <w:r w:rsidRPr="000C60E1">
        <w:rPr>
          <w:rFonts w:cs="Arial"/>
        </w:rPr>
        <w:t>W</w:t>
      </w:r>
      <w:r w:rsidR="00B451A7" w:rsidRPr="000C60E1">
        <w:rPr>
          <w:rFonts w:cs="Arial"/>
        </w:rPr>
        <w:t xml:space="preserve">hen considering contaminants not listed in the </w:t>
      </w:r>
      <w:r w:rsidRPr="000C60E1">
        <w:rPr>
          <w:rFonts w:cs="Arial"/>
        </w:rPr>
        <w:t xml:space="preserve">Ministry’s </w:t>
      </w:r>
      <w:r w:rsidR="00B451A7" w:rsidRPr="000C60E1">
        <w:rPr>
          <w:rFonts w:cs="Arial"/>
        </w:rPr>
        <w:t xml:space="preserve">generic </w:t>
      </w:r>
      <w:r w:rsidR="005C53DA" w:rsidRPr="000C60E1">
        <w:rPr>
          <w:rFonts w:cs="Arial"/>
        </w:rPr>
        <w:t>tables of site condition standards</w:t>
      </w:r>
      <w:r w:rsidRPr="000C60E1">
        <w:rPr>
          <w:rFonts w:cs="Arial"/>
        </w:rPr>
        <w:t xml:space="preserve">, the following section of the </w:t>
      </w:r>
      <w:r w:rsidRPr="002A75F2">
        <w:rPr>
          <w:rFonts w:cs="Arial"/>
        </w:rPr>
        <w:t xml:space="preserve">Regulation </w:t>
      </w:r>
      <w:r w:rsidR="00E37618" w:rsidRPr="002A75F2">
        <w:rPr>
          <w:rFonts w:cs="Arial"/>
        </w:rPr>
        <w:t>must be considered</w:t>
      </w:r>
      <w:r w:rsidRPr="002A75F2">
        <w:rPr>
          <w:rFonts w:cs="Arial"/>
        </w:rPr>
        <w:t>:</w:t>
      </w:r>
    </w:p>
    <w:p w14:paraId="72800BCD" w14:textId="77777777" w:rsidR="002A3695" w:rsidRPr="002A75F2" w:rsidRDefault="002A3695" w:rsidP="00A47B50">
      <w:pPr>
        <w:numPr>
          <w:ilvl w:val="0"/>
          <w:numId w:val="22"/>
        </w:numPr>
        <w:shd w:val="clear" w:color="auto" w:fill="D9D9D9"/>
        <w:rPr>
          <w:rFonts w:cs="Arial"/>
        </w:rPr>
      </w:pPr>
      <w:r w:rsidRPr="002A75F2">
        <w:rPr>
          <w:rFonts w:cs="Arial"/>
        </w:rPr>
        <w:t>Section 43 of the Regulation (Applicable site condition standard: “N/A”, “N/V” or not listed)</w:t>
      </w:r>
    </w:p>
    <w:p w14:paraId="3551B667" w14:textId="77777777" w:rsidR="00CC73C0" w:rsidRPr="002A75F2" w:rsidRDefault="00CC73C0" w:rsidP="00A87E11">
      <w:pPr>
        <w:rPr>
          <w:rFonts w:cs="Arial"/>
        </w:rPr>
      </w:pPr>
      <w:r w:rsidRPr="002A75F2">
        <w:rPr>
          <w:rFonts w:cs="Arial"/>
        </w:rPr>
        <w:t>In addition, the QP</w:t>
      </w:r>
      <w:r w:rsidRPr="002A75F2">
        <w:rPr>
          <w:rFonts w:cs="Arial"/>
          <w:vertAlign w:val="subscript"/>
        </w:rPr>
        <w:t>RA</w:t>
      </w:r>
      <w:r w:rsidRPr="002A75F2">
        <w:rPr>
          <w:rFonts w:cs="Arial"/>
        </w:rPr>
        <w:t xml:space="preserve"> and the QP</w:t>
      </w:r>
      <w:r w:rsidRPr="002A75F2">
        <w:rPr>
          <w:rFonts w:cs="Arial"/>
          <w:vertAlign w:val="subscript"/>
        </w:rPr>
        <w:t>ESA</w:t>
      </w:r>
      <w:r w:rsidRPr="002A75F2">
        <w:rPr>
          <w:rFonts w:cs="Arial"/>
        </w:rPr>
        <w:t xml:space="preserve"> should consider the following </w:t>
      </w:r>
      <w:r w:rsidR="002354C3" w:rsidRPr="002A75F2">
        <w:rPr>
          <w:rFonts w:cs="Arial"/>
        </w:rPr>
        <w:t>in the COC selection process</w:t>
      </w:r>
      <w:r w:rsidR="007E715A" w:rsidRPr="002A75F2">
        <w:rPr>
          <w:rFonts w:cs="Arial"/>
        </w:rPr>
        <w:t>:</w:t>
      </w:r>
    </w:p>
    <w:p w14:paraId="1ACF5BDF" w14:textId="77777777" w:rsidR="00CC73C0" w:rsidRPr="002A75F2" w:rsidRDefault="00CC73C0" w:rsidP="000E72E5">
      <w:pPr>
        <w:pStyle w:val="ListBullet2"/>
        <w:rPr>
          <w:rFonts w:cs="Arial"/>
        </w:rPr>
      </w:pPr>
      <w:r w:rsidRPr="002A75F2">
        <w:rPr>
          <w:rFonts w:cs="Arial"/>
        </w:rPr>
        <w:t xml:space="preserve">Are there any characteristics of the property which may </w:t>
      </w:r>
      <w:r w:rsidR="00E2476B" w:rsidRPr="002A75F2">
        <w:rPr>
          <w:rFonts w:cs="Arial"/>
        </w:rPr>
        <w:t xml:space="preserve">increase the likelihood for one or more contaminants to interfere with the property use beyond that considered </w:t>
      </w:r>
      <w:r w:rsidR="00B451A7" w:rsidRPr="002A75F2">
        <w:rPr>
          <w:rFonts w:cs="Arial"/>
        </w:rPr>
        <w:t xml:space="preserve">by the Ministry </w:t>
      </w:r>
      <w:r w:rsidR="00E2476B" w:rsidRPr="002A75F2">
        <w:rPr>
          <w:rFonts w:cs="Arial"/>
        </w:rPr>
        <w:t>in the development of the site condition standards?</w:t>
      </w:r>
    </w:p>
    <w:p w14:paraId="2004344F" w14:textId="77777777" w:rsidR="00E2476B" w:rsidRPr="002A75F2" w:rsidRDefault="00E2476B" w:rsidP="000E72E5">
      <w:pPr>
        <w:pStyle w:val="ListBullet2"/>
        <w:rPr>
          <w:rFonts w:cs="Arial"/>
        </w:rPr>
      </w:pPr>
      <w:r w:rsidRPr="002A75F2">
        <w:rPr>
          <w:rFonts w:cs="Arial"/>
        </w:rPr>
        <w:t>Are there any contaminants</w:t>
      </w:r>
      <w:r w:rsidR="00A87E11" w:rsidRPr="002A75F2">
        <w:rPr>
          <w:rFonts w:cs="Arial"/>
        </w:rPr>
        <w:t xml:space="preserve"> </w:t>
      </w:r>
      <w:r w:rsidRPr="002A75F2">
        <w:rPr>
          <w:rFonts w:cs="Arial"/>
        </w:rPr>
        <w:t>on</w:t>
      </w:r>
      <w:r w:rsidR="000A6ABD" w:rsidRPr="002A75F2">
        <w:rPr>
          <w:rFonts w:cs="Arial"/>
        </w:rPr>
        <w:t xml:space="preserve">, </w:t>
      </w:r>
      <w:r w:rsidR="00A87E11" w:rsidRPr="002A75F2">
        <w:rPr>
          <w:rFonts w:cs="Arial"/>
        </w:rPr>
        <w:t xml:space="preserve">in, </w:t>
      </w:r>
      <w:r w:rsidR="000A6ABD" w:rsidRPr="002A75F2">
        <w:rPr>
          <w:rFonts w:cs="Arial"/>
        </w:rPr>
        <w:t>or under</w:t>
      </w:r>
      <w:r w:rsidRPr="002A75F2">
        <w:rPr>
          <w:rFonts w:cs="Arial"/>
        </w:rPr>
        <w:t xml:space="preserve"> the property which may degrade to a more toxic product?</w:t>
      </w:r>
    </w:p>
    <w:p w14:paraId="5C577A50" w14:textId="539AB5C7" w:rsidR="00E2476B" w:rsidRPr="002A75F2" w:rsidRDefault="00E2476B" w:rsidP="000E72E5">
      <w:pPr>
        <w:pStyle w:val="ListBullet2"/>
        <w:rPr>
          <w:rFonts w:cs="Arial"/>
        </w:rPr>
      </w:pPr>
      <w:r w:rsidRPr="002A75F2">
        <w:rPr>
          <w:rFonts w:cs="Arial"/>
        </w:rPr>
        <w:t xml:space="preserve">If there are chemicals without </w:t>
      </w:r>
      <w:r w:rsidR="00657FDB" w:rsidRPr="002A75F2">
        <w:rPr>
          <w:rFonts w:cs="Arial"/>
        </w:rPr>
        <w:t>M</w:t>
      </w:r>
      <w:r w:rsidRPr="002A75F2">
        <w:rPr>
          <w:rFonts w:cs="Arial"/>
        </w:rPr>
        <w:t>inistry site condition standards</w:t>
      </w:r>
      <w:r w:rsidR="00286207" w:rsidRPr="002A75F2">
        <w:rPr>
          <w:rFonts w:cs="Arial"/>
        </w:rPr>
        <w:t xml:space="preserve"> and </w:t>
      </w:r>
      <w:r w:rsidR="00B05D5C" w:rsidRPr="002A75F2">
        <w:rPr>
          <w:rFonts w:cs="Arial"/>
        </w:rPr>
        <w:t>likely</w:t>
      </w:r>
      <w:r w:rsidR="00286207" w:rsidRPr="002A75F2">
        <w:rPr>
          <w:rFonts w:cs="Arial"/>
        </w:rPr>
        <w:t xml:space="preserve"> not associated with </w:t>
      </w:r>
      <w:r w:rsidR="009C3DA4" w:rsidRPr="002A75F2">
        <w:rPr>
          <w:rFonts w:cs="Arial"/>
        </w:rPr>
        <w:t xml:space="preserve">any </w:t>
      </w:r>
      <w:r w:rsidR="00286207" w:rsidRPr="002A75F2">
        <w:rPr>
          <w:rFonts w:cs="Arial"/>
        </w:rPr>
        <w:t>potentially contaminat</w:t>
      </w:r>
      <w:r w:rsidR="0074377C" w:rsidRPr="002A75F2">
        <w:rPr>
          <w:rFonts w:cs="Arial"/>
        </w:rPr>
        <w:t>ing</w:t>
      </w:r>
      <w:r w:rsidR="00286207" w:rsidRPr="002A75F2">
        <w:rPr>
          <w:rFonts w:cs="Arial"/>
        </w:rPr>
        <w:t xml:space="preserve"> activity</w:t>
      </w:r>
      <w:r w:rsidRPr="002A75F2">
        <w:rPr>
          <w:rFonts w:cs="Arial"/>
        </w:rPr>
        <w:t>, are they likely to interfere with property use?</w:t>
      </w:r>
    </w:p>
    <w:p w14:paraId="22FC3112" w14:textId="7816E197" w:rsidR="00887CE9" w:rsidRPr="000C60E1" w:rsidRDefault="003F3C3D" w:rsidP="003F3C3D">
      <w:pPr>
        <w:rPr>
          <w:rFonts w:cs="Arial"/>
        </w:rPr>
      </w:pPr>
      <w:r w:rsidRPr="002A75F2">
        <w:rPr>
          <w:rFonts w:cs="Arial"/>
        </w:rPr>
        <w:t>Ba</w:t>
      </w:r>
      <w:r w:rsidR="00887CE9" w:rsidRPr="002A75F2">
        <w:rPr>
          <w:rFonts w:cs="Arial"/>
        </w:rPr>
        <w:t>sed on consultation with the QP</w:t>
      </w:r>
      <w:smartTag w:uri="urn:schemas-microsoft-com:office:smarttags" w:element="stockticker">
        <w:r w:rsidRPr="002A75F2">
          <w:rPr>
            <w:rFonts w:cs="Arial"/>
            <w:vertAlign w:val="subscript"/>
          </w:rPr>
          <w:t>ESA</w:t>
        </w:r>
      </w:smartTag>
      <w:r w:rsidRPr="002A75F2">
        <w:rPr>
          <w:rFonts w:cs="Arial"/>
        </w:rPr>
        <w:t xml:space="preserve">, </w:t>
      </w:r>
      <w:smartTag w:uri="urn:schemas-microsoft-com:office:smarttags" w:element="stockticker">
        <w:r w:rsidRPr="002A75F2">
          <w:rPr>
            <w:rFonts w:cs="Arial"/>
          </w:rPr>
          <w:t>COC</w:t>
        </w:r>
      </w:smartTag>
      <w:r w:rsidR="00E826BA" w:rsidRPr="002A75F2">
        <w:rPr>
          <w:rFonts w:cs="Arial"/>
        </w:rPr>
        <w:t>s</w:t>
      </w:r>
      <w:r w:rsidRPr="002A75F2">
        <w:rPr>
          <w:rFonts w:cs="Arial"/>
        </w:rPr>
        <w:t xml:space="preserve"> may include </w:t>
      </w:r>
      <w:r w:rsidR="00CC73C0" w:rsidRPr="002A75F2">
        <w:rPr>
          <w:rFonts w:cs="Arial"/>
        </w:rPr>
        <w:t xml:space="preserve">one or more contaminants </w:t>
      </w:r>
      <w:r w:rsidRPr="002A75F2">
        <w:rPr>
          <w:rFonts w:cs="Arial"/>
        </w:rPr>
        <w:t xml:space="preserve">which meet the site condition standards </w:t>
      </w:r>
      <w:r w:rsidR="00887CE9" w:rsidRPr="002A75F2">
        <w:rPr>
          <w:rFonts w:cs="Arial"/>
        </w:rPr>
        <w:t>if</w:t>
      </w:r>
      <w:r w:rsidRPr="002A75F2">
        <w:rPr>
          <w:rFonts w:cs="Arial"/>
        </w:rPr>
        <w:t xml:space="preserve"> there is</w:t>
      </w:r>
      <w:r w:rsidR="00FB0178" w:rsidRPr="002A75F2">
        <w:rPr>
          <w:rFonts w:cs="Arial"/>
        </w:rPr>
        <w:t xml:space="preserve"> some concern on the part of either</w:t>
      </w:r>
      <w:r w:rsidRPr="002A75F2">
        <w:rPr>
          <w:rFonts w:cs="Arial"/>
        </w:rPr>
        <w:t xml:space="preserve"> QP that they may interfere with the proposed use of the property. The latter may occur if the conceptual site model on which development of the sit</w:t>
      </w:r>
      <w:r w:rsidR="00885DD7" w:rsidRPr="002A75F2">
        <w:rPr>
          <w:rFonts w:cs="Arial"/>
        </w:rPr>
        <w:t>e condition standards was based did not include site</w:t>
      </w:r>
      <w:r w:rsidR="00E07B06" w:rsidRPr="002A75F2">
        <w:rPr>
          <w:rFonts w:cs="Arial"/>
        </w:rPr>
        <w:t>-</w:t>
      </w:r>
      <w:r w:rsidR="00885DD7" w:rsidRPr="002A75F2">
        <w:rPr>
          <w:rFonts w:cs="Arial"/>
        </w:rPr>
        <w:t>specific features which may increase the level of risk to the proposed receptors (</w:t>
      </w:r>
      <w:r w:rsidR="00E37618" w:rsidRPr="002A75F2">
        <w:rPr>
          <w:rFonts w:cs="Arial"/>
        </w:rPr>
        <w:t>e.g.</w:t>
      </w:r>
      <w:r w:rsidR="00885DD7" w:rsidRPr="002A75F2">
        <w:rPr>
          <w:rFonts w:cs="Arial"/>
        </w:rPr>
        <w:t xml:space="preserve"> contaminated groundwater </w:t>
      </w:r>
      <w:r w:rsidR="001B7A60" w:rsidRPr="002A75F2">
        <w:rPr>
          <w:rFonts w:cs="Arial"/>
        </w:rPr>
        <w:t xml:space="preserve">situated </w:t>
      </w:r>
      <w:r w:rsidR="00885DD7" w:rsidRPr="002A75F2">
        <w:rPr>
          <w:rFonts w:cs="Arial"/>
        </w:rPr>
        <w:t xml:space="preserve">within 1 m </w:t>
      </w:r>
      <w:r w:rsidR="001B7A60" w:rsidRPr="002A75F2">
        <w:rPr>
          <w:rFonts w:cs="Arial"/>
        </w:rPr>
        <w:t>distance from a</w:t>
      </w:r>
      <w:r w:rsidR="00885DD7" w:rsidRPr="002A75F2">
        <w:rPr>
          <w:rFonts w:cs="Arial"/>
        </w:rPr>
        <w:t xml:space="preserve"> building slab</w:t>
      </w:r>
      <w:r w:rsidR="00E37618" w:rsidRPr="002A75F2">
        <w:rPr>
          <w:rFonts w:cs="Arial"/>
        </w:rPr>
        <w:t>, and groundwater contaminants are volatile</w:t>
      </w:r>
      <w:r w:rsidR="00885DD7" w:rsidRPr="002A75F2">
        <w:rPr>
          <w:rFonts w:cs="Arial"/>
        </w:rPr>
        <w:t xml:space="preserve">). The conceptual model on which development of the site condition standards was based is </w:t>
      </w:r>
      <w:r w:rsidR="00E03BC8" w:rsidRPr="002A75F2">
        <w:rPr>
          <w:rFonts w:cs="Arial"/>
        </w:rPr>
        <w:t>described in</w:t>
      </w:r>
      <w:r w:rsidR="00E03BC8" w:rsidRPr="000C60E1">
        <w:rPr>
          <w:rFonts w:cs="Arial"/>
        </w:rPr>
        <w:t xml:space="preserve"> the </w:t>
      </w:r>
      <w:r w:rsidR="00662E1C" w:rsidRPr="000C60E1">
        <w:rPr>
          <w:rFonts w:cs="Arial"/>
        </w:rPr>
        <w:t xml:space="preserve">Ministry’s Rationale </w:t>
      </w:r>
      <w:r w:rsidR="00E03BC8" w:rsidRPr="000C60E1">
        <w:rPr>
          <w:rFonts w:cs="Arial"/>
        </w:rPr>
        <w:t>document</w:t>
      </w:r>
      <w:r w:rsidR="00885DD7" w:rsidRPr="000C60E1">
        <w:rPr>
          <w:rFonts w:cs="Arial"/>
        </w:rPr>
        <w:t>.</w:t>
      </w:r>
      <w:r w:rsidR="000A6ABD" w:rsidRPr="000C60E1">
        <w:rPr>
          <w:rFonts w:cs="Arial"/>
        </w:rPr>
        <w:t xml:space="preserve"> The </w:t>
      </w:r>
      <w:r w:rsidR="00791043" w:rsidRPr="000C60E1">
        <w:rPr>
          <w:rFonts w:cs="Arial"/>
        </w:rPr>
        <w:t>introduction included with the document</w:t>
      </w:r>
      <w:r w:rsidR="000A6ABD" w:rsidRPr="000C60E1">
        <w:rPr>
          <w:rFonts w:cs="Arial"/>
        </w:rPr>
        <w:t xml:space="preserve"> </w:t>
      </w:r>
      <w:r w:rsidR="00791043" w:rsidRPr="000C60E1">
        <w:rPr>
          <w:rFonts w:cs="Arial"/>
        </w:rPr>
        <w:t xml:space="preserve">“Soil, Ground Water and Sediment Standards for Use Under Part XV.1 of the </w:t>
      </w:r>
      <w:r w:rsidR="00791043" w:rsidRPr="000C60E1">
        <w:rPr>
          <w:rFonts w:cs="Arial"/>
          <w:i/>
        </w:rPr>
        <w:t>Environmental Protection Act</w:t>
      </w:r>
      <w:r w:rsidR="00791043" w:rsidRPr="000C60E1">
        <w:rPr>
          <w:rFonts w:cs="Arial"/>
        </w:rPr>
        <w:t>” (</w:t>
      </w:r>
      <w:r w:rsidR="00662E1C" w:rsidRPr="000C60E1">
        <w:rPr>
          <w:rFonts w:cs="Arial"/>
        </w:rPr>
        <w:t xml:space="preserve">dated April 15, 2011) </w:t>
      </w:r>
      <w:r w:rsidR="00791043" w:rsidRPr="000C60E1">
        <w:rPr>
          <w:rFonts w:cs="Arial"/>
        </w:rPr>
        <w:t xml:space="preserve">also reiterates several of the important assumptions made </w:t>
      </w:r>
      <w:r w:rsidR="00657FDB" w:rsidRPr="000C60E1">
        <w:rPr>
          <w:rFonts w:cs="Arial"/>
        </w:rPr>
        <w:t>by the M</w:t>
      </w:r>
      <w:r w:rsidR="00791043" w:rsidRPr="000C60E1">
        <w:rPr>
          <w:rFonts w:cs="Arial"/>
        </w:rPr>
        <w:t>inistry when developing the site condition standards.</w:t>
      </w:r>
    </w:p>
    <w:p w14:paraId="3FF3497E" w14:textId="116C81EC" w:rsidR="003F3C3D" w:rsidRPr="000C60E1" w:rsidRDefault="003F3C3D" w:rsidP="003F3C3D">
      <w:pPr>
        <w:rPr>
          <w:rFonts w:cs="Arial"/>
        </w:rPr>
      </w:pPr>
      <w:r w:rsidRPr="000C60E1">
        <w:rPr>
          <w:rFonts w:cs="Arial"/>
        </w:rPr>
        <w:t>Also, ba</w:t>
      </w:r>
      <w:r w:rsidR="00887CE9" w:rsidRPr="000C60E1">
        <w:rPr>
          <w:rFonts w:cs="Arial"/>
        </w:rPr>
        <w:t>sed on consultation with the QP</w:t>
      </w:r>
      <w:smartTag w:uri="urn:schemas-microsoft-com:office:smarttags" w:element="stockticker">
        <w:r w:rsidRPr="000C60E1">
          <w:rPr>
            <w:rFonts w:cs="Arial"/>
            <w:vertAlign w:val="subscript"/>
          </w:rPr>
          <w:t>ESA</w:t>
        </w:r>
      </w:smartTag>
      <w:r w:rsidRPr="000C60E1">
        <w:rPr>
          <w:rFonts w:cs="Arial"/>
        </w:rPr>
        <w:t xml:space="preserve">, </w:t>
      </w:r>
      <w:smartTag w:uri="urn:schemas-microsoft-com:office:smarttags" w:element="stockticker">
        <w:r w:rsidRPr="000C60E1">
          <w:rPr>
            <w:rFonts w:cs="Arial"/>
          </w:rPr>
          <w:t>COC</w:t>
        </w:r>
      </w:smartTag>
      <w:r w:rsidR="00E826BA" w:rsidRPr="000C60E1">
        <w:rPr>
          <w:rFonts w:cs="Arial"/>
        </w:rPr>
        <w:t>s</w:t>
      </w:r>
      <w:r w:rsidRPr="000C60E1">
        <w:rPr>
          <w:rFonts w:cs="Arial"/>
        </w:rPr>
        <w:t xml:space="preserve"> may include </w:t>
      </w:r>
      <w:r w:rsidR="00887CE9" w:rsidRPr="000C60E1">
        <w:rPr>
          <w:rFonts w:cs="Arial"/>
        </w:rPr>
        <w:t xml:space="preserve">contaminant </w:t>
      </w:r>
      <w:r w:rsidRPr="000C60E1">
        <w:rPr>
          <w:rFonts w:cs="Arial"/>
        </w:rPr>
        <w:t xml:space="preserve">degradation products or </w:t>
      </w:r>
      <w:r w:rsidR="00885DD7" w:rsidRPr="000C60E1">
        <w:rPr>
          <w:rFonts w:cs="Arial"/>
        </w:rPr>
        <w:t xml:space="preserve">other </w:t>
      </w:r>
      <w:r w:rsidR="00887CE9" w:rsidRPr="000C60E1">
        <w:rPr>
          <w:rFonts w:cs="Arial"/>
        </w:rPr>
        <w:t xml:space="preserve">chemicals </w:t>
      </w:r>
      <w:r w:rsidRPr="000C60E1">
        <w:rPr>
          <w:rFonts w:cs="Arial"/>
        </w:rPr>
        <w:t>for which there are no published site condition standards and for which there is</w:t>
      </w:r>
      <w:r w:rsidR="00FB0178" w:rsidRPr="000C60E1">
        <w:rPr>
          <w:rFonts w:cs="Arial"/>
        </w:rPr>
        <w:t xml:space="preserve"> some concern on the part of either</w:t>
      </w:r>
      <w:r w:rsidRPr="000C60E1">
        <w:rPr>
          <w:rFonts w:cs="Arial"/>
        </w:rPr>
        <w:t xml:space="preserve"> QP that they may interfere with the proposed use of the property</w:t>
      </w:r>
      <w:r w:rsidR="00887CE9" w:rsidRPr="000C60E1">
        <w:rPr>
          <w:rFonts w:cs="Arial"/>
        </w:rPr>
        <w:t>.</w:t>
      </w:r>
    </w:p>
    <w:p w14:paraId="73574B53" w14:textId="28F7C2D7" w:rsidR="00B05D5C" w:rsidRPr="000C60E1" w:rsidRDefault="00E2476B" w:rsidP="00B05D5C">
      <w:pPr>
        <w:rPr>
          <w:rFonts w:cs="Arial"/>
        </w:rPr>
      </w:pPr>
      <w:r w:rsidRPr="000C60E1">
        <w:rPr>
          <w:rFonts w:cs="Arial"/>
        </w:rPr>
        <w:t xml:space="preserve">If a chemical has been measured at the property which does not have a </w:t>
      </w:r>
      <w:r w:rsidR="00657FDB" w:rsidRPr="000C60E1">
        <w:rPr>
          <w:rFonts w:cs="Arial"/>
        </w:rPr>
        <w:t>M</w:t>
      </w:r>
      <w:r w:rsidRPr="000C60E1">
        <w:rPr>
          <w:rFonts w:cs="Arial"/>
        </w:rPr>
        <w:t>inistry site condition standard</w:t>
      </w:r>
      <w:r w:rsidR="00B451A7" w:rsidRPr="000C60E1">
        <w:rPr>
          <w:rFonts w:cs="Arial"/>
        </w:rPr>
        <w:t xml:space="preserve"> and is not associated with </w:t>
      </w:r>
      <w:r w:rsidR="000B2E48" w:rsidRPr="000C60E1">
        <w:rPr>
          <w:rFonts w:cs="Arial"/>
        </w:rPr>
        <w:t xml:space="preserve">a </w:t>
      </w:r>
      <w:r w:rsidR="00B451A7" w:rsidRPr="000C60E1">
        <w:rPr>
          <w:rFonts w:cs="Arial"/>
        </w:rPr>
        <w:t>potentially contaminat</w:t>
      </w:r>
      <w:r w:rsidR="00995725" w:rsidRPr="000C60E1">
        <w:rPr>
          <w:rFonts w:cs="Arial"/>
        </w:rPr>
        <w:t xml:space="preserve">ing </w:t>
      </w:r>
      <w:r w:rsidR="00B451A7" w:rsidRPr="000C60E1">
        <w:rPr>
          <w:rFonts w:cs="Arial"/>
        </w:rPr>
        <w:t>activity</w:t>
      </w:r>
      <w:r w:rsidRPr="000C60E1">
        <w:rPr>
          <w:rFonts w:cs="Arial"/>
        </w:rPr>
        <w:t>, the QP</w:t>
      </w:r>
      <w:r w:rsidRPr="000C60E1">
        <w:rPr>
          <w:rFonts w:cs="Arial"/>
          <w:vertAlign w:val="subscript"/>
        </w:rPr>
        <w:t>ESA</w:t>
      </w:r>
      <w:r w:rsidRPr="000C60E1">
        <w:rPr>
          <w:rFonts w:cs="Arial"/>
        </w:rPr>
        <w:t xml:space="preserve"> must decide if the chemical is a </w:t>
      </w:r>
      <w:smartTag w:uri="urn:schemas-microsoft-com:office:smarttags" w:element="stockticker">
        <w:r w:rsidRPr="000C60E1">
          <w:rPr>
            <w:rFonts w:cs="Arial"/>
          </w:rPr>
          <w:t>COC</w:t>
        </w:r>
      </w:smartTag>
      <w:r w:rsidRPr="000C60E1">
        <w:rPr>
          <w:rFonts w:cs="Arial"/>
        </w:rPr>
        <w:t xml:space="preserve"> based on an understanding of geoscience. For example, natural e</w:t>
      </w:r>
      <w:r w:rsidR="00AD7024" w:rsidRPr="000C60E1">
        <w:rPr>
          <w:rFonts w:cs="Arial"/>
        </w:rPr>
        <w:t xml:space="preserve">lements of the earth’s crust </w:t>
      </w:r>
      <w:r w:rsidR="00FF3185" w:rsidRPr="000C60E1">
        <w:rPr>
          <w:rFonts w:cs="Arial"/>
        </w:rPr>
        <w:t>that are in all likel</w:t>
      </w:r>
      <w:r w:rsidR="00313AD4" w:rsidRPr="000C60E1">
        <w:rPr>
          <w:rFonts w:cs="Arial"/>
        </w:rPr>
        <w:t>i</w:t>
      </w:r>
      <w:r w:rsidR="00FF3185" w:rsidRPr="000C60E1">
        <w:rPr>
          <w:rFonts w:cs="Arial"/>
        </w:rPr>
        <w:t xml:space="preserve">hood not associated with potentially contaminating activity </w:t>
      </w:r>
      <w:r w:rsidRPr="000C60E1">
        <w:rPr>
          <w:rFonts w:cs="Arial"/>
        </w:rPr>
        <w:t xml:space="preserve">may be measured but have no </w:t>
      </w:r>
      <w:r w:rsidR="00657FDB" w:rsidRPr="000C60E1">
        <w:rPr>
          <w:rFonts w:cs="Arial"/>
        </w:rPr>
        <w:t>M</w:t>
      </w:r>
      <w:r w:rsidR="00AD7024" w:rsidRPr="000C60E1">
        <w:rPr>
          <w:rFonts w:cs="Arial"/>
        </w:rPr>
        <w:t xml:space="preserve">inistry </w:t>
      </w:r>
      <w:r w:rsidRPr="000C60E1">
        <w:rPr>
          <w:rFonts w:cs="Arial"/>
        </w:rPr>
        <w:t>site condition standards</w:t>
      </w:r>
      <w:r w:rsidR="007D0896" w:rsidRPr="000C60E1">
        <w:rPr>
          <w:rFonts w:cs="Arial"/>
        </w:rPr>
        <w:t xml:space="preserve">. These </w:t>
      </w:r>
      <w:r w:rsidR="007D0896" w:rsidRPr="000C60E1">
        <w:rPr>
          <w:rFonts w:cs="Arial"/>
        </w:rPr>
        <w:lastRenderedPageBreak/>
        <w:t>chemicals</w:t>
      </w:r>
      <w:r w:rsidRPr="000C60E1">
        <w:rPr>
          <w:rFonts w:cs="Arial"/>
        </w:rPr>
        <w:t xml:space="preserve"> are </w:t>
      </w:r>
      <w:r w:rsidR="00AD7024" w:rsidRPr="000C60E1">
        <w:rPr>
          <w:rFonts w:cs="Arial"/>
        </w:rPr>
        <w:t xml:space="preserve">generally </w:t>
      </w:r>
      <w:r w:rsidRPr="000C60E1">
        <w:rPr>
          <w:rFonts w:cs="Arial"/>
        </w:rPr>
        <w:t>ubiquitous in soil at non-toxic concentrations</w:t>
      </w:r>
      <w:r w:rsidR="007D0896" w:rsidRPr="000C60E1">
        <w:rPr>
          <w:rFonts w:cs="Arial"/>
        </w:rPr>
        <w:t xml:space="preserve"> but </w:t>
      </w:r>
      <w:r w:rsidRPr="000C60E1">
        <w:rPr>
          <w:rFonts w:cs="Arial"/>
        </w:rPr>
        <w:t>may become limiting to site use at some concentration. The QP</w:t>
      </w:r>
      <w:r w:rsidRPr="000C60E1">
        <w:rPr>
          <w:rFonts w:cs="Arial"/>
          <w:vertAlign w:val="subscript"/>
        </w:rPr>
        <w:t>ESA</w:t>
      </w:r>
      <w:r w:rsidRPr="000C60E1">
        <w:rPr>
          <w:rFonts w:cs="Arial"/>
        </w:rPr>
        <w:t xml:space="preserve"> must determine within the context of the </w:t>
      </w:r>
      <w:r w:rsidR="0032339F" w:rsidRPr="000C60E1">
        <w:rPr>
          <w:rFonts w:cs="Arial"/>
        </w:rPr>
        <w:t>p</w:t>
      </w:r>
      <w:r w:rsidRPr="000C60E1">
        <w:rPr>
          <w:rFonts w:cs="Arial"/>
        </w:rPr>
        <w:t xml:space="preserve">hase two </w:t>
      </w:r>
      <w:smartTag w:uri="urn:schemas-microsoft-com:office:smarttags" w:element="stockticker">
        <w:r w:rsidRPr="000C60E1">
          <w:rPr>
            <w:rFonts w:cs="Arial"/>
          </w:rPr>
          <w:t>ESA</w:t>
        </w:r>
      </w:smartTag>
      <w:r w:rsidR="00AD7024" w:rsidRPr="000C60E1">
        <w:rPr>
          <w:rFonts w:cs="Arial"/>
        </w:rPr>
        <w:t xml:space="preserve"> if the presence of a chemical without a standard is trivial or if there is potential for concern. </w:t>
      </w:r>
      <w:r w:rsidR="00FF3185" w:rsidRPr="000C60E1">
        <w:rPr>
          <w:rFonts w:cs="Arial"/>
        </w:rPr>
        <w:t xml:space="preserve">This decision must be clearly documented in the </w:t>
      </w:r>
      <w:r w:rsidR="0032339F" w:rsidRPr="000C60E1">
        <w:rPr>
          <w:rFonts w:cs="Arial"/>
        </w:rPr>
        <w:t>p</w:t>
      </w:r>
      <w:r w:rsidR="00FF3185" w:rsidRPr="000C60E1">
        <w:rPr>
          <w:rFonts w:cs="Arial"/>
        </w:rPr>
        <w:t xml:space="preserve">hase two ESA, with appropriate supporting rationale and lines of evidence. </w:t>
      </w:r>
      <w:r w:rsidR="00AD7024" w:rsidRPr="000C60E1">
        <w:rPr>
          <w:rFonts w:cs="Arial"/>
        </w:rPr>
        <w:t xml:space="preserve">If the chemical is </w:t>
      </w:r>
      <w:r w:rsidR="00FF3185" w:rsidRPr="000C60E1">
        <w:rPr>
          <w:rFonts w:cs="Arial"/>
        </w:rPr>
        <w:t xml:space="preserve">determined to be </w:t>
      </w:r>
      <w:r w:rsidR="00AD7024" w:rsidRPr="000C60E1">
        <w:rPr>
          <w:rFonts w:cs="Arial"/>
        </w:rPr>
        <w:t>of concern</w:t>
      </w:r>
      <w:r w:rsidR="0018348E" w:rsidRPr="000C60E1">
        <w:rPr>
          <w:rFonts w:cs="Arial"/>
        </w:rPr>
        <w:t xml:space="preserve"> (i.e. a COC)</w:t>
      </w:r>
      <w:r w:rsidR="00AD7024" w:rsidRPr="000C60E1">
        <w:rPr>
          <w:rFonts w:cs="Arial"/>
        </w:rPr>
        <w:t>,</w:t>
      </w:r>
      <w:r w:rsidR="00EB2138" w:rsidRPr="000C60E1">
        <w:rPr>
          <w:rFonts w:cs="Arial"/>
        </w:rPr>
        <w:t xml:space="preserve"> </w:t>
      </w:r>
      <w:r w:rsidR="00FF3185" w:rsidRPr="000C60E1">
        <w:rPr>
          <w:rFonts w:cs="Arial"/>
        </w:rPr>
        <w:t>this must be identified as such in the phase two ESA report and</w:t>
      </w:r>
      <w:r w:rsidR="00AD7024" w:rsidRPr="000C60E1">
        <w:rPr>
          <w:rFonts w:cs="Arial"/>
        </w:rPr>
        <w:t xml:space="preserve"> the chemical </w:t>
      </w:r>
      <w:r w:rsidR="00FF3185" w:rsidRPr="000C60E1">
        <w:rPr>
          <w:rFonts w:cs="Arial"/>
        </w:rPr>
        <w:t xml:space="preserve">will need to </w:t>
      </w:r>
      <w:r w:rsidR="00AD7024" w:rsidRPr="000C60E1">
        <w:rPr>
          <w:rFonts w:cs="Arial"/>
        </w:rPr>
        <w:t xml:space="preserve">be evaluated as part of the </w:t>
      </w:r>
      <w:r w:rsidR="006C4301" w:rsidRPr="000C60E1">
        <w:rPr>
          <w:rFonts w:cs="Arial"/>
        </w:rPr>
        <w:t>risk assessment</w:t>
      </w:r>
      <w:r w:rsidR="00AD7024" w:rsidRPr="000C60E1">
        <w:rPr>
          <w:rFonts w:cs="Arial"/>
        </w:rPr>
        <w:t xml:space="preserve"> and a property specific standard developed.</w:t>
      </w:r>
    </w:p>
    <w:p w14:paraId="76F1A636" w14:textId="3BC5FEE2" w:rsidR="00B05D5C" w:rsidRPr="000C60E1" w:rsidRDefault="00B05D5C" w:rsidP="00B05D5C">
      <w:pPr>
        <w:rPr>
          <w:rFonts w:cs="Arial"/>
        </w:rPr>
      </w:pPr>
      <w:r w:rsidRPr="000C60E1">
        <w:rPr>
          <w:rFonts w:cs="Arial"/>
        </w:rPr>
        <w:t>The QP</w:t>
      </w:r>
      <w:r w:rsidRPr="000C60E1">
        <w:rPr>
          <w:rFonts w:cs="Arial"/>
          <w:vertAlign w:val="subscript"/>
        </w:rPr>
        <w:t>ESA</w:t>
      </w:r>
      <w:r w:rsidRPr="000C60E1">
        <w:rPr>
          <w:rFonts w:cs="Arial"/>
        </w:rPr>
        <w:t xml:space="preserve"> should also consider the certifications that will need to be made in the RSC, which are included in Schedule A of the Regulation. The certifications made by the QP</w:t>
      </w:r>
      <w:r w:rsidRPr="000C60E1">
        <w:rPr>
          <w:rFonts w:cs="Arial"/>
          <w:vertAlign w:val="subscript"/>
        </w:rPr>
        <w:t>ESA</w:t>
      </w:r>
      <w:r w:rsidRPr="000C60E1">
        <w:rPr>
          <w:rFonts w:cs="Arial"/>
        </w:rPr>
        <w:t xml:space="preserve"> in the </w:t>
      </w:r>
      <w:smartTag w:uri="urn:schemas-microsoft-com:office:smarttags" w:element="stockticker">
        <w:r w:rsidRPr="000C60E1">
          <w:rPr>
            <w:rFonts w:cs="Arial"/>
          </w:rPr>
          <w:t>RSC</w:t>
        </w:r>
      </w:smartTag>
      <w:r w:rsidRPr="000C60E1">
        <w:rPr>
          <w:rFonts w:cs="Arial"/>
        </w:rPr>
        <w:t xml:space="preserve"> </w:t>
      </w:r>
      <w:r w:rsidR="00292E15" w:rsidRPr="000C60E1">
        <w:rPr>
          <w:rFonts w:cs="Arial"/>
        </w:rPr>
        <w:t>are intended to</w:t>
      </w:r>
      <w:r w:rsidRPr="000C60E1">
        <w:rPr>
          <w:rFonts w:cs="Arial"/>
        </w:rPr>
        <w:t xml:space="preserve"> confirm that there is no evidence of contaminants left on</w:t>
      </w:r>
      <w:r w:rsidR="00A87E11" w:rsidRPr="000C60E1">
        <w:rPr>
          <w:rFonts w:cs="Arial"/>
        </w:rPr>
        <w:t>, in</w:t>
      </w:r>
      <w:r w:rsidRPr="000C60E1">
        <w:rPr>
          <w:rFonts w:cs="Arial"/>
        </w:rPr>
        <w:t xml:space="preserve"> or under the property that will interfere with the proposed use of the site.</w:t>
      </w:r>
    </w:p>
    <w:p w14:paraId="2F825796" w14:textId="35D0085B" w:rsidR="00B451A7" w:rsidRPr="002A75F2" w:rsidRDefault="00382BB5" w:rsidP="0083225B">
      <w:pPr>
        <w:rPr>
          <w:rFonts w:cs="Arial"/>
        </w:rPr>
      </w:pPr>
      <w:r w:rsidRPr="000C60E1">
        <w:rPr>
          <w:rFonts w:cs="Arial"/>
        </w:rPr>
        <w:t xml:space="preserve">Where a </w:t>
      </w:r>
      <w:r w:rsidRPr="002A75F2">
        <w:rPr>
          <w:rFonts w:cs="Arial"/>
        </w:rPr>
        <w:t>chemical is measured and there is no site condition standard</w:t>
      </w:r>
      <w:r w:rsidR="009176FE" w:rsidRPr="002A75F2">
        <w:rPr>
          <w:rFonts w:cs="Arial"/>
        </w:rPr>
        <w:t xml:space="preserve"> and the chemical is determined to be a COC, the </w:t>
      </w:r>
      <w:r w:rsidR="006C4301" w:rsidRPr="002A75F2">
        <w:rPr>
          <w:rFonts w:cs="Arial"/>
        </w:rPr>
        <w:t>risk assessment</w:t>
      </w:r>
      <w:r w:rsidR="009176FE" w:rsidRPr="002A75F2">
        <w:rPr>
          <w:rFonts w:cs="Arial"/>
        </w:rPr>
        <w:t xml:space="preserve"> </w:t>
      </w:r>
      <w:r w:rsidR="000B2E48" w:rsidRPr="002A75F2">
        <w:rPr>
          <w:rFonts w:cs="Arial"/>
        </w:rPr>
        <w:t>may</w:t>
      </w:r>
      <w:r w:rsidR="009176FE" w:rsidRPr="002A75F2">
        <w:rPr>
          <w:rFonts w:cs="Arial"/>
        </w:rPr>
        <w:t xml:space="preserve"> be considered as </w:t>
      </w:r>
      <w:r w:rsidRPr="002A75F2">
        <w:rPr>
          <w:rFonts w:cs="Arial"/>
        </w:rPr>
        <w:t xml:space="preserve">a new science </w:t>
      </w:r>
      <w:r w:rsidR="006C4301" w:rsidRPr="002A75F2">
        <w:rPr>
          <w:rFonts w:cs="Arial"/>
        </w:rPr>
        <w:t>risk assessment</w:t>
      </w:r>
      <w:r w:rsidR="00B451A7" w:rsidRPr="002A75F2">
        <w:rPr>
          <w:rFonts w:cs="Arial"/>
        </w:rPr>
        <w:t>.</w:t>
      </w:r>
      <w:r w:rsidR="008A55C4" w:rsidRPr="002A75F2">
        <w:rPr>
          <w:rFonts w:cs="Arial"/>
        </w:rPr>
        <w:t xml:space="preserve"> </w:t>
      </w:r>
      <w:r w:rsidR="00B451A7" w:rsidRPr="002A75F2">
        <w:rPr>
          <w:rFonts w:cs="Arial"/>
        </w:rPr>
        <w:t xml:space="preserve">For additional details regarding this type of </w:t>
      </w:r>
      <w:r w:rsidR="006C4301" w:rsidRPr="002A75F2">
        <w:rPr>
          <w:rFonts w:cs="Arial"/>
        </w:rPr>
        <w:t>risk assessment</w:t>
      </w:r>
      <w:r w:rsidR="00B451A7" w:rsidRPr="002A75F2">
        <w:rPr>
          <w:rFonts w:cs="Arial"/>
        </w:rPr>
        <w:t xml:space="preserve">, refer to Section </w:t>
      </w:r>
      <w:r w:rsidR="00FC239E" w:rsidRPr="002A75F2">
        <w:rPr>
          <w:rFonts w:cs="Arial"/>
        </w:rPr>
        <w:t>9</w:t>
      </w:r>
      <w:r w:rsidR="00B451A7" w:rsidRPr="002A75F2">
        <w:rPr>
          <w:rFonts w:cs="Arial"/>
        </w:rPr>
        <w:t xml:space="preserve"> of this Procedures document</w:t>
      </w:r>
      <w:r w:rsidR="0083225B" w:rsidRPr="002A75F2">
        <w:rPr>
          <w:rFonts w:cs="Arial"/>
        </w:rPr>
        <w:t>.</w:t>
      </w:r>
      <w:r w:rsidR="00B451A7" w:rsidRPr="002A75F2">
        <w:rPr>
          <w:rFonts w:cs="Arial"/>
        </w:rPr>
        <w:t xml:space="preserve"> </w:t>
      </w:r>
    </w:p>
    <w:p w14:paraId="3666D39C" w14:textId="08DD6640" w:rsidR="003F3C3D" w:rsidRPr="002A75F2" w:rsidRDefault="003F3C3D" w:rsidP="003F3C3D">
      <w:pPr>
        <w:rPr>
          <w:rFonts w:cs="Arial"/>
        </w:rPr>
      </w:pPr>
      <w:r w:rsidRPr="002A75F2">
        <w:rPr>
          <w:rFonts w:cs="Arial"/>
        </w:rPr>
        <w:t xml:space="preserve">The RA report </w:t>
      </w:r>
      <w:r w:rsidR="00D7486A" w:rsidRPr="002A75F2">
        <w:rPr>
          <w:rFonts w:cs="Arial"/>
        </w:rPr>
        <w:t xml:space="preserve">must include </w:t>
      </w:r>
      <w:r w:rsidRPr="002A75F2">
        <w:rPr>
          <w:rFonts w:cs="Arial"/>
        </w:rPr>
        <w:t>a brief descrip</w:t>
      </w:r>
      <w:r w:rsidR="00885DD7" w:rsidRPr="002A75F2">
        <w:rPr>
          <w:rFonts w:cs="Arial"/>
        </w:rPr>
        <w:t>tion of the sampling program,</w:t>
      </w:r>
      <w:r w:rsidRPr="002A75F2">
        <w:rPr>
          <w:rFonts w:cs="Arial"/>
        </w:rPr>
        <w:t xml:space="preserve"> </w:t>
      </w:r>
      <w:r w:rsidR="00E60966" w:rsidRPr="002A75F2">
        <w:rPr>
          <w:rFonts w:cs="Arial"/>
        </w:rPr>
        <w:t>a contami</w:t>
      </w:r>
      <w:r w:rsidR="00DD2E5F" w:rsidRPr="002A75F2">
        <w:rPr>
          <w:rFonts w:cs="Arial"/>
        </w:rPr>
        <w:t>n</w:t>
      </w:r>
      <w:r w:rsidR="00E60966" w:rsidRPr="002A75F2">
        <w:rPr>
          <w:rFonts w:cs="Arial"/>
        </w:rPr>
        <w:t xml:space="preserve">ant inventory, </w:t>
      </w:r>
      <w:r w:rsidRPr="002A75F2">
        <w:rPr>
          <w:rFonts w:cs="Arial"/>
        </w:rPr>
        <w:t>a description of the COCs</w:t>
      </w:r>
      <w:r w:rsidR="003F4695" w:rsidRPr="002A75F2">
        <w:rPr>
          <w:rFonts w:cs="Arial"/>
        </w:rPr>
        <w:t xml:space="preserve"> and justification for determining if contaminants measured on</w:t>
      </w:r>
      <w:r w:rsidR="00CF4BD6" w:rsidRPr="002A75F2">
        <w:rPr>
          <w:rFonts w:cs="Arial"/>
        </w:rPr>
        <w:t>-</w:t>
      </w:r>
      <w:r w:rsidR="003F4695" w:rsidRPr="002A75F2">
        <w:rPr>
          <w:rFonts w:cs="Arial"/>
        </w:rPr>
        <w:t>site are not considered COCs</w:t>
      </w:r>
      <w:r w:rsidRPr="002A75F2">
        <w:rPr>
          <w:rFonts w:cs="Arial"/>
        </w:rPr>
        <w:t>. The QP</w:t>
      </w:r>
      <w:r w:rsidRPr="002A75F2">
        <w:rPr>
          <w:rFonts w:cs="Arial"/>
          <w:vertAlign w:val="subscript"/>
        </w:rPr>
        <w:t>RA</w:t>
      </w:r>
      <w:r w:rsidRPr="002A75F2">
        <w:rPr>
          <w:rFonts w:cs="Arial"/>
        </w:rPr>
        <w:t xml:space="preserve"> </w:t>
      </w:r>
      <w:r w:rsidR="009176FE" w:rsidRPr="002A75F2">
        <w:rPr>
          <w:rFonts w:cs="Arial"/>
        </w:rPr>
        <w:t>and QP</w:t>
      </w:r>
      <w:r w:rsidR="009176FE" w:rsidRPr="002A75F2">
        <w:rPr>
          <w:rFonts w:cs="Arial"/>
          <w:vertAlign w:val="subscript"/>
        </w:rPr>
        <w:t>ESA</w:t>
      </w:r>
      <w:r w:rsidR="009176FE" w:rsidRPr="002A75F2">
        <w:rPr>
          <w:rFonts w:cs="Arial"/>
        </w:rPr>
        <w:t xml:space="preserve"> </w:t>
      </w:r>
      <w:r w:rsidRPr="002A75F2">
        <w:rPr>
          <w:rFonts w:cs="Arial"/>
        </w:rPr>
        <w:t xml:space="preserve">should </w:t>
      </w:r>
      <w:r w:rsidR="00067076" w:rsidRPr="002A75F2">
        <w:rPr>
          <w:rFonts w:cs="Arial"/>
        </w:rPr>
        <w:t xml:space="preserve">also </w:t>
      </w:r>
      <w:r w:rsidRPr="002A75F2">
        <w:rPr>
          <w:rFonts w:cs="Arial"/>
        </w:rPr>
        <w:t>consider the following in identifying COCs:</w:t>
      </w:r>
    </w:p>
    <w:p w14:paraId="21D0D167" w14:textId="77777777" w:rsidR="00441DA1" w:rsidRPr="002A75F2" w:rsidRDefault="003F3C3D" w:rsidP="000E72E5">
      <w:pPr>
        <w:pStyle w:val="ListBullet2"/>
        <w:rPr>
          <w:rFonts w:cs="Arial"/>
        </w:rPr>
      </w:pPr>
      <w:r w:rsidRPr="002A75F2">
        <w:rPr>
          <w:rFonts w:cs="Arial"/>
        </w:rPr>
        <w:t xml:space="preserve">The hazard profile (see guidance on Toxicity Assessment, Sections </w:t>
      </w:r>
      <w:r w:rsidR="00FC239E" w:rsidRPr="002A75F2">
        <w:rPr>
          <w:rFonts w:cs="Arial"/>
        </w:rPr>
        <w:t>6</w:t>
      </w:r>
      <w:r w:rsidRPr="002A75F2">
        <w:rPr>
          <w:rFonts w:cs="Arial"/>
        </w:rPr>
        <w:t xml:space="preserve"> and </w:t>
      </w:r>
      <w:r w:rsidR="00FC239E" w:rsidRPr="002A75F2">
        <w:rPr>
          <w:rFonts w:cs="Arial"/>
        </w:rPr>
        <w:t>7</w:t>
      </w:r>
      <w:r w:rsidRPr="002A75F2">
        <w:rPr>
          <w:rFonts w:cs="Arial"/>
        </w:rPr>
        <w:t xml:space="preserve"> of this Procedure</w:t>
      </w:r>
      <w:r w:rsidR="00214E07" w:rsidRPr="002A75F2">
        <w:rPr>
          <w:rFonts w:cs="Arial"/>
        </w:rPr>
        <w:t>s</w:t>
      </w:r>
      <w:r w:rsidRPr="002A75F2">
        <w:rPr>
          <w:rFonts w:cs="Arial"/>
        </w:rPr>
        <w:t xml:space="preserve"> document)</w:t>
      </w:r>
      <w:r w:rsidR="00B45E05" w:rsidRPr="002A75F2">
        <w:rPr>
          <w:rFonts w:cs="Arial"/>
        </w:rPr>
        <w:t xml:space="preserve"> </w:t>
      </w:r>
      <w:r w:rsidRPr="002A75F2">
        <w:rPr>
          <w:rFonts w:cs="Arial"/>
        </w:rPr>
        <w:t xml:space="preserve">of each identified </w:t>
      </w:r>
      <w:smartTag w:uri="urn:schemas-microsoft-com:office:smarttags" w:element="stockticker">
        <w:r w:rsidRPr="002A75F2">
          <w:rPr>
            <w:rFonts w:cs="Arial"/>
          </w:rPr>
          <w:t>COC</w:t>
        </w:r>
      </w:smartTag>
      <w:r w:rsidRPr="002A75F2">
        <w:rPr>
          <w:rFonts w:cs="Arial"/>
        </w:rPr>
        <w:t xml:space="preserve"> and potential degradation products, including but not limited to, adverse effects, environmental fate and transport, persistence and bioaccumulation (</w:t>
      </w:r>
      <w:r w:rsidR="00DA0CC5" w:rsidRPr="002A75F2">
        <w:rPr>
          <w:rFonts w:cs="Arial"/>
        </w:rPr>
        <w:t>e.g.</w:t>
      </w:r>
      <w:r w:rsidRPr="002A75F2">
        <w:rPr>
          <w:rFonts w:cs="Arial"/>
        </w:rPr>
        <w:t xml:space="preserve"> vinyl chloride </w:t>
      </w:r>
      <w:r w:rsidR="00067076" w:rsidRPr="002A75F2">
        <w:rPr>
          <w:rFonts w:cs="Arial"/>
        </w:rPr>
        <w:t>is a know</w:t>
      </w:r>
      <w:r w:rsidR="00441DA1" w:rsidRPr="002A75F2">
        <w:rPr>
          <w:rFonts w:cs="Arial"/>
        </w:rPr>
        <w:t>n</w:t>
      </w:r>
      <w:r w:rsidR="00067076" w:rsidRPr="002A75F2">
        <w:rPr>
          <w:rFonts w:cs="Arial"/>
        </w:rPr>
        <w:t xml:space="preserve"> degradation product of trichloroethylene, under specific conditions); </w:t>
      </w:r>
      <w:r w:rsidR="005B1773" w:rsidRPr="002A75F2">
        <w:rPr>
          <w:rFonts w:cs="Arial"/>
        </w:rPr>
        <w:t xml:space="preserve">also </w:t>
      </w:r>
      <w:r w:rsidR="001D5CF3" w:rsidRPr="002A75F2">
        <w:rPr>
          <w:rFonts w:cs="Arial"/>
        </w:rPr>
        <w:t xml:space="preserve">refer to the </w:t>
      </w:r>
      <w:r w:rsidR="00C40DD5" w:rsidRPr="002A75F2">
        <w:rPr>
          <w:rFonts w:cs="Arial"/>
        </w:rPr>
        <w:t xml:space="preserve">additional </w:t>
      </w:r>
      <w:r w:rsidR="001E3BBD" w:rsidRPr="002A75F2">
        <w:rPr>
          <w:rFonts w:cs="Arial"/>
        </w:rPr>
        <w:t>guidance on COC screening</w:t>
      </w:r>
      <w:r w:rsidR="005B1773" w:rsidRPr="002A75F2">
        <w:rPr>
          <w:rFonts w:cs="Arial"/>
        </w:rPr>
        <w:t xml:space="preserve">, included </w:t>
      </w:r>
      <w:r w:rsidR="00441DA1" w:rsidRPr="002A75F2">
        <w:rPr>
          <w:rFonts w:cs="Arial"/>
        </w:rPr>
        <w:t>below.</w:t>
      </w:r>
    </w:p>
    <w:p w14:paraId="62FE2C11" w14:textId="30A85AE6" w:rsidR="003F3C3D" w:rsidRPr="002A75F2" w:rsidRDefault="003F3C3D" w:rsidP="000E72E5">
      <w:pPr>
        <w:pStyle w:val="ListBullet2"/>
        <w:rPr>
          <w:rFonts w:cs="Arial"/>
        </w:rPr>
      </w:pPr>
      <w:r w:rsidRPr="002A75F2">
        <w:rPr>
          <w:rFonts w:cs="Arial"/>
        </w:rPr>
        <w:t xml:space="preserve">Uncertainty that exists in terms of the completeness of the </w:t>
      </w:r>
      <w:r w:rsidR="0032339F" w:rsidRPr="002A75F2">
        <w:rPr>
          <w:rFonts w:cs="Arial"/>
        </w:rPr>
        <w:t>p</w:t>
      </w:r>
      <w:r w:rsidRPr="002A75F2">
        <w:rPr>
          <w:rFonts w:cs="Arial"/>
        </w:rPr>
        <w:t xml:space="preserve">hase one </w:t>
      </w:r>
      <w:smartTag w:uri="urn:schemas-microsoft-com:office:smarttags" w:element="stockticker">
        <w:r w:rsidRPr="002A75F2">
          <w:rPr>
            <w:rFonts w:cs="Arial"/>
          </w:rPr>
          <w:t>ESA</w:t>
        </w:r>
      </w:smartTag>
      <w:r w:rsidRPr="002A75F2">
        <w:rPr>
          <w:rFonts w:cs="Arial"/>
        </w:rPr>
        <w:t xml:space="preserve"> and/or </w:t>
      </w:r>
      <w:r w:rsidR="00C6313D"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xml:space="preserve"> and the quality of data to be relied upon in the risk assessment. A contaminant should be considered a </w:t>
      </w:r>
      <w:r w:rsidR="00E826BA" w:rsidRPr="002A75F2">
        <w:rPr>
          <w:rFonts w:cs="Arial"/>
        </w:rPr>
        <w:t>COC</w:t>
      </w:r>
      <w:r w:rsidRPr="002A75F2">
        <w:rPr>
          <w:rFonts w:cs="Arial"/>
        </w:rPr>
        <w:t xml:space="preserve"> if the QP</w:t>
      </w:r>
      <w:r w:rsidRPr="002A75F2">
        <w:rPr>
          <w:rFonts w:cs="Arial"/>
          <w:vertAlign w:val="subscript"/>
        </w:rPr>
        <w:t>RA</w:t>
      </w:r>
      <w:r w:rsidRPr="002A75F2">
        <w:rPr>
          <w:rFonts w:cs="Arial"/>
        </w:rPr>
        <w:t xml:space="preserve"> </w:t>
      </w:r>
      <w:r w:rsidR="00D7486A" w:rsidRPr="002A75F2">
        <w:rPr>
          <w:rFonts w:cs="Arial"/>
        </w:rPr>
        <w:t>and QP</w:t>
      </w:r>
      <w:r w:rsidR="00D7486A" w:rsidRPr="002A75F2">
        <w:rPr>
          <w:rFonts w:cs="Arial"/>
          <w:vertAlign w:val="subscript"/>
        </w:rPr>
        <w:t>ESA</w:t>
      </w:r>
      <w:r w:rsidR="00D7486A" w:rsidRPr="002A75F2">
        <w:rPr>
          <w:rFonts w:cs="Arial"/>
        </w:rPr>
        <w:t xml:space="preserve"> are</w:t>
      </w:r>
      <w:r w:rsidRPr="002A75F2">
        <w:rPr>
          <w:rFonts w:cs="Arial"/>
        </w:rPr>
        <w:t xml:space="preserve"> not confident that the data demonstrates that a pathway is incomplete or that a </w:t>
      </w:r>
      <w:r w:rsidR="00657FDB" w:rsidRPr="002A75F2">
        <w:rPr>
          <w:rFonts w:cs="Arial"/>
        </w:rPr>
        <w:t>M</w:t>
      </w:r>
      <w:r w:rsidR="007D0896" w:rsidRPr="002A75F2">
        <w:rPr>
          <w:rFonts w:cs="Arial"/>
        </w:rPr>
        <w:t xml:space="preserve">inistry </w:t>
      </w:r>
      <w:r w:rsidR="00EB2138" w:rsidRPr="002A75F2">
        <w:rPr>
          <w:rFonts w:cs="Arial"/>
        </w:rPr>
        <w:t xml:space="preserve">generic </w:t>
      </w:r>
      <w:r w:rsidR="007D0896" w:rsidRPr="002A75F2">
        <w:rPr>
          <w:rFonts w:cs="Arial"/>
        </w:rPr>
        <w:t>s</w:t>
      </w:r>
      <w:r w:rsidRPr="002A75F2">
        <w:rPr>
          <w:rFonts w:cs="Arial"/>
        </w:rPr>
        <w:t xml:space="preserve">ite </w:t>
      </w:r>
      <w:r w:rsidR="007D0896" w:rsidRPr="002A75F2">
        <w:rPr>
          <w:rFonts w:cs="Arial"/>
        </w:rPr>
        <w:t>c</w:t>
      </w:r>
      <w:r w:rsidRPr="002A75F2">
        <w:rPr>
          <w:rFonts w:cs="Arial"/>
        </w:rPr>
        <w:t xml:space="preserve">ondition </w:t>
      </w:r>
      <w:r w:rsidR="007D0896" w:rsidRPr="002A75F2">
        <w:rPr>
          <w:rFonts w:cs="Arial"/>
        </w:rPr>
        <w:t>s</w:t>
      </w:r>
      <w:r w:rsidRPr="002A75F2">
        <w:rPr>
          <w:rFonts w:cs="Arial"/>
        </w:rPr>
        <w:t>tandard is not exceeded</w:t>
      </w:r>
      <w:r w:rsidR="005C37D7" w:rsidRPr="002A75F2">
        <w:rPr>
          <w:rFonts w:cs="Arial"/>
        </w:rPr>
        <w:t>.</w:t>
      </w:r>
    </w:p>
    <w:p w14:paraId="4BED653C" w14:textId="7A22FF43" w:rsidR="00382BB5" w:rsidRPr="002A75F2" w:rsidRDefault="00382BB5" w:rsidP="00382BB5">
      <w:pPr>
        <w:rPr>
          <w:rFonts w:cs="Arial"/>
        </w:rPr>
      </w:pPr>
      <w:r w:rsidRPr="002A75F2">
        <w:rPr>
          <w:rFonts w:cs="Arial"/>
        </w:rPr>
        <w:t>Some or all of these COCs may require a detailed quantitative risk assessment in order to justify a property specific standard. Others may be evaluated using a qualitative descriptive approach (non-numeric) or a qualitative screening (numeric) approach.</w:t>
      </w:r>
    </w:p>
    <w:p w14:paraId="6D519F90" w14:textId="77777777" w:rsidR="00B85390" w:rsidRPr="002A75F2" w:rsidRDefault="00B85390" w:rsidP="00B85390">
      <w:pPr>
        <w:rPr>
          <w:rFonts w:cs="Arial"/>
        </w:rPr>
      </w:pPr>
      <w:r w:rsidRPr="002A75F2">
        <w:rPr>
          <w:rFonts w:cs="Arial"/>
        </w:rPr>
        <w:t xml:space="preserve">A risk assessment is not required for contaminants that are not detected or present at concentrations less than the detection limits identified in </w:t>
      </w:r>
      <w:r w:rsidR="00540B1D" w:rsidRPr="002A75F2">
        <w:rPr>
          <w:rFonts w:cs="Arial"/>
        </w:rPr>
        <w:t xml:space="preserve">the “Protocol for </w:t>
      </w:r>
      <w:r w:rsidRPr="002A75F2">
        <w:rPr>
          <w:rFonts w:cs="Arial"/>
        </w:rPr>
        <w:t xml:space="preserve">Analytical Methods Used in the Assessment of Properties Under Part XV.1 of the </w:t>
      </w:r>
      <w:r w:rsidR="00540B1D" w:rsidRPr="002A75F2">
        <w:rPr>
          <w:rFonts w:cs="Arial"/>
        </w:rPr>
        <w:t xml:space="preserve">Environmental </w:t>
      </w:r>
      <w:r w:rsidR="00AA79FC" w:rsidRPr="002A75F2">
        <w:rPr>
          <w:rFonts w:cs="Arial"/>
        </w:rPr>
        <w:t>P</w:t>
      </w:r>
      <w:r w:rsidR="00540B1D" w:rsidRPr="002A75F2">
        <w:rPr>
          <w:rFonts w:cs="Arial"/>
        </w:rPr>
        <w:t>rotection Act” (MOE 2011), as updated from time to time</w:t>
      </w:r>
      <w:r w:rsidRPr="002A75F2">
        <w:rPr>
          <w:rFonts w:cs="Arial"/>
        </w:rPr>
        <w:t>.</w:t>
      </w:r>
    </w:p>
    <w:p w14:paraId="6F633F4F" w14:textId="77777777" w:rsidR="00045C38" w:rsidRPr="002A75F2" w:rsidRDefault="00DD2E5F" w:rsidP="00DE496B">
      <w:pPr>
        <w:pStyle w:val="Heading3"/>
        <w:rPr>
          <w:rFonts w:cs="Arial"/>
        </w:rPr>
      </w:pPr>
      <w:bookmarkStart w:id="141" w:name="_Toc41905677"/>
      <w:r w:rsidRPr="002A75F2">
        <w:rPr>
          <w:rFonts w:cs="Arial"/>
        </w:rPr>
        <w:t xml:space="preserve">Screening for </w:t>
      </w:r>
      <w:r w:rsidR="00045C38" w:rsidRPr="002A75F2">
        <w:rPr>
          <w:rFonts w:cs="Arial"/>
        </w:rPr>
        <w:t>Contaminants of Concern</w:t>
      </w:r>
      <w:r w:rsidRPr="002A75F2">
        <w:rPr>
          <w:rFonts w:cs="Arial"/>
        </w:rPr>
        <w:t xml:space="preserve"> </w:t>
      </w:r>
      <w:r w:rsidR="005B1773" w:rsidRPr="002A75F2">
        <w:rPr>
          <w:rFonts w:cs="Arial"/>
        </w:rPr>
        <w:t xml:space="preserve">– </w:t>
      </w:r>
      <w:r w:rsidR="00422EC4" w:rsidRPr="002A75F2">
        <w:rPr>
          <w:rFonts w:cs="Arial"/>
        </w:rPr>
        <w:t>Additional Guidance</w:t>
      </w:r>
      <w:bookmarkEnd w:id="141"/>
    </w:p>
    <w:p w14:paraId="4D80BE66" w14:textId="77777777" w:rsidR="00422EC4" w:rsidRPr="002A75F2" w:rsidRDefault="00422EC4" w:rsidP="00045C38">
      <w:pPr>
        <w:rPr>
          <w:rFonts w:cs="Arial"/>
        </w:rPr>
      </w:pPr>
      <w:r w:rsidRPr="002A75F2">
        <w:rPr>
          <w:rFonts w:cs="Arial"/>
        </w:rPr>
        <w:t>Additional guidance regarding COC screening for specific contaminant groups i</w:t>
      </w:r>
      <w:r w:rsidR="00A076D9" w:rsidRPr="002A75F2">
        <w:rPr>
          <w:rFonts w:cs="Arial"/>
        </w:rPr>
        <w:t>s</w:t>
      </w:r>
      <w:r w:rsidRPr="002A75F2">
        <w:rPr>
          <w:rFonts w:cs="Arial"/>
        </w:rPr>
        <w:t xml:space="preserve"> included below.</w:t>
      </w:r>
    </w:p>
    <w:p w14:paraId="5F151CE7" w14:textId="77777777" w:rsidR="00045C38" w:rsidRPr="002A75F2" w:rsidRDefault="00045C38" w:rsidP="00045C38">
      <w:pPr>
        <w:rPr>
          <w:rFonts w:cs="Arial"/>
          <w:u w:val="single"/>
        </w:rPr>
      </w:pPr>
      <w:r w:rsidRPr="002A75F2">
        <w:rPr>
          <w:rFonts w:cs="Arial"/>
          <w:u w:val="single"/>
        </w:rPr>
        <w:lastRenderedPageBreak/>
        <w:t>Poly</w:t>
      </w:r>
      <w:r w:rsidR="00934780" w:rsidRPr="002A75F2">
        <w:rPr>
          <w:rFonts w:cs="Arial"/>
          <w:u w:val="single"/>
        </w:rPr>
        <w:t>cyclic A</w:t>
      </w:r>
      <w:r w:rsidRPr="002A75F2">
        <w:rPr>
          <w:rFonts w:cs="Arial"/>
          <w:u w:val="single"/>
        </w:rPr>
        <w:t>romatic Hydrocarbons (PAHs)</w:t>
      </w:r>
    </w:p>
    <w:p w14:paraId="4802BF8E" w14:textId="264387BE" w:rsidR="00045C38" w:rsidRPr="002A75F2" w:rsidRDefault="00934780" w:rsidP="00045C38">
      <w:pPr>
        <w:rPr>
          <w:rFonts w:cs="Arial"/>
        </w:rPr>
      </w:pPr>
      <w:r w:rsidRPr="002A75F2">
        <w:rPr>
          <w:rFonts w:cs="Arial"/>
        </w:rPr>
        <w:t>For PAHs, t</w:t>
      </w:r>
      <w:r w:rsidR="00045C38" w:rsidRPr="002A75F2">
        <w:rPr>
          <w:rFonts w:cs="Arial"/>
        </w:rPr>
        <w:t xml:space="preserve">he Toxicity Equivalency Factor (TEF) approach is </w:t>
      </w:r>
      <w:r w:rsidRPr="002A75F2">
        <w:rPr>
          <w:rFonts w:cs="Arial"/>
        </w:rPr>
        <w:t>used to e</w:t>
      </w:r>
      <w:r w:rsidR="00045C38" w:rsidRPr="002A75F2">
        <w:rPr>
          <w:rFonts w:cs="Arial"/>
        </w:rPr>
        <w:t>stimat</w:t>
      </w:r>
      <w:r w:rsidRPr="002A75F2">
        <w:rPr>
          <w:rFonts w:cs="Arial"/>
        </w:rPr>
        <w:t xml:space="preserve">e </w:t>
      </w:r>
      <w:r w:rsidR="00045C38" w:rsidRPr="002A75F2">
        <w:rPr>
          <w:rFonts w:cs="Arial"/>
        </w:rPr>
        <w:t xml:space="preserve">the potency of individual carcinogenic PAHs relative to benzo[a]pyrene (B[a]P), which is the reference compound. Additivity is assumed in this approach; the risks of individual </w:t>
      </w:r>
      <w:r w:rsidR="00760570" w:rsidRPr="002A75F2">
        <w:rPr>
          <w:rFonts w:cs="Arial"/>
        </w:rPr>
        <w:t xml:space="preserve">carcinogenic </w:t>
      </w:r>
      <w:r w:rsidR="00045C38" w:rsidRPr="002A75F2">
        <w:rPr>
          <w:rFonts w:cs="Arial"/>
        </w:rPr>
        <w:t xml:space="preserve">PAHs </w:t>
      </w:r>
      <w:r w:rsidR="00760570" w:rsidRPr="002A75F2">
        <w:rPr>
          <w:rFonts w:cs="Arial"/>
        </w:rPr>
        <w:t>are</w:t>
      </w:r>
      <w:r w:rsidR="00045C38" w:rsidRPr="002A75F2">
        <w:rPr>
          <w:rFonts w:cs="Arial"/>
        </w:rPr>
        <w:t xml:space="preserve"> summed to give an estimate of total risk. </w:t>
      </w:r>
    </w:p>
    <w:p w14:paraId="2C7B8B2C" w14:textId="577DA47D" w:rsidR="00DF7A98" w:rsidRPr="002A75F2" w:rsidRDefault="00760570" w:rsidP="00045C38">
      <w:pPr>
        <w:rPr>
          <w:rFonts w:cs="Arial"/>
        </w:rPr>
      </w:pPr>
      <w:bookmarkStart w:id="142" w:name="_Hlk38289687"/>
      <w:r w:rsidRPr="002A75F2">
        <w:rPr>
          <w:rFonts w:cs="Arial"/>
        </w:rPr>
        <w:t>I</w:t>
      </w:r>
      <w:r w:rsidR="00045C38" w:rsidRPr="002A75F2">
        <w:rPr>
          <w:rFonts w:cs="Arial"/>
        </w:rPr>
        <w:t xml:space="preserve">f one or more carcinogenic PAHs are identified </w:t>
      </w:r>
      <w:r w:rsidR="00241ABE" w:rsidRPr="002A75F2">
        <w:rPr>
          <w:rFonts w:cs="Arial"/>
        </w:rPr>
        <w:t>as COC</w:t>
      </w:r>
      <w:r w:rsidR="003A13B2" w:rsidRPr="002A75F2">
        <w:rPr>
          <w:rFonts w:cs="Arial"/>
        </w:rPr>
        <w:t>s</w:t>
      </w:r>
      <w:r w:rsidR="00241ABE" w:rsidRPr="002A75F2">
        <w:rPr>
          <w:rFonts w:cs="Arial"/>
        </w:rPr>
        <w:t xml:space="preserve">, then all </w:t>
      </w:r>
      <w:r w:rsidR="00634166" w:rsidRPr="002A75F2">
        <w:rPr>
          <w:rFonts w:cs="Arial"/>
        </w:rPr>
        <w:t xml:space="preserve">carcinogenic </w:t>
      </w:r>
      <w:r w:rsidR="00241ABE" w:rsidRPr="002A75F2">
        <w:rPr>
          <w:rFonts w:cs="Arial"/>
        </w:rPr>
        <w:t xml:space="preserve">PAHs </w:t>
      </w:r>
      <w:r w:rsidR="003A13B2" w:rsidRPr="002A75F2">
        <w:rPr>
          <w:rFonts w:cs="Arial"/>
        </w:rPr>
        <w:t>detected</w:t>
      </w:r>
      <w:r w:rsidR="00241ABE" w:rsidRPr="002A75F2">
        <w:rPr>
          <w:rFonts w:cs="Arial"/>
        </w:rPr>
        <w:t xml:space="preserve"> at the RA property should be carried forward </w:t>
      </w:r>
      <w:r w:rsidR="00DF7A98" w:rsidRPr="002A75F2">
        <w:rPr>
          <w:rFonts w:cs="Arial"/>
        </w:rPr>
        <w:t xml:space="preserve">as COCs, </w:t>
      </w:r>
      <w:r w:rsidR="00241ABE" w:rsidRPr="002A75F2">
        <w:rPr>
          <w:rFonts w:cs="Arial"/>
        </w:rPr>
        <w:t xml:space="preserve">for further assessment in the HHRA </w:t>
      </w:r>
      <w:bookmarkEnd w:id="142"/>
      <w:r w:rsidR="00DF7A98" w:rsidRPr="002A75F2">
        <w:rPr>
          <w:rFonts w:cs="Arial"/>
        </w:rPr>
        <w:t>(where</w:t>
      </w:r>
      <w:r w:rsidR="00045C38" w:rsidRPr="002A75F2">
        <w:rPr>
          <w:rFonts w:cs="Arial"/>
        </w:rPr>
        <w:t xml:space="preserve"> total B[a]P </w:t>
      </w:r>
      <w:r w:rsidRPr="002A75F2">
        <w:rPr>
          <w:rFonts w:cs="Arial"/>
        </w:rPr>
        <w:t>e</w:t>
      </w:r>
      <w:r w:rsidR="00045C38" w:rsidRPr="002A75F2">
        <w:rPr>
          <w:rFonts w:cs="Arial"/>
        </w:rPr>
        <w:t xml:space="preserve">quivalent concentration for all carcinogenic PAHs </w:t>
      </w:r>
      <w:r w:rsidR="00DF7A98" w:rsidRPr="002A75F2">
        <w:rPr>
          <w:rFonts w:cs="Arial"/>
        </w:rPr>
        <w:t>will</w:t>
      </w:r>
      <w:r w:rsidR="00045C38" w:rsidRPr="002A75F2">
        <w:rPr>
          <w:rFonts w:cs="Arial"/>
        </w:rPr>
        <w:t xml:space="preserve"> be calculated</w:t>
      </w:r>
      <w:r w:rsidR="00634166" w:rsidRPr="002A75F2">
        <w:rPr>
          <w:rFonts w:cs="Arial"/>
        </w:rPr>
        <w:t xml:space="preserve"> in the HHRA</w:t>
      </w:r>
      <w:r w:rsidR="00241ABE" w:rsidRPr="002A75F2">
        <w:rPr>
          <w:rFonts w:cs="Arial"/>
        </w:rPr>
        <w:t>,</w:t>
      </w:r>
      <w:r w:rsidR="00045C38" w:rsidRPr="002A75F2">
        <w:rPr>
          <w:rFonts w:cs="Arial"/>
        </w:rPr>
        <w:t xml:space="preserve"> as per the TEF approach</w:t>
      </w:r>
      <w:r w:rsidR="00DF7A98" w:rsidRPr="002A75F2">
        <w:rPr>
          <w:rFonts w:cs="Arial"/>
        </w:rPr>
        <w:t>)</w:t>
      </w:r>
      <w:r w:rsidR="00045C38" w:rsidRPr="002A75F2">
        <w:rPr>
          <w:rFonts w:cs="Arial"/>
        </w:rPr>
        <w:t xml:space="preserve">. </w:t>
      </w:r>
      <w:r w:rsidR="00EB3540" w:rsidRPr="002A75F2">
        <w:rPr>
          <w:rFonts w:cs="Arial"/>
        </w:rPr>
        <w:t xml:space="preserve">Note that when conducting a Tier 2 </w:t>
      </w:r>
      <w:r w:rsidR="002B4755" w:rsidRPr="002A75F2">
        <w:rPr>
          <w:rFonts w:cs="Arial"/>
        </w:rPr>
        <w:t>risk assessment</w:t>
      </w:r>
      <w:r w:rsidR="00EB3540" w:rsidRPr="002A75F2">
        <w:rPr>
          <w:rFonts w:cs="Arial"/>
        </w:rPr>
        <w:t xml:space="preserve">, this </w:t>
      </w:r>
      <w:r w:rsidR="002976F0" w:rsidRPr="002A75F2">
        <w:rPr>
          <w:rFonts w:cs="Arial"/>
        </w:rPr>
        <w:t xml:space="preserve">may not be </w:t>
      </w:r>
      <w:r w:rsidR="00EB3540" w:rsidRPr="002A75F2">
        <w:rPr>
          <w:rFonts w:cs="Arial"/>
        </w:rPr>
        <w:t>necessary, due to the inherent conservatism built into the approved model when dealing w</w:t>
      </w:r>
      <w:r w:rsidR="002976F0" w:rsidRPr="002A75F2">
        <w:rPr>
          <w:rFonts w:cs="Arial"/>
        </w:rPr>
        <w:t>ith</w:t>
      </w:r>
      <w:r w:rsidR="00EB3540" w:rsidRPr="002A75F2">
        <w:rPr>
          <w:rFonts w:cs="Arial"/>
        </w:rPr>
        <w:t xml:space="preserve"> this contami</w:t>
      </w:r>
      <w:r w:rsidR="002976F0" w:rsidRPr="002A75F2">
        <w:rPr>
          <w:rFonts w:cs="Arial"/>
        </w:rPr>
        <w:t>n</w:t>
      </w:r>
      <w:r w:rsidR="00EB3540" w:rsidRPr="002A75F2">
        <w:rPr>
          <w:rFonts w:cs="Arial"/>
        </w:rPr>
        <w:t>ant group.</w:t>
      </w:r>
    </w:p>
    <w:p w14:paraId="1A96CFA2" w14:textId="77777777" w:rsidR="00760570" w:rsidRPr="002A75F2" w:rsidRDefault="00760570" w:rsidP="00760570">
      <w:pPr>
        <w:rPr>
          <w:rFonts w:cs="Arial"/>
          <w:u w:val="single"/>
        </w:rPr>
      </w:pPr>
      <w:r w:rsidRPr="002A75F2">
        <w:rPr>
          <w:rFonts w:cs="Arial"/>
          <w:u w:val="single"/>
        </w:rPr>
        <w:t>Dioxins, Furans, and Dioxin-like PCBs</w:t>
      </w:r>
    </w:p>
    <w:p w14:paraId="26A8399E" w14:textId="0A1C2D60" w:rsidR="00760570" w:rsidRPr="002A75F2" w:rsidRDefault="00760570" w:rsidP="00045C38">
      <w:pPr>
        <w:rPr>
          <w:rFonts w:cs="Arial"/>
        </w:rPr>
      </w:pPr>
      <w:r w:rsidRPr="002A75F2">
        <w:rPr>
          <w:rFonts w:cs="Arial"/>
        </w:rPr>
        <w:t xml:space="preserve">Mixtures of polychlorinated dibenzo-p-dioxins (PCDDs), polychlorinated dibenzofurans (PCDFs), and polychlorinated biphenyls (PCBs) compounds are aryl hydrocarbon receptor agonists that share a common mechanism of action that is consistent with an additive model. </w:t>
      </w:r>
      <w:r w:rsidR="00B010D6" w:rsidRPr="002A75F2">
        <w:rPr>
          <w:rFonts w:cs="Arial"/>
        </w:rPr>
        <w:t xml:space="preserve">If one or more of these compounds are identified as COCs, then the QP should consider carrying forward all related </w:t>
      </w:r>
      <w:r w:rsidR="009E2A89" w:rsidRPr="002A75F2">
        <w:rPr>
          <w:rFonts w:cs="Arial"/>
        </w:rPr>
        <w:t>compounds</w:t>
      </w:r>
      <w:r w:rsidR="00B010D6" w:rsidRPr="002A75F2">
        <w:rPr>
          <w:rFonts w:cs="Arial"/>
        </w:rPr>
        <w:t xml:space="preserve"> as COCs, for further assessment in the HHRA. </w:t>
      </w:r>
    </w:p>
    <w:p w14:paraId="1EB72BFB" w14:textId="77777777" w:rsidR="00045C38" w:rsidRPr="002A75F2" w:rsidRDefault="00045C38" w:rsidP="00045C38">
      <w:pPr>
        <w:rPr>
          <w:rFonts w:cs="Arial"/>
          <w:u w:val="single"/>
        </w:rPr>
      </w:pPr>
      <w:r w:rsidRPr="002A75F2">
        <w:rPr>
          <w:rFonts w:cs="Arial"/>
          <w:u w:val="single"/>
        </w:rPr>
        <w:t>Vinyl Chloride and Parent Compounds</w:t>
      </w:r>
    </w:p>
    <w:p w14:paraId="741EFDE5" w14:textId="760566CE" w:rsidR="00045C38" w:rsidRPr="002A75F2" w:rsidRDefault="00045C38" w:rsidP="00045C38">
      <w:pPr>
        <w:rPr>
          <w:rFonts w:cs="Arial"/>
        </w:rPr>
      </w:pPr>
      <w:r w:rsidRPr="002A75F2">
        <w:rPr>
          <w:rFonts w:cs="Arial"/>
        </w:rPr>
        <w:t>Vinyl chloride detected at some properties may not necessarily arise from industrial sources.</w:t>
      </w:r>
      <w:r w:rsidR="008A55C4" w:rsidRPr="002A75F2">
        <w:rPr>
          <w:rFonts w:cs="Arial"/>
        </w:rPr>
        <w:t xml:space="preserve"> </w:t>
      </w:r>
      <w:r w:rsidRPr="002A75F2">
        <w:rPr>
          <w:rFonts w:cs="Arial"/>
        </w:rPr>
        <w:t xml:space="preserve">The anaerobic biodegradation of chlorinated solvents such as trichloroethylene, tetrachloroethylene, 1,1-dichloroethylene, </w:t>
      </w:r>
      <w:r w:rsidRPr="002A75F2">
        <w:rPr>
          <w:rFonts w:cs="Arial"/>
          <w:i/>
        </w:rPr>
        <w:t>cis-</w:t>
      </w:r>
      <w:r w:rsidRPr="002A75F2">
        <w:rPr>
          <w:rFonts w:cs="Arial"/>
        </w:rPr>
        <w:t xml:space="preserve"> and </w:t>
      </w:r>
      <w:r w:rsidRPr="002A75F2">
        <w:rPr>
          <w:rFonts w:cs="Arial"/>
          <w:i/>
        </w:rPr>
        <w:t>trans-</w:t>
      </w:r>
      <w:r w:rsidRPr="002A75F2">
        <w:rPr>
          <w:rFonts w:cs="Arial"/>
        </w:rPr>
        <w:t>1,2-dichloroethylene and 1,1,1-trichloroethane can produce vinyl chloride as a degradation product, and may contribute to the presence of vinyl chloride at these sites.</w:t>
      </w:r>
      <w:r w:rsidR="00934780" w:rsidRPr="002A75F2">
        <w:rPr>
          <w:rFonts w:cs="Arial"/>
        </w:rPr>
        <w:t xml:space="preserve"> Vinyl chloride is also considered to be more toxic than several of its parent compounds.</w:t>
      </w:r>
      <w:r w:rsidR="008A55C4" w:rsidRPr="002A75F2">
        <w:rPr>
          <w:rFonts w:cs="Arial"/>
        </w:rPr>
        <w:t xml:space="preserve"> </w:t>
      </w:r>
      <w:r w:rsidR="003A13B2" w:rsidRPr="002A75F2">
        <w:rPr>
          <w:rFonts w:cs="Arial"/>
        </w:rPr>
        <w:t xml:space="preserve">The </w:t>
      </w:r>
      <w:r w:rsidR="001F7F60" w:rsidRPr="002A75F2">
        <w:rPr>
          <w:rFonts w:cs="Arial"/>
        </w:rPr>
        <w:t>Ministry</w:t>
      </w:r>
      <w:r w:rsidR="003A13B2" w:rsidRPr="002A75F2">
        <w:rPr>
          <w:rFonts w:cs="Arial"/>
        </w:rPr>
        <w:t xml:space="preserve"> accounted for </w:t>
      </w:r>
      <w:r w:rsidR="00A16536" w:rsidRPr="002A75F2">
        <w:rPr>
          <w:rFonts w:cs="Arial"/>
        </w:rPr>
        <w:t xml:space="preserve">this </w:t>
      </w:r>
      <w:r w:rsidR="003A13B2" w:rsidRPr="002A75F2">
        <w:rPr>
          <w:rFonts w:cs="Arial"/>
        </w:rPr>
        <w:t xml:space="preserve">in the development of its generic groundwater </w:t>
      </w:r>
      <w:r w:rsidR="005B614D" w:rsidRPr="002A75F2">
        <w:rPr>
          <w:rFonts w:cs="Arial"/>
        </w:rPr>
        <w:t>site condition standards</w:t>
      </w:r>
      <w:r w:rsidR="003A13B2" w:rsidRPr="002A75F2">
        <w:rPr>
          <w:rFonts w:cs="Arial"/>
        </w:rPr>
        <w:t xml:space="preserve"> by including a 10% rule (refer to Rationale document, Section 7 for details).</w:t>
      </w:r>
    </w:p>
    <w:p w14:paraId="63FF1F7E" w14:textId="765696E3" w:rsidR="00A4294A" w:rsidRPr="000C60E1" w:rsidRDefault="0017091F" w:rsidP="00045C38">
      <w:pPr>
        <w:rPr>
          <w:rFonts w:cs="Arial"/>
        </w:rPr>
      </w:pPr>
      <w:r w:rsidRPr="002A75F2">
        <w:rPr>
          <w:rFonts w:cs="Arial"/>
        </w:rPr>
        <w:t>I</w:t>
      </w:r>
      <w:r w:rsidR="003A13B2" w:rsidRPr="002A75F2">
        <w:rPr>
          <w:rFonts w:cs="Arial"/>
        </w:rPr>
        <w:t xml:space="preserve">n risk assessment, a similar approach can be used, whereby </w:t>
      </w:r>
      <w:r w:rsidR="00045C38" w:rsidRPr="002A75F2">
        <w:rPr>
          <w:rFonts w:cs="Arial"/>
        </w:rPr>
        <w:t xml:space="preserve">10% of the </w:t>
      </w:r>
      <w:r w:rsidR="00422EC4" w:rsidRPr="002A75F2">
        <w:rPr>
          <w:rFonts w:cs="Arial"/>
        </w:rPr>
        <w:t xml:space="preserve">sum of the </w:t>
      </w:r>
      <w:r w:rsidR="00934780" w:rsidRPr="002A75F2">
        <w:rPr>
          <w:rFonts w:cs="Arial"/>
        </w:rPr>
        <w:t xml:space="preserve">maximum measured </w:t>
      </w:r>
      <w:r w:rsidR="00045C38" w:rsidRPr="002A75F2">
        <w:rPr>
          <w:rFonts w:cs="Arial"/>
        </w:rPr>
        <w:t>concentration</w:t>
      </w:r>
      <w:r w:rsidR="00422EC4" w:rsidRPr="002A75F2">
        <w:rPr>
          <w:rFonts w:cs="Arial"/>
        </w:rPr>
        <w:t>s</w:t>
      </w:r>
      <w:r w:rsidR="00045C38" w:rsidRPr="002A75F2">
        <w:rPr>
          <w:rFonts w:cs="Arial"/>
        </w:rPr>
        <w:t xml:space="preserve"> of </w:t>
      </w:r>
      <w:r w:rsidR="00422EC4" w:rsidRPr="002A75F2">
        <w:rPr>
          <w:rFonts w:cs="Arial"/>
        </w:rPr>
        <w:t xml:space="preserve">all </w:t>
      </w:r>
      <w:r w:rsidR="00045C38" w:rsidRPr="002A75F2">
        <w:rPr>
          <w:rFonts w:cs="Arial"/>
        </w:rPr>
        <w:t xml:space="preserve">parent compounds </w:t>
      </w:r>
      <w:r w:rsidR="003A13B2" w:rsidRPr="002A75F2">
        <w:rPr>
          <w:rFonts w:cs="Arial"/>
        </w:rPr>
        <w:t xml:space="preserve">are </w:t>
      </w:r>
      <w:r w:rsidR="00045C38" w:rsidRPr="002A75F2">
        <w:rPr>
          <w:rFonts w:cs="Arial"/>
        </w:rPr>
        <w:t xml:space="preserve">added to the </w:t>
      </w:r>
      <w:r w:rsidR="00934780" w:rsidRPr="002A75F2">
        <w:rPr>
          <w:rFonts w:cs="Arial"/>
        </w:rPr>
        <w:t xml:space="preserve">maximum measured </w:t>
      </w:r>
      <w:r w:rsidR="00045C38" w:rsidRPr="002A75F2">
        <w:rPr>
          <w:rFonts w:cs="Arial"/>
        </w:rPr>
        <w:t xml:space="preserve">vinyl chloride concentration on the RA property for a total vinyl chloride concentration that is representative of potential </w:t>
      </w:r>
      <w:r w:rsidR="003A13B2" w:rsidRPr="002A75F2">
        <w:rPr>
          <w:rFonts w:cs="Arial"/>
        </w:rPr>
        <w:t xml:space="preserve">future </w:t>
      </w:r>
      <w:r w:rsidR="00045C38" w:rsidRPr="002A75F2">
        <w:rPr>
          <w:rFonts w:cs="Arial"/>
        </w:rPr>
        <w:t>impacts from biodegradation at the property.</w:t>
      </w:r>
      <w:r w:rsidR="008A55C4" w:rsidRPr="002A75F2">
        <w:rPr>
          <w:rFonts w:cs="Arial"/>
        </w:rPr>
        <w:t xml:space="preserve"> </w:t>
      </w:r>
      <w:r w:rsidR="00422EC4" w:rsidRPr="002A75F2">
        <w:rPr>
          <w:rFonts w:cs="Arial"/>
        </w:rPr>
        <w:t xml:space="preserve">In cases where </w:t>
      </w:r>
      <w:r w:rsidR="00934780" w:rsidRPr="002A75F2">
        <w:rPr>
          <w:rFonts w:cs="Arial"/>
        </w:rPr>
        <w:t>site</w:t>
      </w:r>
      <w:r w:rsidR="00E07B06" w:rsidRPr="002A75F2">
        <w:rPr>
          <w:rFonts w:cs="Arial"/>
        </w:rPr>
        <w:t>-</w:t>
      </w:r>
      <w:r w:rsidR="00934780" w:rsidRPr="002A75F2">
        <w:rPr>
          <w:rFonts w:cs="Arial"/>
        </w:rPr>
        <w:t xml:space="preserve">specific information </w:t>
      </w:r>
      <w:r w:rsidR="00422EC4" w:rsidRPr="002A75F2">
        <w:rPr>
          <w:rFonts w:cs="Arial"/>
        </w:rPr>
        <w:t>is available (e.g. groundwater trend data, site-</w:t>
      </w:r>
      <w:r w:rsidR="001F7F60" w:rsidRPr="002A75F2">
        <w:rPr>
          <w:rFonts w:cs="Arial"/>
        </w:rPr>
        <w:t>specific</w:t>
      </w:r>
      <w:r w:rsidR="00422EC4" w:rsidRPr="002A75F2">
        <w:rPr>
          <w:rFonts w:cs="Arial"/>
        </w:rPr>
        <w:t xml:space="preserve"> information regarding redox conditions in subsurface, etc.), alternate approaches to account for the potential future degradation of vinyl chloride can be</w:t>
      </w:r>
      <w:r w:rsidR="00934780" w:rsidRPr="002A75F2">
        <w:rPr>
          <w:rFonts w:cs="Arial"/>
        </w:rPr>
        <w:t xml:space="preserve"> </w:t>
      </w:r>
      <w:r w:rsidR="003A13B2" w:rsidRPr="002A75F2">
        <w:rPr>
          <w:rFonts w:cs="Arial"/>
        </w:rPr>
        <w:t>proposed</w:t>
      </w:r>
      <w:r w:rsidR="00934780" w:rsidRPr="002A75F2">
        <w:rPr>
          <w:rFonts w:cs="Arial"/>
        </w:rPr>
        <w:t>.</w:t>
      </w:r>
    </w:p>
    <w:p w14:paraId="4D6814CA" w14:textId="77777777" w:rsidR="00045C38" w:rsidRPr="000C60E1" w:rsidRDefault="00934780" w:rsidP="00045C38">
      <w:pPr>
        <w:rPr>
          <w:rFonts w:cs="Arial"/>
          <w:u w:val="single"/>
        </w:rPr>
      </w:pPr>
      <w:r w:rsidRPr="000C60E1">
        <w:rPr>
          <w:rFonts w:cs="Arial"/>
          <w:u w:val="single"/>
        </w:rPr>
        <w:t xml:space="preserve">Chemical </w:t>
      </w:r>
      <w:r w:rsidR="00045C38" w:rsidRPr="000C60E1">
        <w:rPr>
          <w:rFonts w:cs="Arial"/>
          <w:u w:val="single"/>
        </w:rPr>
        <w:t>Mixtures</w:t>
      </w:r>
    </w:p>
    <w:p w14:paraId="2CF2786E" w14:textId="21729C11" w:rsidR="00045C38" w:rsidRPr="002A75F2" w:rsidRDefault="00045C38" w:rsidP="00045C38">
      <w:pPr>
        <w:rPr>
          <w:rFonts w:cs="Arial"/>
        </w:rPr>
      </w:pPr>
      <w:r w:rsidRPr="000C60E1">
        <w:rPr>
          <w:rFonts w:cs="Arial"/>
        </w:rPr>
        <w:t>Some two- or three-chemical mixtures share a common mode of action and/or target tissue/organ consistent with an additive or synergistic model.</w:t>
      </w:r>
      <w:r w:rsidR="008A55C4" w:rsidRPr="000C60E1">
        <w:rPr>
          <w:rFonts w:cs="Arial"/>
        </w:rPr>
        <w:t xml:space="preserve"> </w:t>
      </w:r>
      <w:r w:rsidRPr="000C60E1">
        <w:rPr>
          <w:rFonts w:cs="Arial"/>
        </w:rPr>
        <w:t>Examples of binary or tertiary mixtures are the dichlorobenzene isomers (1,2-, 1,3- and 1,4-dichlorobenzene), dichloroethylene isomers (</w:t>
      </w:r>
      <w:r w:rsidRPr="000C60E1">
        <w:rPr>
          <w:rFonts w:cs="Arial"/>
          <w:i/>
        </w:rPr>
        <w:t>cis-</w:t>
      </w:r>
      <w:r w:rsidRPr="000C60E1">
        <w:rPr>
          <w:rFonts w:cs="Arial"/>
        </w:rPr>
        <w:t xml:space="preserve"> and </w:t>
      </w:r>
      <w:r w:rsidRPr="000C60E1">
        <w:rPr>
          <w:rFonts w:cs="Arial"/>
          <w:i/>
        </w:rPr>
        <w:t>trans-</w:t>
      </w:r>
      <w:r w:rsidRPr="000C60E1">
        <w:rPr>
          <w:rFonts w:cs="Arial"/>
        </w:rPr>
        <w:t xml:space="preserve">1,2-dichloroethylenes), </w:t>
      </w:r>
      <w:proofErr w:type="spellStart"/>
      <w:r w:rsidRPr="000C60E1">
        <w:rPr>
          <w:rFonts w:cs="Arial"/>
        </w:rPr>
        <w:t>dinitrotoluene</w:t>
      </w:r>
      <w:proofErr w:type="spellEnd"/>
      <w:r w:rsidRPr="000C60E1">
        <w:rPr>
          <w:rFonts w:cs="Arial"/>
        </w:rPr>
        <w:t xml:space="preserve"> isomers (2,4- and 2,6-dinitrotoluene), and </w:t>
      </w:r>
      <w:proofErr w:type="spellStart"/>
      <w:r w:rsidRPr="000C60E1">
        <w:rPr>
          <w:rFonts w:cs="Arial"/>
        </w:rPr>
        <w:t>methylnapthtalene</w:t>
      </w:r>
      <w:proofErr w:type="spellEnd"/>
      <w:r w:rsidRPr="000C60E1">
        <w:rPr>
          <w:rFonts w:cs="Arial"/>
        </w:rPr>
        <w:t xml:space="preserve"> isomers (1- and 2-methylnapthalene), trichlorophenol isomers (2,4,5- and 2,4,6-trichlorophenol</w:t>
      </w:r>
      <w:r w:rsidR="00223CC7" w:rsidRPr="000C60E1">
        <w:rPr>
          <w:rFonts w:cs="Arial"/>
        </w:rPr>
        <w:t>)</w:t>
      </w:r>
      <w:r w:rsidRPr="000C60E1">
        <w:rPr>
          <w:rFonts w:cs="Arial"/>
        </w:rPr>
        <w:t xml:space="preserve">. The general approach for conducting a </w:t>
      </w:r>
      <w:r w:rsidRPr="002A75F2">
        <w:rPr>
          <w:rFonts w:cs="Arial"/>
        </w:rPr>
        <w:t xml:space="preserve">mixtures assessment for compounds with additive effects is to estimate the </w:t>
      </w:r>
      <w:r w:rsidRPr="002A75F2">
        <w:rPr>
          <w:rFonts w:cs="Arial"/>
        </w:rPr>
        <w:lastRenderedPageBreak/>
        <w:t>combined risk (non-</w:t>
      </w:r>
      <w:r w:rsidR="00214E23" w:rsidRPr="002A75F2">
        <w:rPr>
          <w:rFonts w:cs="Arial"/>
        </w:rPr>
        <w:t>threshold</w:t>
      </w:r>
      <w:r w:rsidRPr="002A75F2">
        <w:rPr>
          <w:rFonts w:cs="Arial"/>
        </w:rPr>
        <w:t xml:space="preserve"> contaminants) or hazard index (threshold contaminants) for the mixture. </w:t>
      </w:r>
      <w:r w:rsidR="00934780" w:rsidRPr="002A75F2">
        <w:rPr>
          <w:rFonts w:cs="Arial"/>
        </w:rPr>
        <w:t xml:space="preserve">This will also need to be carefully considered </w:t>
      </w:r>
      <w:r w:rsidR="004E7D15" w:rsidRPr="002A75F2">
        <w:rPr>
          <w:rFonts w:cs="Arial"/>
        </w:rPr>
        <w:t>by the QP at the COC screening stage when chemical mixtures are present at the RA property.</w:t>
      </w:r>
      <w:r w:rsidR="00223CC7" w:rsidRPr="002A75F2">
        <w:rPr>
          <w:rFonts w:cs="Arial"/>
        </w:rPr>
        <w:t xml:space="preserve"> </w:t>
      </w:r>
      <w:r w:rsidR="004D107B" w:rsidRPr="002A75F2">
        <w:rPr>
          <w:rFonts w:cs="Arial"/>
        </w:rPr>
        <w:t xml:space="preserve">For example, the QP may wish to carry forward </w:t>
      </w:r>
      <w:r w:rsidR="00F4782B" w:rsidRPr="002A75F2">
        <w:rPr>
          <w:rFonts w:cs="Arial"/>
        </w:rPr>
        <w:t xml:space="preserve">as COCs </w:t>
      </w:r>
      <w:r w:rsidR="004D107B" w:rsidRPr="002A75F2">
        <w:rPr>
          <w:rFonts w:cs="Arial"/>
        </w:rPr>
        <w:t xml:space="preserve">all contaminants </w:t>
      </w:r>
      <w:r w:rsidR="00F4782B" w:rsidRPr="002A75F2">
        <w:rPr>
          <w:rFonts w:cs="Arial"/>
        </w:rPr>
        <w:t xml:space="preserve">in the mixture that have </w:t>
      </w:r>
      <w:r w:rsidR="004D107B" w:rsidRPr="002A75F2">
        <w:rPr>
          <w:rFonts w:cs="Arial"/>
        </w:rPr>
        <w:t xml:space="preserve">additive effects. </w:t>
      </w:r>
    </w:p>
    <w:p w14:paraId="6D02CEC7" w14:textId="77777777" w:rsidR="005C3BC5" w:rsidRPr="002A75F2" w:rsidRDefault="005C3BC5" w:rsidP="00DE496B">
      <w:pPr>
        <w:pStyle w:val="Heading3"/>
        <w:rPr>
          <w:rFonts w:cs="Arial"/>
        </w:rPr>
      </w:pPr>
      <w:bookmarkStart w:id="143" w:name="_Toc41905678"/>
      <w:r w:rsidRPr="002A75F2">
        <w:rPr>
          <w:rFonts w:cs="Arial"/>
        </w:rPr>
        <w:t>Summary of Sampling Program</w:t>
      </w:r>
      <w:bookmarkEnd w:id="143"/>
      <w:r w:rsidRPr="002A75F2">
        <w:rPr>
          <w:rFonts w:cs="Arial"/>
        </w:rPr>
        <w:t xml:space="preserve"> </w:t>
      </w:r>
    </w:p>
    <w:p w14:paraId="1FC398B0" w14:textId="5FD331B2" w:rsidR="003F3C3D" w:rsidRPr="000C60E1" w:rsidRDefault="003F3C3D" w:rsidP="003F3C3D">
      <w:pPr>
        <w:rPr>
          <w:rFonts w:cs="Arial"/>
        </w:rPr>
      </w:pPr>
      <w:r w:rsidRPr="002A75F2">
        <w:rPr>
          <w:rFonts w:cs="Arial"/>
        </w:rPr>
        <w:t>All risk assessments are dependent on the quality of information</w:t>
      </w:r>
      <w:r w:rsidRPr="000C60E1">
        <w:rPr>
          <w:rFonts w:cs="Arial"/>
        </w:rPr>
        <w:t xml:space="preserve"> provided through the property characterization, carried out in the </w:t>
      </w:r>
      <w:r w:rsidR="00C6313D" w:rsidRPr="000C60E1">
        <w:rPr>
          <w:rFonts w:cs="Arial"/>
        </w:rPr>
        <w:t>p</w:t>
      </w:r>
      <w:r w:rsidRPr="000C60E1">
        <w:rPr>
          <w:rFonts w:cs="Arial"/>
        </w:rPr>
        <w:t xml:space="preserve">hase one and </w:t>
      </w:r>
      <w:r w:rsidR="00C6313D" w:rsidRPr="000C60E1">
        <w:rPr>
          <w:rFonts w:cs="Arial"/>
        </w:rPr>
        <w:t>p</w:t>
      </w:r>
      <w:r w:rsidRPr="000C60E1">
        <w:rPr>
          <w:rFonts w:cs="Arial"/>
        </w:rPr>
        <w:t xml:space="preserve">hase two </w:t>
      </w:r>
      <w:smartTag w:uri="urn:schemas-microsoft-com:office:smarttags" w:element="stockticker">
        <w:r w:rsidRPr="000C60E1">
          <w:rPr>
            <w:rFonts w:cs="Arial"/>
          </w:rPr>
          <w:t>ESA</w:t>
        </w:r>
        <w:r w:rsidR="009E78AC" w:rsidRPr="000C60E1">
          <w:rPr>
            <w:rFonts w:cs="Arial"/>
          </w:rPr>
          <w:t>s</w:t>
        </w:r>
      </w:smartTag>
      <w:r w:rsidRPr="000C60E1">
        <w:rPr>
          <w:rFonts w:cs="Arial"/>
        </w:rPr>
        <w:t xml:space="preserve"> and any other investigations, and the associated uncertainty in the supporting toxicological and exposure information. </w:t>
      </w:r>
      <w:r w:rsidR="00B45E05" w:rsidRPr="000C60E1">
        <w:rPr>
          <w:rFonts w:cs="Arial"/>
        </w:rPr>
        <w:t xml:space="preserve">At a minimum, </w:t>
      </w:r>
      <w:r w:rsidR="00C6313D" w:rsidRPr="000C60E1">
        <w:rPr>
          <w:rFonts w:cs="Arial"/>
        </w:rPr>
        <w:t>p</w:t>
      </w:r>
      <w:r w:rsidRPr="000C60E1">
        <w:rPr>
          <w:rFonts w:cs="Arial"/>
        </w:rPr>
        <w:t xml:space="preserve">hase one and two ESAs must be conducted in </w:t>
      </w:r>
      <w:r w:rsidR="00292E15" w:rsidRPr="000C60E1">
        <w:rPr>
          <w:rFonts w:cs="Arial"/>
        </w:rPr>
        <w:t xml:space="preserve">a </w:t>
      </w:r>
      <w:r w:rsidR="00BD6A89" w:rsidRPr="000C60E1">
        <w:rPr>
          <w:rFonts w:cs="Arial"/>
        </w:rPr>
        <w:t>manner consistent with the requirements of the Regulation (including Schedules D and E, respectively).</w:t>
      </w:r>
      <w:r w:rsidRPr="000C60E1">
        <w:rPr>
          <w:rFonts w:cs="Arial"/>
        </w:rPr>
        <w:t xml:space="preserve"> </w:t>
      </w:r>
      <w:r w:rsidR="00BD6A89" w:rsidRPr="000C60E1">
        <w:rPr>
          <w:rFonts w:cs="Arial"/>
        </w:rPr>
        <w:t>S</w:t>
      </w:r>
      <w:r w:rsidR="00B45E05" w:rsidRPr="000C60E1">
        <w:rPr>
          <w:rFonts w:cs="Arial"/>
        </w:rPr>
        <w:t xml:space="preserve">tudies relating to </w:t>
      </w:r>
      <w:r w:rsidR="00BD6A89" w:rsidRPr="000C60E1">
        <w:rPr>
          <w:rFonts w:cs="Arial"/>
        </w:rPr>
        <w:t xml:space="preserve">other media (e.g. </w:t>
      </w:r>
      <w:r w:rsidR="00B45E05" w:rsidRPr="000C60E1">
        <w:rPr>
          <w:rFonts w:cs="Arial"/>
        </w:rPr>
        <w:t>surface water</w:t>
      </w:r>
      <w:r w:rsidR="00BD6A89" w:rsidRPr="000C60E1">
        <w:rPr>
          <w:rFonts w:cs="Arial"/>
        </w:rPr>
        <w:t>,</w:t>
      </w:r>
      <w:r w:rsidR="0036672C" w:rsidRPr="000C60E1">
        <w:rPr>
          <w:rFonts w:cs="Arial"/>
        </w:rPr>
        <w:t xml:space="preserve"> </w:t>
      </w:r>
      <w:r w:rsidR="00B45E05" w:rsidRPr="000C60E1">
        <w:rPr>
          <w:rFonts w:cs="Arial"/>
        </w:rPr>
        <w:t>biota</w:t>
      </w:r>
      <w:r w:rsidR="00BD6A89" w:rsidRPr="000C60E1">
        <w:rPr>
          <w:rFonts w:cs="Arial"/>
        </w:rPr>
        <w:t xml:space="preserve">, soil </w:t>
      </w:r>
      <w:proofErr w:type="spellStart"/>
      <w:r w:rsidR="00BD6A89" w:rsidRPr="000C60E1">
        <w:rPr>
          <w:rFonts w:cs="Arial"/>
        </w:rPr>
        <w:t>vapour</w:t>
      </w:r>
      <w:proofErr w:type="spellEnd"/>
      <w:r w:rsidR="00BD6A89" w:rsidRPr="000C60E1">
        <w:rPr>
          <w:rFonts w:cs="Arial"/>
        </w:rPr>
        <w:t>, indoor air)</w:t>
      </w:r>
      <w:r w:rsidR="00B45E05" w:rsidRPr="000C60E1">
        <w:rPr>
          <w:rFonts w:cs="Arial"/>
        </w:rPr>
        <w:t xml:space="preserve"> may also be required to support a risk assessment. These should be conducted with consideration of the most recent </w:t>
      </w:r>
      <w:r w:rsidR="00657FDB" w:rsidRPr="000C60E1">
        <w:rPr>
          <w:rFonts w:cs="Arial"/>
        </w:rPr>
        <w:t>M</w:t>
      </w:r>
      <w:r w:rsidR="00B45E05" w:rsidRPr="000C60E1">
        <w:rPr>
          <w:rFonts w:cs="Arial"/>
        </w:rPr>
        <w:t>inistry guidance and best scientific practice.</w:t>
      </w:r>
    </w:p>
    <w:p w14:paraId="2DC55D19" w14:textId="0D08116B" w:rsidR="003F3C3D" w:rsidRPr="000C60E1" w:rsidRDefault="003F3C3D" w:rsidP="003F3C3D">
      <w:pPr>
        <w:rPr>
          <w:rFonts w:cs="Arial"/>
        </w:rPr>
      </w:pPr>
      <w:r w:rsidRPr="000C60E1">
        <w:rPr>
          <w:rFonts w:cs="Arial"/>
        </w:rPr>
        <w:t xml:space="preserve">The </w:t>
      </w:r>
      <w:r w:rsidR="003A2390" w:rsidRPr="000C60E1">
        <w:rPr>
          <w:rFonts w:cs="Arial"/>
        </w:rPr>
        <w:t>RA</w:t>
      </w:r>
      <w:r w:rsidRPr="000C60E1">
        <w:rPr>
          <w:rFonts w:cs="Arial"/>
        </w:rPr>
        <w:t xml:space="preserve"> </w:t>
      </w:r>
      <w:r w:rsidR="001A12D1" w:rsidRPr="000C60E1">
        <w:rPr>
          <w:rFonts w:cs="Arial"/>
        </w:rPr>
        <w:t xml:space="preserve">report </w:t>
      </w:r>
      <w:r w:rsidRPr="000C60E1">
        <w:rPr>
          <w:rFonts w:cs="Arial"/>
        </w:rPr>
        <w:t xml:space="preserve">must include a summary of the </w:t>
      </w:r>
      <w:r w:rsidR="00C6313D" w:rsidRPr="000C60E1">
        <w:rPr>
          <w:rFonts w:cs="Arial"/>
        </w:rPr>
        <w:t>p</w:t>
      </w:r>
      <w:r w:rsidRPr="000C60E1">
        <w:rPr>
          <w:rFonts w:cs="Arial"/>
        </w:rPr>
        <w:t xml:space="preserve">hase one and two sampling programs, specifically considering data quality, uncertainty and suitability of the data for use in the </w:t>
      </w:r>
      <w:r w:rsidR="00D4507B" w:rsidRPr="000C60E1">
        <w:rPr>
          <w:rFonts w:cs="Arial"/>
        </w:rPr>
        <w:t>risk assessment</w:t>
      </w:r>
      <w:r w:rsidRPr="000C60E1">
        <w:rPr>
          <w:rFonts w:cs="Arial"/>
        </w:rPr>
        <w:t xml:space="preserve">, and details of any additional sampling undertaken to support the </w:t>
      </w:r>
      <w:r w:rsidR="00443D33" w:rsidRPr="000C60E1">
        <w:rPr>
          <w:rFonts w:cs="Arial"/>
        </w:rPr>
        <w:t>risk assessment</w:t>
      </w:r>
      <w:r w:rsidRPr="000C60E1">
        <w:rPr>
          <w:rFonts w:cs="Arial"/>
        </w:rPr>
        <w:t xml:space="preserve">. </w:t>
      </w:r>
      <w:r w:rsidR="001A12D1" w:rsidRPr="000C60E1">
        <w:rPr>
          <w:rFonts w:cs="Arial"/>
        </w:rPr>
        <w:t xml:space="preserve">On a case by case basis the </w:t>
      </w:r>
      <w:r w:rsidR="00657FDB" w:rsidRPr="000C60E1">
        <w:rPr>
          <w:rFonts w:cs="Arial"/>
        </w:rPr>
        <w:t>M</w:t>
      </w:r>
      <w:r w:rsidR="002A6EE0" w:rsidRPr="000C60E1">
        <w:rPr>
          <w:rFonts w:cs="Arial"/>
        </w:rPr>
        <w:t>inistry</w:t>
      </w:r>
      <w:r w:rsidR="001A12D1" w:rsidRPr="000C60E1">
        <w:rPr>
          <w:rFonts w:cs="Arial"/>
        </w:rPr>
        <w:t xml:space="preserve"> may</w:t>
      </w:r>
      <w:r w:rsidRPr="000C60E1">
        <w:rPr>
          <w:rFonts w:cs="Arial"/>
        </w:rPr>
        <w:t xml:space="preserve"> request additional information or copies of </w:t>
      </w:r>
      <w:r w:rsidR="00C6313D" w:rsidRPr="000C60E1">
        <w:rPr>
          <w:rFonts w:cs="Arial"/>
        </w:rPr>
        <w:t>p</w:t>
      </w:r>
      <w:r w:rsidRPr="000C60E1">
        <w:rPr>
          <w:rFonts w:cs="Arial"/>
        </w:rPr>
        <w:t>hase one or two ESA</w:t>
      </w:r>
      <w:r w:rsidR="001B04F4" w:rsidRPr="000C60E1">
        <w:rPr>
          <w:rFonts w:cs="Arial"/>
        </w:rPr>
        <w:t xml:space="preserve"> report</w:t>
      </w:r>
      <w:r w:rsidRPr="000C60E1">
        <w:rPr>
          <w:rFonts w:cs="Arial"/>
        </w:rPr>
        <w:t xml:space="preserve">s and/or other relevant site reports that the </w:t>
      </w:r>
      <w:r w:rsidR="00657FDB" w:rsidRPr="000C60E1">
        <w:rPr>
          <w:rFonts w:cs="Arial"/>
        </w:rPr>
        <w:t>M</w:t>
      </w:r>
      <w:r w:rsidR="002A6EE0" w:rsidRPr="000C60E1">
        <w:rPr>
          <w:rFonts w:cs="Arial"/>
        </w:rPr>
        <w:t>inistry</w:t>
      </w:r>
      <w:r w:rsidRPr="000C60E1">
        <w:rPr>
          <w:rFonts w:cs="Arial"/>
        </w:rPr>
        <w:t xml:space="preserve"> deems necessary for review. Characterization of the </w:t>
      </w:r>
      <w:r w:rsidR="00743F57" w:rsidRPr="000C60E1">
        <w:rPr>
          <w:rFonts w:cs="Arial"/>
        </w:rPr>
        <w:t>RA</w:t>
      </w:r>
      <w:r w:rsidR="00443D33" w:rsidRPr="000C60E1">
        <w:rPr>
          <w:rFonts w:cs="Arial"/>
        </w:rPr>
        <w:t xml:space="preserve"> </w:t>
      </w:r>
      <w:r w:rsidRPr="000C60E1">
        <w:rPr>
          <w:rFonts w:cs="Arial"/>
        </w:rPr>
        <w:t xml:space="preserve">property and </w:t>
      </w:r>
      <w:smartTag w:uri="urn:schemas-microsoft-com:office:smarttags" w:element="stockticker">
        <w:r w:rsidRPr="000C60E1">
          <w:rPr>
            <w:rFonts w:cs="Arial"/>
          </w:rPr>
          <w:t>COC</w:t>
        </w:r>
        <w:r w:rsidR="008204A8" w:rsidRPr="000C60E1">
          <w:rPr>
            <w:rFonts w:cs="Arial"/>
          </w:rPr>
          <w:t>s</w:t>
        </w:r>
      </w:smartTag>
      <w:r w:rsidRPr="000C60E1">
        <w:rPr>
          <w:rFonts w:cs="Arial"/>
        </w:rPr>
        <w:t xml:space="preserve"> in the </w:t>
      </w:r>
      <w:r w:rsidR="00443D33" w:rsidRPr="000C60E1">
        <w:rPr>
          <w:rFonts w:cs="Arial"/>
        </w:rPr>
        <w:t>risk assessment</w:t>
      </w:r>
      <w:r w:rsidRPr="000C60E1">
        <w:rPr>
          <w:rFonts w:cs="Arial"/>
        </w:rPr>
        <w:t xml:space="preserve"> should fully document the following:</w:t>
      </w:r>
    </w:p>
    <w:p w14:paraId="079154AA" w14:textId="77777777" w:rsidR="003F3C3D" w:rsidRPr="000C60E1" w:rsidRDefault="00045C38" w:rsidP="000E72E5">
      <w:pPr>
        <w:pStyle w:val="ListBullet2"/>
        <w:rPr>
          <w:rFonts w:cs="Arial"/>
        </w:rPr>
      </w:pPr>
      <w:r w:rsidRPr="000C60E1">
        <w:rPr>
          <w:rFonts w:cs="Arial"/>
        </w:rPr>
        <w:t>W</w:t>
      </w:r>
      <w:r w:rsidR="003F3C3D" w:rsidRPr="000C60E1">
        <w:rPr>
          <w:rFonts w:cs="Arial"/>
        </w:rPr>
        <w:t>hat investigation methods were used</w:t>
      </w:r>
      <w:r w:rsidRPr="000C60E1">
        <w:rPr>
          <w:rFonts w:cs="Arial"/>
        </w:rPr>
        <w:t>?</w:t>
      </w:r>
    </w:p>
    <w:p w14:paraId="6D69A34B" w14:textId="77777777" w:rsidR="007A1E34" w:rsidRPr="000C60E1" w:rsidRDefault="00045C38" w:rsidP="000E72E5">
      <w:pPr>
        <w:pStyle w:val="ListBullet2"/>
        <w:rPr>
          <w:rFonts w:cs="Arial"/>
        </w:rPr>
      </w:pPr>
      <w:r w:rsidRPr="000C60E1">
        <w:rPr>
          <w:rFonts w:cs="Arial"/>
        </w:rPr>
        <w:t>W</w:t>
      </w:r>
      <w:r w:rsidR="007A1E34" w:rsidRPr="000C60E1">
        <w:rPr>
          <w:rFonts w:cs="Arial"/>
        </w:rPr>
        <w:t>hat portions of the property or environmental media remain uncharacterized, if any</w:t>
      </w:r>
      <w:r w:rsidRPr="000C60E1">
        <w:rPr>
          <w:rFonts w:cs="Arial"/>
        </w:rPr>
        <w:t>?</w:t>
      </w:r>
    </w:p>
    <w:p w14:paraId="08AA7487" w14:textId="77777777" w:rsidR="003F3C3D" w:rsidRPr="000C60E1" w:rsidRDefault="00045C38" w:rsidP="000E72E5">
      <w:pPr>
        <w:pStyle w:val="ListBullet2"/>
        <w:rPr>
          <w:rFonts w:cs="Arial"/>
        </w:rPr>
      </w:pPr>
      <w:r w:rsidRPr="000C60E1">
        <w:rPr>
          <w:rFonts w:cs="Arial"/>
        </w:rPr>
        <w:t xml:space="preserve">Can </w:t>
      </w:r>
      <w:r w:rsidR="003F3C3D" w:rsidRPr="000C60E1">
        <w:rPr>
          <w:rFonts w:cs="Arial"/>
        </w:rPr>
        <w:t xml:space="preserve">the risk assessment objective </w:t>
      </w:r>
      <w:r w:rsidR="007A1E34" w:rsidRPr="000C60E1">
        <w:rPr>
          <w:rFonts w:cs="Arial"/>
        </w:rPr>
        <w:t>be addressed</w:t>
      </w:r>
      <w:r w:rsidR="003F3C3D" w:rsidRPr="000C60E1">
        <w:rPr>
          <w:rFonts w:cs="Arial"/>
        </w:rPr>
        <w:t xml:space="preserve"> through </w:t>
      </w:r>
      <w:r w:rsidR="007A1E34" w:rsidRPr="000C60E1">
        <w:rPr>
          <w:rFonts w:cs="Arial"/>
        </w:rPr>
        <w:t>the use of available information</w:t>
      </w:r>
      <w:r w:rsidRPr="000C60E1">
        <w:rPr>
          <w:rFonts w:cs="Arial"/>
        </w:rPr>
        <w:t>?</w:t>
      </w:r>
    </w:p>
    <w:p w14:paraId="0E451153" w14:textId="77777777" w:rsidR="003F3C3D" w:rsidRPr="000C60E1" w:rsidRDefault="00045C38" w:rsidP="000E72E5">
      <w:pPr>
        <w:pStyle w:val="ListBullet2"/>
        <w:rPr>
          <w:rFonts w:cs="Arial"/>
        </w:rPr>
      </w:pPr>
      <w:r w:rsidRPr="000C60E1">
        <w:rPr>
          <w:rFonts w:cs="Arial"/>
        </w:rPr>
        <w:t>What</w:t>
      </w:r>
      <w:r w:rsidR="003F3C3D" w:rsidRPr="000C60E1">
        <w:rPr>
          <w:rFonts w:cs="Arial"/>
        </w:rPr>
        <w:t xml:space="preserve"> quality assurance/quality control procedures </w:t>
      </w:r>
      <w:r w:rsidRPr="000C60E1">
        <w:rPr>
          <w:rFonts w:cs="Arial"/>
        </w:rPr>
        <w:t xml:space="preserve">were </w:t>
      </w:r>
      <w:r w:rsidR="003F3C3D" w:rsidRPr="000C60E1">
        <w:rPr>
          <w:rFonts w:cs="Arial"/>
        </w:rPr>
        <w:t>used</w:t>
      </w:r>
      <w:r w:rsidRPr="000C60E1">
        <w:rPr>
          <w:rFonts w:cs="Arial"/>
        </w:rPr>
        <w:t>?</w:t>
      </w:r>
      <w:r w:rsidR="003F3C3D" w:rsidRPr="000C60E1">
        <w:rPr>
          <w:rFonts w:cs="Arial"/>
        </w:rPr>
        <w:t xml:space="preserve"> and</w:t>
      </w:r>
      <w:r w:rsidRPr="000C60E1">
        <w:rPr>
          <w:rFonts w:cs="Arial"/>
        </w:rPr>
        <w:t>,</w:t>
      </w:r>
    </w:p>
    <w:p w14:paraId="0AB64C10" w14:textId="77777777" w:rsidR="003F3C3D" w:rsidRPr="000C60E1" w:rsidRDefault="00045C38" w:rsidP="000E72E5">
      <w:pPr>
        <w:pStyle w:val="ListBullet2"/>
        <w:rPr>
          <w:rFonts w:cs="Arial"/>
        </w:rPr>
      </w:pPr>
      <w:r w:rsidRPr="000C60E1">
        <w:rPr>
          <w:rFonts w:cs="Arial"/>
        </w:rPr>
        <w:t>A</w:t>
      </w:r>
      <w:r w:rsidR="003F3C3D" w:rsidRPr="000C60E1">
        <w:rPr>
          <w:rFonts w:cs="Arial"/>
        </w:rPr>
        <w:t>n analysis of the sources, relative magnitude and implications of uncertainty in the data obtained.</w:t>
      </w:r>
    </w:p>
    <w:p w14:paraId="0E90AA0D" w14:textId="77777777" w:rsidR="005C3BC5" w:rsidRPr="000C60E1" w:rsidRDefault="005C3BC5" w:rsidP="00DE496B">
      <w:pPr>
        <w:pStyle w:val="Heading3"/>
        <w:rPr>
          <w:rFonts w:cs="Arial"/>
        </w:rPr>
      </w:pPr>
      <w:bookmarkStart w:id="144" w:name="_Toc41905679"/>
      <w:r w:rsidRPr="000C60E1">
        <w:rPr>
          <w:rFonts w:cs="Arial"/>
        </w:rPr>
        <w:t>Data Quality Assessment</w:t>
      </w:r>
      <w:bookmarkEnd w:id="144"/>
    </w:p>
    <w:p w14:paraId="5ED87CF4" w14:textId="188B3F0A" w:rsidR="00D501F7" w:rsidRPr="000C60E1" w:rsidRDefault="00D501F7" w:rsidP="00D501F7">
      <w:pPr>
        <w:rPr>
          <w:rFonts w:cs="Arial"/>
        </w:rPr>
      </w:pPr>
      <w:r w:rsidRPr="000C60E1">
        <w:rPr>
          <w:rFonts w:cs="Arial"/>
        </w:rPr>
        <w:t xml:space="preserve">Quality assurance and control is necessary in both sample collection and sample analysis to </w:t>
      </w:r>
      <w:r w:rsidRPr="002A75F2">
        <w:rPr>
          <w:rFonts w:cs="Arial"/>
        </w:rPr>
        <w:t xml:space="preserve">ensure that the data utilized in a risk assessment is representative of the site conditions </w:t>
      </w:r>
      <w:r w:rsidR="00743F57" w:rsidRPr="002A75F2">
        <w:rPr>
          <w:rFonts w:cs="Arial"/>
        </w:rPr>
        <w:t>at the RA</w:t>
      </w:r>
      <w:r w:rsidRPr="002A75F2">
        <w:rPr>
          <w:rFonts w:cs="Arial"/>
        </w:rPr>
        <w:t xml:space="preserve"> property. The </w:t>
      </w:r>
      <w:r w:rsidR="001B04F4" w:rsidRPr="002A75F2">
        <w:rPr>
          <w:rFonts w:cs="Arial"/>
        </w:rPr>
        <w:t xml:space="preserve">collection and analysis of environmental data that will be relied upon when </w:t>
      </w:r>
      <w:r w:rsidR="008E4ABB" w:rsidRPr="002A75F2">
        <w:rPr>
          <w:rFonts w:cs="Arial"/>
        </w:rPr>
        <w:t xml:space="preserve">submitting </w:t>
      </w:r>
      <w:r w:rsidR="001B04F4" w:rsidRPr="002A75F2">
        <w:rPr>
          <w:rFonts w:cs="Arial"/>
        </w:rPr>
        <w:t xml:space="preserve">the RSC </w:t>
      </w:r>
      <w:r w:rsidR="008E4ABB" w:rsidRPr="002A75F2">
        <w:rPr>
          <w:rFonts w:cs="Arial"/>
        </w:rPr>
        <w:t xml:space="preserve">for filing </w:t>
      </w:r>
      <w:r w:rsidR="001B04F4" w:rsidRPr="002A75F2">
        <w:rPr>
          <w:rFonts w:cs="Arial"/>
        </w:rPr>
        <w:t xml:space="preserve">must be carried out in accordance with the </w:t>
      </w:r>
      <w:r w:rsidR="00214E23" w:rsidRPr="002A75F2">
        <w:rPr>
          <w:rFonts w:cs="Arial"/>
        </w:rPr>
        <w:t>requirements</w:t>
      </w:r>
      <w:r w:rsidR="001B04F4" w:rsidRPr="002A75F2">
        <w:rPr>
          <w:rFonts w:cs="Arial"/>
        </w:rPr>
        <w:t xml:space="preserve"> of the Regulation</w:t>
      </w:r>
      <w:r w:rsidR="008E4ABB" w:rsidRPr="002A75F2">
        <w:rPr>
          <w:rFonts w:cs="Arial"/>
        </w:rPr>
        <w:t>; the collection and analysis of other environmental data (e.g. used to support the risk assessment) should also be should be carried out in accordance with the requirements of the Regulation, where possible</w:t>
      </w:r>
      <w:r w:rsidRPr="002A75F2">
        <w:rPr>
          <w:rFonts w:cs="Arial"/>
        </w:rPr>
        <w:t>.</w:t>
      </w:r>
      <w:r w:rsidR="00E34988" w:rsidRPr="002A75F2">
        <w:rPr>
          <w:rFonts w:cs="Arial"/>
        </w:rPr>
        <w:t xml:space="preserve"> The data quality objectives which the site assessment information should meet are specific to</w:t>
      </w:r>
      <w:r w:rsidR="00E34988" w:rsidRPr="000C60E1">
        <w:rPr>
          <w:rFonts w:cs="Arial"/>
        </w:rPr>
        <w:t xml:space="preserve"> the issues addressed by the risk assessment and are to be determined by the QP</w:t>
      </w:r>
      <w:r w:rsidR="00E34988" w:rsidRPr="000C60E1">
        <w:rPr>
          <w:rFonts w:cs="Arial"/>
          <w:vertAlign w:val="subscript"/>
        </w:rPr>
        <w:t>RA</w:t>
      </w:r>
      <w:r w:rsidR="00E34988" w:rsidRPr="000C60E1">
        <w:rPr>
          <w:rFonts w:cs="Arial"/>
        </w:rPr>
        <w:t xml:space="preserve"> </w:t>
      </w:r>
      <w:r w:rsidR="001B04F4" w:rsidRPr="000C60E1">
        <w:rPr>
          <w:rFonts w:cs="Arial"/>
        </w:rPr>
        <w:t>(in consultation with the QP</w:t>
      </w:r>
      <w:r w:rsidR="001B04F4" w:rsidRPr="000C60E1">
        <w:rPr>
          <w:rFonts w:cs="Arial"/>
          <w:vertAlign w:val="subscript"/>
        </w:rPr>
        <w:t>ESA</w:t>
      </w:r>
      <w:r w:rsidR="0011653B" w:rsidRPr="000C60E1">
        <w:rPr>
          <w:rFonts w:cs="Arial"/>
        </w:rPr>
        <w:t xml:space="preserve"> and </w:t>
      </w:r>
      <w:r w:rsidR="00B24C01" w:rsidRPr="000C60E1">
        <w:rPr>
          <w:rFonts w:cs="Arial"/>
        </w:rPr>
        <w:t>risk assessment</w:t>
      </w:r>
      <w:r w:rsidR="0011653B" w:rsidRPr="000C60E1">
        <w:rPr>
          <w:rFonts w:cs="Arial"/>
        </w:rPr>
        <w:t xml:space="preserve"> t</w:t>
      </w:r>
      <w:r w:rsidR="001B04F4" w:rsidRPr="000C60E1">
        <w:rPr>
          <w:rFonts w:cs="Arial"/>
        </w:rPr>
        <w:t xml:space="preserve">eam) </w:t>
      </w:r>
      <w:r w:rsidR="00E34988" w:rsidRPr="000C60E1">
        <w:rPr>
          <w:rFonts w:cs="Arial"/>
        </w:rPr>
        <w:t>as part of the risk assessment.</w:t>
      </w:r>
    </w:p>
    <w:p w14:paraId="323E7A61" w14:textId="30FE24F2" w:rsidR="00D501F7" w:rsidRPr="000C60E1" w:rsidRDefault="00D501F7" w:rsidP="00D501F7">
      <w:pPr>
        <w:rPr>
          <w:rFonts w:cs="Arial"/>
        </w:rPr>
      </w:pPr>
      <w:r w:rsidRPr="000C60E1">
        <w:rPr>
          <w:rFonts w:cs="Arial"/>
        </w:rPr>
        <w:t>The Regulation requires that the QP</w:t>
      </w:r>
      <w:r w:rsidRPr="000C60E1">
        <w:rPr>
          <w:rFonts w:cs="Arial"/>
          <w:vertAlign w:val="subscript"/>
        </w:rPr>
        <w:t>RA</w:t>
      </w:r>
      <w:r w:rsidRPr="000C60E1">
        <w:rPr>
          <w:rFonts w:cs="Arial"/>
        </w:rPr>
        <w:t xml:space="preserve"> demonstrate that the data used for the HHRA and ERA is sufficient to meet the objectives of the</w:t>
      </w:r>
      <w:r w:rsidR="001B04F4" w:rsidRPr="000C60E1">
        <w:rPr>
          <w:rFonts w:cs="Arial"/>
        </w:rPr>
        <w:t>se</w:t>
      </w:r>
      <w:r w:rsidRPr="000C60E1">
        <w:rPr>
          <w:rFonts w:cs="Arial"/>
        </w:rPr>
        <w:t xml:space="preserve"> assessments. In the </w:t>
      </w:r>
      <w:r w:rsidR="00443D33" w:rsidRPr="000C60E1">
        <w:rPr>
          <w:rFonts w:cs="Arial"/>
        </w:rPr>
        <w:t>risk assessment</w:t>
      </w:r>
      <w:r w:rsidR="001B04F4" w:rsidRPr="000C60E1">
        <w:rPr>
          <w:rFonts w:cs="Arial"/>
        </w:rPr>
        <w:t>,</w:t>
      </w:r>
      <w:r w:rsidRPr="000C60E1">
        <w:rPr>
          <w:rFonts w:cs="Arial"/>
        </w:rPr>
        <w:t xml:space="preserve"> the </w:t>
      </w:r>
      <w:r w:rsidR="001B04F4" w:rsidRPr="000C60E1">
        <w:rPr>
          <w:rFonts w:cs="Arial"/>
        </w:rPr>
        <w:t>QP</w:t>
      </w:r>
      <w:r w:rsidR="001B04F4" w:rsidRPr="000C60E1">
        <w:rPr>
          <w:rFonts w:cs="Arial"/>
          <w:vertAlign w:val="subscript"/>
        </w:rPr>
        <w:t>RA</w:t>
      </w:r>
      <w:r w:rsidR="001B04F4" w:rsidRPr="000C60E1">
        <w:rPr>
          <w:rFonts w:cs="Arial"/>
        </w:rPr>
        <w:t xml:space="preserve"> </w:t>
      </w:r>
      <w:r w:rsidR="001B04F4" w:rsidRPr="000C60E1">
        <w:rPr>
          <w:rFonts w:cs="Arial"/>
        </w:rPr>
        <w:lastRenderedPageBreak/>
        <w:t xml:space="preserve">and </w:t>
      </w:r>
      <w:r w:rsidR="00443D33" w:rsidRPr="000C60E1">
        <w:rPr>
          <w:rFonts w:cs="Arial"/>
        </w:rPr>
        <w:t>risk assessment</w:t>
      </w:r>
      <w:r w:rsidRPr="000C60E1">
        <w:rPr>
          <w:rFonts w:cs="Arial"/>
        </w:rPr>
        <w:t xml:space="preserve"> </w:t>
      </w:r>
      <w:r w:rsidR="0011653B" w:rsidRPr="000C60E1">
        <w:rPr>
          <w:rFonts w:cs="Arial"/>
        </w:rPr>
        <w:t>t</w:t>
      </w:r>
      <w:r w:rsidRPr="000C60E1">
        <w:rPr>
          <w:rFonts w:cs="Arial"/>
        </w:rPr>
        <w:t>eam should discuss the completeness of all data sets and indicate whether appropriate analytical methods were utilized (</w:t>
      </w:r>
      <w:r w:rsidR="00047AAB" w:rsidRPr="000C60E1">
        <w:rPr>
          <w:rFonts w:cs="Arial"/>
        </w:rPr>
        <w:t>e.g.</w:t>
      </w:r>
      <w:r w:rsidRPr="000C60E1">
        <w:rPr>
          <w:rFonts w:cs="Arial"/>
        </w:rPr>
        <w:t xml:space="preserve"> </w:t>
      </w:r>
      <w:r w:rsidR="004942CA" w:rsidRPr="000C60E1">
        <w:rPr>
          <w:rFonts w:cs="Arial"/>
        </w:rPr>
        <w:t xml:space="preserve">the methods </w:t>
      </w:r>
      <w:r w:rsidRPr="000C60E1">
        <w:rPr>
          <w:rFonts w:cs="Arial"/>
        </w:rPr>
        <w:t xml:space="preserve">comply with </w:t>
      </w:r>
      <w:r w:rsidR="0037385E" w:rsidRPr="000C60E1">
        <w:rPr>
          <w:rFonts w:cs="Arial"/>
        </w:rPr>
        <w:t xml:space="preserve">the analytical </w:t>
      </w:r>
      <w:r w:rsidR="00522209" w:rsidRPr="000C60E1">
        <w:rPr>
          <w:rFonts w:cs="Arial"/>
        </w:rPr>
        <w:t xml:space="preserve">procedures described in </w:t>
      </w:r>
      <w:r w:rsidR="001C1D66" w:rsidRPr="000C60E1">
        <w:rPr>
          <w:rFonts w:cs="Arial"/>
        </w:rPr>
        <w:t>Section</w:t>
      </w:r>
      <w:r w:rsidRPr="000C60E1">
        <w:rPr>
          <w:rFonts w:cs="Arial"/>
        </w:rPr>
        <w:t xml:space="preserve"> 47 </w:t>
      </w:r>
      <w:r w:rsidR="00CA458A" w:rsidRPr="000C60E1">
        <w:rPr>
          <w:rFonts w:cs="Arial"/>
        </w:rPr>
        <w:t xml:space="preserve">of the </w:t>
      </w:r>
      <w:r w:rsidR="00855A6A" w:rsidRPr="000C60E1">
        <w:rPr>
          <w:rFonts w:cs="Arial"/>
        </w:rPr>
        <w:t>R</w:t>
      </w:r>
      <w:r w:rsidR="00CA458A" w:rsidRPr="000C60E1">
        <w:rPr>
          <w:rFonts w:cs="Arial"/>
        </w:rPr>
        <w:t>egulation and</w:t>
      </w:r>
      <w:r w:rsidRPr="000C60E1">
        <w:rPr>
          <w:rFonts w:cs="Arial"/>
        </w:rPr>
        <w:t xml:space="preserve"> </w:t>
      </w:r>
      <w:r w:rsidR="004942CA" w:rsidRPr="000C60E1">
        <w:rPr>
          <w:rFonts w:cs="Arial"/>
        </w:rPr>
        <w:t xml:space="preserve">the </w:t>
      </w:r>
      <w:r w:rsidRPr="000C60E1">
        <w:rPr>
          <w:rFonts w:cs="Arial"/>
        </w:rPr>
        <w:t>method detection limits were met).</w:t>
      </w:r>
    </w:p>
    <w:p w14:paraId="21E997A2" w14:textId="3E194501" w:rsidR="00D501F7" w:rsidRPr="000C60E1" w:rsidRDefault="00D501F7" w:rsidP="00D501F7">
      <w:pPr>
        <w:rPr>
          <w:rFonts w:cs="Arial"/>
        </w:rPr>
      </w:pPr>
      <w:r w:rsidRPr="000C60E1">
        <w:rPr>
          <w:rFonts w:cs="Arial"/>
        </w:rPr>
        <w:t xml:space="preserve">The </w:t>
      </w:r>
      <w:r w:rsidR="00443D33" w:rsidRPr="000C60E1">
        <w:rPr>
          <w:rFonts w:cs="Arial"/>
        </w:rPr>
        <w:t>risk assessment</w:t>
      </w:r>
      <w:r w:rsidRPr="000C60E1">
        <w:rPr>
          <w:rFonts w:cs="Arial"/>
        </w:rPr>
        <w:t xml:space="preserve"> </w:t>
      </w:r>
      <w:r w:rsidR="0011653B" w:rsidRPr="000C60E1">
        <w:rPr>
          <w:rFonts w:cs="Arial"/>
        </w:rPr>
        <w:t>t</w:t>
      </w:r>
      <w:r w:rsidRPr="000C60E1">
        <w:rPr>
          <w:rFonts w:cs="Arial"/>
        </w:rPr>
        <w:t>eam is expected to use standard data quality measures of representative</w:t>
      </w:r>
      <w:r w:rsidR="004F4902" w:rsidRPr="000C60E1">
        <w:rPr>
          <w:rFonts w:cs="Arial"/>
        </w:rPr>
        <w:t>ness</w:t>
      </w:r>
      <w:r w:rsidRPr="000C60E1">
        <w:rPr>
          <w:rFonts w:cs="Arial"/>
        </w:rPr>
        <w:t xml:space="preserve"> and reproducibility </w:t>
      </w:r>
      <w:r w:rsidR="00CA458A" w:rsidRPr="000C60E1">
        <w:rPr>
          <w:rFonts w:cs="Arial"/>
        </w:rPr>
        <w:t xml:space="preserve">(accuracy and precision) </w:t>
      </w:r>
      <w:r w:rsidRPr="000C60E1">
        <w:rPr>
          <w:rFonts w:cs="Arial"/>
        </w:rPr>
        <w:t>when evaluating the data.</w:t>
      </w:r>
    </w:p>
    <w:p w14:paraId="196AE4C4" w14:textId="39007B36" w:rsidR="003F3C3D" w:rsidRPr="000C60E1" w:rsidRDefault="003F3C3D" w:rsidP="003F3C3D">
      <w:pPr>
        <w:rPr>
          <w:rFonts w:cs="Arial"/>
        </w:rPr>
      </w:pPr>
      <w:r w:rsidRPr="000C60E1">
        <w:rPr>
          <w:rFonts w:cs="Arial"/>
        </w:rPr>
        <w:t>The required QA/QC data quality objectives will be dependent on the sensitivity of the risk assessment outcome to uncertainty in the data. The QP</w:t>
      </w:r>
      <w:r w:rsidRPr="000C60E1">
        <w:rPr>
          <w:rFonts w:cs="Arial"/>
          <w:vertAlign w:val="subscript"/>
        </w:rPr>
        <w:t>RA</w:t>
      </w:r>
      <w:r w:rsidRPr="000C60E1">
        <w:rPr>
          <w:rFonts w:cs="Arial"/>
        </w:rPr>
        <w:t xml:space="preserve"> and QP</w:t>
      </w:r>
      <w:r w:rsidRPr="000C60E1">
        <w:rPr>
          <w:rFonts w:cs="Arial"/>
          <w:vertAlign w:val="subscript"/>
        </w:rPr>
        <w:t>ESA</w:t>
      </w:r>
      <w:r w:rsidRPr="000C60E1">
        <w:rPr>
          <w:rFonts w:cs="Arial"/>
        </w:rPr>
        <w:t xml:space="preserve"> should exercise professional </w:t>
      </w:r>
      <w:r w:rsidR="00FB474A" w:rsidRPr="000C60E1">
        <w:rPr>
          <w:rFonts w:cs="Arial"/>
        </w:rPr>
        <w:t>judgment</w:t>
      </w:r>
      <w:r w:rsidRPr="000C60E1">
        <w:rPr>
          <w:rFonts w:cs="Arial"/>
        </w:rPr>
        <w:t xml:space="preserve"> in selection of appropriate techniques to obtain representative samples and achieve the risk assessment objective. The designer of the sampling program should have expertise in the design of sampling for the subject environmental medium.</w:t>
      </w:r>
    </w:p>
    <w:p w14:paraId="34D6EE8C" w14:textId="6C90329E" w:rsidR="003F3C3D" w:rsidRPr="002A75F2" w:rsidRDefault="003F3C3D" w:rsidP="003F3C3D">
      <w:pPr>
        <w:rPr>
          <w:rFonts w:cs="Arial"/>
        </w:rPr>
      </w:pPr>
      <w:r w:rsidRPr="000C60E1">
        <w:rPr>
          <w:rFonts w:cs="Arial"/>
        </w:rPr>
        <w:t>It should be noted that it is the responsibility of the QP</w:t>
      </w:r>
      <w:r w:rsidRPr="000C60E1">
        <w:rPr>
          <w:rFonts w:cs="Arial"/>
          <w:vertAlign w:val="subscript"/>
        </w:rPr>
        <w:t>RA</w:t>
      </w:r>
      <w:r w:rsidRPr="000C60E1">
        <w:rPr>
          <w:rFonts w:cs="Arial"/>
        </w:rPr>
        <w:t xml:space="preserve"> to ensure that all analytical results used to support </w:t>
      </w:r>
      <w:r w:rsidR="001A12D1" w:rsidRPr="000C60E1">
        <w:rPr>
          <w:rFonts w:cs="Arial"/>
        </w:rPr>
        <w:t xml:space="preserve">critical assumptions in </w:t>
      </w:r>
      <w:r w:rsidRPr="000C60E1">
        <w:rPr>
          <w:rFonts w:cs="Arial"/>
        </w:rPr>
        <w:t xml:space="preserve">the risk assessment comply with </w:t>
      </w:r>
      <w:r w:rsidR="00292E15" w:rsidRPr="000C60E1">
        <w:rPr>
          <w:rFonts w:cs="Arial"/>
        </w:rPr>
        <w:t>s</w:t>
      </w:r>
      <w:r w:rsidRPr="000C60E1">
        <w:rPr>
          <w:rFonts w:cs="Arial"/>
        </w:rPr>
        <w:t xml:space="preserve">ection 47 of the </w:t>
      </w:r>
      <w:r w:rsidR="00855A6A" w:rsidRPr="000C60E1">
        <w:rPr>
          <w:rFonts w:cs="Arial"/>
        </w:rPr>
        <w:t>R</w:t>
      </w:r>
      <w:r w:rsidRPr="000C60E1">
        <w:rPr>
          <w:rFonts w:cs="Arial"/>
        </w:rPr>
        <w:t>egulation. In addition, the QP</w:t>
      </w:r>
      <w:r w:rsidRPr="000C60E1">
        <w:rPr>
          <w:rFonts w:cs="Arial"/>
          <w:vertAlign w:val="subscript"/>
        </w:rPr>
        <w:t>RA</w:t>
      </w:r>
      <w:r w:rsidRPr="000C60E1">
        <w:rPr>
          <w:rFonts w:cs="Arial"/>
        </w:rPr>
        <w:t xml:space="preserve"> should always be diligent about the quality of analytical resul</w:t>
      </w:r>
      <w:r w:rsidR="00D501F7" w:rsidRPr="000C60E1">
        <w:rPr>
          <w:rFonts w:cs="Arial"/>
        </w:rPr>
        <w:t xml:space="preserve">ts obtained from a laboratory. </w:t>
      </w:r>
      <w:r w:rsidRPr="000C60E1">
        <w:rPr>
          <w:rFonts w:cs="Arial"/>
        </w:rPr>
        <w:t>If historical investigations on a</w:t>
      </w:r>
      <w:r w:rsidR="004645F2" w:rsidRPr="000C60E1">
        <w:rPr>
          <w:rFonts w:cs="Arial"/>
        </w:rPr>
        <w:t xml:space="preserve">n RA </w:t>
      </w:r>
      <w:r w:rsidRPr="000C60E1">
        <w:rPr>
          <w:rFonts w:cs="Arial"/>
        </w:rPr>
        <w:t>property included analysis of samples which may be questionable</w:t>
      </w:r>
      <w:r w:rsidR="00C5028F" w:rsidRPr="000C60E1">
        <w:rPr>
          <w:rFonts w:cs="Arial"/>
        </w:rPr>
        <w:t>,</w:t>
      </w:r>
      <w:r w:rsidRPr="000C60E1">
        <w:rPr>
          <w:rFonts w:cs="Arial"/>
        </w:rPr>
        <w:t xml:space="preserve"> </w:t>
      </w:r>
      <w:r w:rsidR="006C751E" w:rsidRPr="000C60E1">
        <w:rPr>
          <w:rFonts w:cs="Arial"/>
        </w:rPr>
        <w:t xml:space="preserve">it is expected that </w:t>
      </w:r>
      <w:r w:rsidRPr="000C60E1">
        <w:rPr>
          <w:rFonts w:cs="Arial"/>
        </w:rPr>
        <w:t>the QP</w:t>
      </w:r>
      <w:r w:rsidRPr="000C60E1">
        <w:rPr>
          <w:rFonts w:cs="Arial"/>
          <w:vertAlign w:val="subscript"/>
        </w:rPr>
        <w:t>RA</w:t>
      </w:r>
      <w:r w:rsidRPr="000C60E1">
        <w:rPr>
          <w:rFonts w:cs="Arial"/>
        </w:rPr>
        <w:t xml:space="preserve"> </w:t>
      </w:r>
      <w:r w:rsidR="00C5028F" w:rsidRPr="000C60E1">
        <w:rPr>
          <w:rFonts w:cs="Arial"/>
        </w:rPr>
        <w:t>and the QP</w:t>
      </w:r>
      <w:r w:rsidR="00C5028F" w:rsidRPr="000C60E1">
        <w:rPr>
          <w:rFonts w:cs="Arial"/>
          <w:vertAlign w:val="subscript"/>
        </w:rPr>
        <w:t>ESA</w:t>
      </w:r>
      <w:r w:rsidR="00C5028F" w:rsidRPr="000C60E1">
        <w:rPr>
          <w:rFonts w:cs="Arial"/>
        </w:rPr>
        <w:t xml:space="preserve"> </w:t>
      </w:r>
      <w:r w:rsidRPr="000C60E1">
        <w:rPr>
          <w:rFonts w:cs="Arial"/>
        </w:rPr>
        <w:t>clearly identify these analyses</w:t>
      </w:r>
      <w:r w:rsidR="00C5028F" w:rsidRPr="000C60E1">
        <w:rPr>
          <w:rFonts w:cs="Arial"/>
        </w:rPr>
        <w:t xml:space="preserve"> and obtain confirmatory sampling</w:t>
      </w:r>
      <w:r w:rsidR="006C751E" w:rsidRPr="000C60E1">
        <w:rPr>
          <w:rFonts w:cs="Arial"/>
        </w:rPr>
        <w:t xml:space="preserve"> data</w:t>
      </w:r>
      <w:r w:rsidR="00C5028F" w:rsidRPr="000C60E1">
        <w:rPr>
          <w:rFonts w:cs="Arial"/>
        </w:rPr>
        <w:t xml:space="preserve"> that is representative of </w:t>
      </w:r>
      <w:r w:rsidR="006C751E" w:rsidRPr="002A75F2">
        <w:rPr>
          <w:rFonts w:cs="Arial"/>
        </w:rPr>
        <w:t xml:space="preserve">current </w:t>
      </w:r>
      <w:r w:rsidR="00C5028F" w:rsidRPr="002A75F2">
        <w:rPr>
          <w:rFonts w:cs="Arial"/>
        </w:rPr>
        <w:t>site conditions for use</w:t>
      </w:r>
      <w:r w:rsidRPr="002A75F2">
        <w:rPr>
          <w:rFonts w:cs="Arial"/>
        </w:rPr>
        <w:t xml:space="preserve"> in the risk assessment</w:t>
      </w:r>
      <w:r w:rsidR="00C5028F" w:rsidRPr="002A75F2">
        <w:rPr>
          <w:rFonts w:cs="Arial"/>
        </w:rPr>
        <w:t xml:space="preserve"> (and </w:t>
      </w:r>
      <w:r w:rsidR="006C751E" w:rsidRPr="002A75F2">
        <w:rPr>
          <w:rFonts w:cs="Arial"/>
        </w:rPr>
        <w:t xml:space="preserve">for use </w:t>
      </w:r>
      <w:r w:rsidR="00C5028F" w:rsidRPr="002A75F2">
        <w:rPr>
          <w:rFonts w:cs="Arial"/>
        </w:rPr>
        <w:t xml:space="preserve">in the </w:t>
      </w:r>
      <w:r w:rsidR="00C6313D" w:rsidRPr="002A75F2">
        <w:rPr>
          <w:rFonts w:cs="Arial"/>
        </w:rPr>
        <w:t>p</w:t>
      </w:r>
      <w:r w:rsidR="00C5028F" w:rsidRPr="002A75F2">
        <w:rPr>
          <w:rFonts w:cs="Arial"/>
        </w:rPr>
        <w:t xml:space="preserve">hase two ESA report, </w:t>
      </w:r>
      <w:r w:rsidR="006C751E" w:rsidRPr="002A75F2">
        <w:rPr>
          <w:rFonts w:cs="Arial"/>
        </w:rPr>
        <w:t>to support</w:t>
      </w:r>
      <w:r w:rsidR="00C5028F" w:rsidRPr="002A75F2">
        <w:rPr>
          <w:rFonts w:cs="Arial"/>
        </w:rPr>
        <w:t xml:space="preserve"> </w:t>
      </w:r>
      <w:r w:rsidR="008E4ABB" w:rsidRPr="002A75F2">
        <w:rPr>
          <w:rFonts w:cs="Arial"/>
        </w:rPr>
        <w:t xml:space="preserve">submission of the </w:t>
      </w:r>
      <w:r w:rsidR="00C5028F" w:rsidRPr="002A75F2">
        <w:rPr>
          <w:rFonts w:cs="Arial"/>
        </w:rPr>
        <w:t>RSC</w:t>
      </w:r>
      <w:r w:rsidR="008E4ABB" w:rsidRPr="002A75F2">
        <w:rPr>
          <w:rFonts w:cs="Arial"/>
        </w:rPr>
        <w:t xml:space="preserve"> for filing</w:t>
      </w:r>
      <w:r w:rsidR="00522209" w:rsidRPr="002A75F2">
        <w:rPr>
          <w:rFonts w:cs="Arial"/>
        </w:rPr>
        <w:t>, as necessary</w:t>
      </w:r>
      <w:r w:rsidR="00C5028F" w:rsidRPr="002A75F2">
        <w:rPr>
          <w:rFonts w:cs="Arial"/>
        </w:rPr>
        <w:t>).</w:t>
      </w:r>
      <w:r w:rsidRPr="002A75F2">
        <w:rPr>
          <w:rFonts w:cs="Arial"/>
        </w:rPr>
        <w:t xml:space="preserve"> </w:t>
      </w:r>
    </w:p>
    <w:p w14:paraId="348A454E" w14:textId="77777777" w:rsidR="003F3C3D" w:rsidRPr="002A75F2" w:rsidRDefault="003F3C3D" w:rsidP="00DE496B">
      <w:pPr>
        <w:pStyle w:val="Heading3"/>
        <w:rPr>
          <w:rFonts w:cs="Arial"/>
        </w:rPr>
      </w:pPr>
      <w:bookmarkStart w:id="145" w:name="_Toc41905680"/>
      <w:r w:rsidRPr="002A75F2">
        <w:rPr>
          <w:rFonts w:cs="Arial"/>
        </w:rPr>
        <w:t>Site Investigation and Currency of Property Data</w:t>
      </w:r>
      <w:bookmarkEnd w:id="145"/>
      <w:r w:rsidRPr="002A75F2">
        <w:rPr>
          <w:rFonts w:cs="Arial"/>
        </w:rPr>
        <w:t xml:space="preserve"> </w:t>
      </w:r>
    </w:p>
    <w:p w14:paraId="37919003" w14:textId="3F31851C" w:rsidR="00A13503" w:rsidRPr="002A75F2" w:rsidRDefault="003F3C3D" w:rsidP="00D501F7">
      <w:pPr>
        <w:rPr>
          <w:rFonts w:cs="Arial"/>
        </w:rPr>
      </w:pPr>
      <w:r w:rsidRPr="002A75F2">
        <w:rPr>
          <w:rFonts w:cs="Arial"/>
        </w:rPr>
        <w:t xml:space="preserve">Property characterization data used in the assessment should reflect the most recent </w:t>
      </w:r>
      <w:r w:rsidR="001A12D1" w:rsidRPr="002A75F2">
        <w:rPr>
          <w:rFonts w:cs="Arial"/>
        </w:rPr>
        <w:t>site conditions</w:t>
      </w:r>
      <w:r w:rsidRPr="002A75F2">
        <w:rPr>
          <w:rFonts w:cs="Arial"/>
        </w:rPr>
        <w:t xml:space="preserve">. </w:t>
      </w:r>
      <w:r w:rsidR="00C923BE" w:rsidRPr="002A75F2">
        <w:rPr>
          <w:rFonts w:cs="Arial"/>
        </w:rPr>
        <w:t xml:space="preserve">This is to </w:t>
      </w:r>
      <w:r w:rsidR="007B5B4E" w:rsidRPr="002A75F2">
        <w:rPr>
          <w:rFonts w:cs="Arial"/>
        </w:rPr>
        <w:t>assist</w:t>
      </w:r>
      <w:r w:rsidR="00C923BE" w:rsidRPr="002A75F2">
        <w:rPr>
          <w:rFonts w:cs="Arial"/>
        </w:rPr>
        <w:t xml:space="preserve"> the QP</w:t>
      </w:r>
      <w:r w:rsidR="00C923BE" w:rsidRPr="002A75F2">
        <w:rPr>
          <w:rFonts w:cs="Arial"/>
          <w:vertAlign w:val="subscript"/>
        </w:rPr>
        <w:t>RA</w:t>
      </w:r>
      <w:r w:rsidR="00C923BE" w:rsidRPr="002A75F2">
        <w:rPr>
          <w:rFonts w:cs="Arial"/>
        </w:rPr>
        <w:t xml:space="preserve"> </w:t>
      </w:r>
      <w:r w:rsidR="007B5B4E" w:rsidRPr="002A75F2">
        <w:rPr>
          <w:rFonts w:cs="Arial"/>
        </w:rPr>
        <w:t>in ensuring that</w:t>
      </w:r>
      <w:r w:rsidR="00C923BE" w:rsidRPr="002A75F2">
        <w:rPr>
          <w:rFonts w:cs="Arial"/>
        </w:rPr>
        <w:t xml:space="preserve"> certified statements in the</w:t>
      </w:r>
      <w:r w:rsidR="007B5B4E" w:rsidRPr="002A75F2">
        <w:rPr>
          <w:rFonts w:cs="Arial"/>
        </w:rPr>
        <w:t xml:space="preserve"> </w:t>
      </w:r>
      <w:r w:rsidR="003A2390" w:rsidRPr="002A75F2">
        <w:rPr>
          <w:rFonts w:cs="Arial"/>
        </w:rPr>
        <w:t>RA</w:t>
      </w:r>
      <w:r w:rsidR="007B5B4E" w:rsidRPr="002A75F2">
        <w:rPr>
          <w:rFonts w:cs="Arial"/>
        </w:rPr>
        <w:t xml:space="preserve"> report relate</w:t>
      </w:r>
      <w:r w:rsidR="00C923BE" w:rsidRPr="002A75F2">
        <w:rPr>
          <w:rFonts w:cs="Arial"/>
        </w:rPr>
        <w:t xml:space="preserve"> to site conditions which are </w:t>
      </w:r>
      <w:r w:rsidR="007B5B4E" w:rsidRPr="002A75F2">
        <w:rPr>
          <w:rFonts w:cs="Arial"/>
        </w:rPr>
        <w:t xml:space="preserve">still </w:t>
      </w:r>
      <w:r w:rsidR="00C923BE" w:rsidRPr="002A75F2">
        <w:rPr>
          <w:rFonts w:cs="Arial"/>
        </w:rPr>
        <w:t>relevant at the time of signing the report.</w:t>
      </w:r>
    </w:p>
    <w:p w14:paraId="664E9249" w14:textId="5F58766D" w:rsidR="00E82773" w:rsidRPr="002A75F2" w:rsidRDefault="00D501F7" w:rsidP="00D501F7">
      <w:pPr>
        <w:rPr>
          <w:rFonts w:cs="Arial"/>
        </w:rPr>
      </w:pPr>
      <w:r w:rsidRPr="002A75F2">
        <w:rPr>
          <w:rFonts w:cs="Arial"/>
        </w:rPr>
        <w:t xml:space="preserve">Substantial time may elapse between an initial </w:t>
      </w:r>
      <w:r w:rsidR="00C6313D"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the initiation of the risk assessment and the submission of a</w:t>
      </w:r>
      <w:r w:rsidR="00957F70" w:rsidRPr="002A75F2">
        <w:rPr>
          <w:rFonts w:cs="Arial"/>
        </w:rPr>
        <w:t>n</w:t>
      </w:r>
      <w:r w:rsidRPr="002A75F2">
        <w:rPr>
          <w:rFonts w:cs="Arial"/>
        </w:rPr>
        <w:t xml:space="preserve"> RA report. </w:t>
      </w:r>
      <w:r w:rsidR="00A13503" w:rsidRPr="002A75F2">
        <w:rPr>
          <w:rFonts w:cs="Arial"/>
        </w:rPr>
        <w:t xml:space="preserve">The </w:t>
      </w:r>
      <w:r w:rsidR="00B24C01" w:rsidRPr="002A75F2">
        <w:rPr>
          <w:rFonts w:cs="Arial"/>
        </w:rPr>
        <w:t>risk assessment</w:t>
      </w:r>
      <w:r w:rsidR="00A13503" w:rsidRPr="002A75F2">
        <w:rPr>
          <w:rFonts w:cs="Arial"/>
        </w:rPr>
        <w:t xml:space="preserve"> </w:t>
      </w:r>
      <w:r w:rsidR="0011653B" w:rsidRPr="002A75F2">
        <w:rPr>
          <w:rFonts w:cs="Arial"/>
        </w:rPr>
        <w:t>t</w:t>
      </w:r>
      <w:r w:rsidR="00A13503" w:rsidRPr="002A75F2">
        <w:rPr>
          <w:rFonts w:cs="Arial"/>
        </w:rPr>
        <w:t xml:space="preserve">eam should satisfy themselves that </w:t>
      </w:r>
      <w:r w:rsidR="0014421F" w:rsidRPr="002A75F2">
        <w:rPr>
          <w:rFonts w:cs="Arial"/>
        </w:rPr>
        <w:t xml:space="preserve">the concentrations of the </w:t>
      </w:r>
      <w:r w:rsidR="00661AF9" w:rsidRPr="002A75F2">
        <w:rPr>
          <w:rFonts w:cs="Arial"/>
        </w:rPr>
        <w:t>COCs</w:t>
      </w:r>
      <w:r w:rsidR="00A13503" w:rsidRPr="002A75F2">
        <w:rPr>
          <w:rFonts w:cs="Arial"/>
        </w:rPr>
        <w:t xml:space="preserve"> </w:t>
      </w:r>
      <w:r w:rsidR="0014421F" w:rsidRPr="002A75F2">
        <w:rPr>
          <w:rFonts w:cs="Arial"/>
        </w:rPr>
        <w:t>at</w:t>
      </w:r>
      <w:r w:rsidR="00A13503" w:rsidRPr="002A75F2">
        <w:rPr>
          <w:rFonts w:cs="Arial"/>
        </w:rPr>
        <w:t xml:space="preserve"> the site and the problem formulation/hazard assessment </w:t>
      </w:r>
      <w:r w:rsidR="00CA458A" w:rsidRPr="002A75F2">
        <w:rPr>
          <w:rFonts w:cs="Arial"/>
        </w:rPr>
        <w:t xml:space="preserve">used in the risk assessment </w:t>
      </w:r>
      <w:r w:rsidR="0014421F" w:rsidRPr="002A75F2">
        <w:rPr>
          <w:rFonts w:cs="Arial"/>
        </w:rPr>
        <w:t xml:space="preserve">are </w:t>
      </w:r>
      <w:r w:rsidR="00CA458A" w:rsidRPr="002A75F2">
        <w:rPr>
          <w:rFonts w:cs="Arial"/>
        </w:rPr>
        <w:t>represent</w:t>
      </w:r>
      <w:r w:rsidR="0014421F" w:rsidRPr="002A75F2">
        <w:rPr>
          <w:rFonts w:cs="Arial"/>
        </w:rPr>
        <w:t>ative of</w:t>
      </w:r>
      <w:r w:rsidR="00CA458A" w:rsidRPr="002A75F2">
        <w:rPr>
          <w:rFonts w:cs="Arial"/>
        </w:rPr>
        <w:t xml:space="preserve"> site conditions </w:t>
      </w:r>
      <w:r w:rsidR="00F140AE" w:rsidRPr="002A75F2">
        <w:rPr>
          <w:rFonts w:cs="Arial"/>
        </w:rPr>
        <w:t xml:space="preserve">present at the time of the risk assessment and will support </w:t>
      </w:r>
      <w:r w:rsidR="008E4ABB" w:rsidRPr="002A75F2">
        <w:rPr>
          <w:rFonts w:cs="Arial"/>
        </w:rPr>
        <w:t xml:space="preserve">the </w:t>
      </w:r>
      <w:r w:rsidR="00F140AE" w:rsidRPr="002A75F2">
        <w:rPr>
          <w:rFonts w:cs="Arial"/>
        </w:rPr>
        <w:t xml:space="preserve">RSC </w:t>
      </w:r>
      <w:r w:rsidR="008E4ABB" w:rsidRPr="002A75F2">
        <w:rPr>
          <w:rFonts w:cs="Arial"/>
        </w:rPr>
        <w:t>submission</w:t>
      </w:r>
      <w:r w:rsidR="00CA458A" w:rsidRPr="002A75F2">
        <w:rPr>
          <w:rFonts w:cs="Arial"/>
        </w:rPr>
        <w:t xml:space="preserve">. </w:t>
      </w:r>
      <w:r w:rsidR="00941753" w:rsidRPr="002A75F2">
        <w:rPr>
          <w:rFonts w:cs="Arial"/>
        </w:rPr>
        <w:t xml:space="preserve">This may include consideration </w:t>
      </w:r>
      <w:r w:rsidR="008E4ABB" w:rsidRPr="002A75F2">
        <w:rPr>
          <w:rFonts w:cs="Arial"/>
        </w:rPr>
        <w:t>of</w:t>
      </w:r>
      <w:r w:rsidR="00941753" w:rsidRPr="002A75F2">
        <w:rPr>
          <w:rFonts w:cs="Arial"/>
        </w:rPr>
        <w:t xml:space="preserve"> any potential remediation that is expected to occur after the </w:t>
      </w:r>
      <w:r w:rsidR="006C4301" w:rsidRPr="002A75F2">
        <w:rPr>
          <w:rFonts w:cs="Arial"/>
        </w:rPr>
        <w:t>risk assessment</w:t>
      </w:r>
      <w:r w:rsidR="00941753" w:rsidRPr="002A75F2">
        <w:rPr>
          <w:rFonts w:cs="Arial"/>
        </w:rPr>
        <w:t xml:space="preserve"> has been init</w:t>
      </w:r>
      <w:r w:rsidR="00E07841" w:rsidRPr="002A75F2">
        <w:rPr>
          <w:rFonts w:cs="Arial"/>
        </w:rPr>
        <w:t>i</w:t>
      </w:r>
      <w:r w:rsidR="00941753" w:rsidRPr="002A75F2">
        <w:rPr>
          <w:rFonts w:cs="Arial"/>
        </w:rPr>
        <w:t xml:space="preserve">ated but before the RSC is </w:t>
      </w:r>
      <w:r w:rsidR="008E4ABB" w:rsidRPr="002A75F2">
        <w:rPr>
          <w:rFonts w:cs="Arial"/>
        </w:rPr>
        <w:t>submitted for filing</w:t>
      </w:r>
      <w:r w:rsidR="00941753" w:rsidRPr="002A75F2">
        <w:rPr>
          <w:rFonts w:cs="Arial"/>
        </w:rPr>
        <w:t xml:space="preserve"> (e.g. targeted soil removal).</w:t>
      </w:r>
    </w:p>
    <w:p w14:paraId="6F4EFA7F" w14:textId="65CA505E" w:rsidR="00FB0DBF" w:rsidRPr="002A75F2" w:rsidRDefault="00FB0DBF" w:rsidP="00FB0DBF">
      <w:pPr>
        <w:rPr>
          <w:rFonts w:cs="Arial"/>
        </w:rPr>
      </w:pPr>
      <w:r w:rsidRPr="002A75F2">
        <w:rPr>
          <w:rFonts w:cs="Arial"/>
        </w:rPr>
        <w:t>In general, information contained</w:t>
      </w:r>
      <w:r w:rsidRPr="000C60E1">
        <w:rPr>
          <w:rFonts w:cs="Arial"/>
        </w:rPr>
        <w:t xml:space="preserve"> in the risk assessment, including the description of site conditions, COC selection and ecotoxicity tests, should include or rely on measurements carried out within the two years prior to submission to the Ministry. Two years is proposed based on a typical period which may elapse between initiating a site assessment and submitting a risk assessment. If the phase two ESA includes older data or measurements (more than two years from risk assessment submission), the QP</w:t>
      </w:r>
      <w:r w:rsidRPr="000C60E1">
        <w:rPr>
          <w:rFonts w:cs="Arial"/>
          <w:vertAlign w:val="subscript"/>
        </w:rPr>
        <w:t>RA</w:t>
      </w:r>
      <w:r w:rsidRPr="000C60E1">
        <w:rPr>
          <w:rFonts w:cs="Arial"/>
        </w:rPr>
        <w:t xml:space="preserve"> and QP</w:t>
      </w:r>
      <w:r w:rsidRPr="000C60E1">
        <w:rPr>
          <w:rFonts w:cs="Arial"/>
          <w:vertAlign w:val="subscript"/>
        </w:rPr>
        <w:t>ESA</w:t>
      </w:r>
      <w:r w:rsidRPr="000C60E1">
        <w:rPr>
          <w:rFonts w:cs="Arial"/>
        </w:rPr>
        <w:t xml:space="preserve"> should assess the quality and relevance of the data and possibly confirm with more recent sampling any information which may have changed, potentially impacting the risk assessment outcome. The use of older data in the </w:t>
      </w:r>
      <w:r w:rsidR="006C4301" w:rsidRPr="000C60E1">
        <w:rPr>
          <w:rFonts w:cs="Arial"/>
        </w:rPr>
        <w:t>risk assessment</w:t>
      </w:r>
      <w:r w:rsidRPr="000C60E1">
        <w:rPr>
          <w:rFonts w:cs="Arial"/>
        </w:rPr>
        <w:t xml:space="preserve"> is ultimately left up to the judgment of the QPs, as two years may be sufficient or insufficient, depending on the contaminant, receptors and </w:t>
      </w:r>
      <w:r w:rsidRPr="000C60E1">
        <w:rPr>
          <w:rFonts w:cs="Arial"/>
        </w:rPr>
        <w:lastRenderedPageBreak/>
        <w:t xml:space="preserve">site </w:t>
      </w:r>
      <w:r w:rsidRPr="002A75F2">
        <w:rPr>
          <w:rFonts w:cs="Arial"/>
        </w:rPr>
        <w:t>circumstances.</w:t>
      </w:r>
      <w:r w:rsidR="00941753" w:rsidRPr="002A75F2">
        <w:rPr>
          <w:rFonts w:cs="Arial"/>
        </w:rPr>
        <w:t xml:space="preserve"> It is also important for QPs to account for temporal variability at their site and multiple sampling events over time </w:t>
      </w:r>
      <w:r w:rsidR="00467AB4" w:rsidRPr="002A75F2">
        <w:rPr>
          <w:rFonts w:cs="Arial"/>
        </w:rPr>
        <w:t xml:space="preserve">may be </w:t>
      </w:r>
      <w:r w:rsidR="00941753" w:rsidRPr="002A75F2">
        <w:rPr>
          <w:rFonts w:cs="Arial"/>
        </w:rPr>
        <w:t>needed to support the risk assessment.</w:t>
      </w:r>
    </w:p>
    <w:p w14:paraId="43ECBD44" w14:textId="77777777" w:rsidR="00FB0DBF" w:rsidRPr="002A75F2" w:rsidRDefault="00FB0DBF" w:rsidP="00FB0DBF">
      <w:pPr>
        <w:rPr>
          <w:rFonts w:cs="Arial"/>
        </w:rPr>
      </w:pPr>
      <w:r w:rsidRPr="002A75F2">
        <w:rPr>
          <w:rFonts w:cs="Arial"/>
        </w:rPr>
        <w:t>Additional characterization may be undertaken</w:t>
      </w:r>
      <w:r w:rsidRPr="000C60E1">
        <w:rPr>
          <w:rFonts w:cs="Arial"/>
        </w:rPr>
        <w:t xml:space="preserve">, such as collection of additional property or receptor characterization data, to reduce uncertainty in the overall risk assessment so that the </w:t>
      </w:r>
      <w:r w:rsidRPr="002A75F2">
        <w:rPr>
          <w:rFonts w:cs="Arial"/>
        </w:rPr>
        <w:t>risk assessment results will be useful for making meaningful risk management decisions.</w:t>
      </w:r>
    </w:p>
    <w:p w14:paraId="6C25BF87" w14:textId="1D7A17BE" w:rsidR="00522209" w:rsidRPr="002A75F2" w:rsidRDefault="003362C3" w:rsidP="00D501F7">
      <w:pPr>
        <w:rPr>
          <w:rFonts w:cs="Arial"/>
        </w:rPr>
      </w:pPr>
      <w:r w:rsidRPr="002A75F2">
        <w:rPr>
          <w:rFonts w:cs="Arial"/>
        </w:rPr>
        <w:t>In addition, the QP</w:t>
      </w:r>
      <w:r w:rsidRPr="002A75F2">
        <w:rPr>
          <w:rFonts w:cs="Arial"/>
          <w:vertAlign w:val="subscript"/>
        </w:rPr>
        <w:t>RA</w:t>
      </w:r>
      <w:r w:rsidRPr="002A75F2">
        <w:rPr>
          <w:rFonts w:cs="Arial"/>
        </w:rPr>
        <w:t xml:space="preserve"> and QP</w:t>
      </w:r>
      <w:r w:rsidRPr="002A75F2">
        <w:rPr>
          <w:rFonts w:cs="Arial"/>
          <w:vertAlign w:val="subscript"/>
        </w:rPr>
        <w:t>ESA</w:t>
      </w:r>
      <w:r w:rsidRPr="002A75F2">
        <w:rPr>
          <w:rFonts w:cs="Arial"/>
        </w:rPr>
        <w:t xml:space="preserve"> should be aware of the requirement</w:t>
      </w:r>
      <w:r w:rsidR="00E82773" w:rsidRPr="002A75F2">
        <w:rPr>
          <w:rFonts w:cs="Arial"/>
        </w:rPr>
        <w:t xml:space="preserve"> that the </w:t>
      </w:r>
      <w:r w:rsidR="00C6313D" w:rsidRPr="002A75F2">
        <w:rPr>
          <w:rFonts w:cs="Arial"/>
        </w:rPr>
        <w:t>p</w:t>
      </w:r>
      <w:r w:rsidR="00E82773" w:rsidRPr="002A75F2">
        <w:rPr>
          <w:rFonts w:cs="Arial"/>
        </w:rPr>
        <w:t xml:space="preserve">hase two ESA report be current (e.g. </w:t>
      </w:r>
      <w:r w:rsidR="00FA1A3C" w:rsidRPr="002A75F2">
        <w:rPr>
          <w:rFonts w:cs="Arial"/>
        </w:rPr>
        <w:t xml:space="preserve">the date the last work on all of the planning of the site investigation, conducting the site investigation and reviewing and evaluating the information gathered through the site investigation required for the phase two ESA is no later than 18 months before the </w:t>
      </w:r>
      <w:r w:rsidR="00E82773" w:rsidRPr="002A75F2">
        <w:rPr>
          <w:rFonts w:cs="Arial"/>
        </w:rPr>
        <w:t xml:space="preserve">commencement of the </w:t>
      </w:r>
      <w:r w:rsidR="00D4507B" w:rsidRPr="002A75F2">
        <w:rPr>
          <w:rFonts w:cs="Arial"/>
        </w:rPr>
        <w:t>risk assessment</w:t>
      </w:r>
      <w:r w:rsidR="00E82773" w:rsidRPr="002A75F2">
        <w:rPr>
          <w:rFonts w:cs="Arial"/>
        </w:rPr>
        <w:t xml:space="preserve">). </w:t>
      </w:r>
      <w:r w:rsidR="00522209" w:rsidRPr="002A75F2">
        <w:rPr>
          <w:rFonts w:cs="Arial"/>
        </w:rPr>
        <w:t xml:space="preserve">The Regulation includes requirements regarding currency of the </w:t>
      </w:r>
      <w:r w:rsidR="00C6313D" w:rsidRPr="002A75F2">
        <w:rPr>
          <w:rFonts w:cs="Arial"/>
        </w:rPr>
        <w:t>p</w:t>
      </w:r>
      <w:r w:rsidR="00522209" w:rsidRPr="002A75F2">
        <w:rPr>
          <w:rFonts w:cs="Arial"/>
        </w:rPr>
        <w:t xml:space="preserve">hase two ESA report when commencing </w:t>
      </w:r>
      <w:r w:rsidR="00F5522B" w:rsidRPr="002A75F2">
        <w:rPr>
          <w:rFonts w:cs="Arial"/>
        </w:rPr>
        <w:t xml:space="preserve">a risk assessment </w:t>
      </w:r>
      <w:r w:rsidR="00522209" w:rsidRPr="002A75F2">
        <w:rPr>
          <w:rFonts w:cs="Arial"/>
        </w:rPr>
        <w:t xml:space="preserve">and when </w:t>
      </w:r>
      <w:r w:rsidR="00E24D06" w:rsidRPr="002A75F2">
        <w:rPr>
          <w:rFonts w:cs="Arial"/>
        </w:rPr>
        <w:t>submitting</w:t>
      </w:r>
      <w:r w:rsidR="00522209" w:rsidRPr="002A75F2">
        <w:rPr>
          <w:rFonts w:cs="Arial"/>
        </w:rPr>
        <w:t xml:space="preserve"> an RSC, specifically refer to:</w:t>
      </w:r>
    </w:p>
    <w:p w14:paraId="7F319879" w14:textId="77777777" w:rsidR="003362C3" w:rsidRPr="002A75F2" w:rsidRDefault="001C1D66" w:rsidP="00A47B50">
      <w:pPr>
        <w:numPr>
          <w:ilvl w:val="0"/>
          <w:numId w:val="22"/>
        </w:numPr>
        <w:shd w:val="clear" w:color="auto" w:fill="D9D9D9"/>
        <w:rPr>
          <w:rFonts w:cs="Arial"/>
        </w:rPr>
      </w:pPr>
      <w:r w:rsidRPr="002A75F2">
        <w:rPr>
          <w:rFonts w:cs="Arial"/>
        </w:rPr>
        <w:t>S</w:t>
      </w:r>
      <w:r w:rsidR="00E82773" w:rsidRPr="002A75F2">
        <w:rPr>
          <w:rFonts w:cs="Arial"/>
        </w:rPr>
        <w:t xml:space="preserve">ection </w:t>
      </w:r>
      <w:r w:rsidR="003362C3" w:rsidRPr="002A75F2">
        <w:rPr>
          <w:rFonts w:cs="Arial"/>
        </w:rPr>
        <w:t xml:space="preserve">33.5 of the Regulation </w:t>
      </w:r>
      <w:r w:rsidR="00BC4FAD" w:rsidRPr="002A75F2">
        <w:rPr>
          <w:rFonts w:cs="Arial"/>
        </w:rPr>
        <w:t>(Requirements re phase two site assessment report</w:t>
      </w:r>
      <w:r w:rsidR="00A153FF" w:rsidRPr="002A75F2">
        <w:rPr>
          <w:rFonts w:cs="Arial"/>
        </w:rPr>
        <w:t>)</w:t>
      </w:r>
    </w:p>
    <w:p w14:paraId="2CB352AB" w14:textId="289333F8" w:rsidR="00A05338" w:rsidRPr="000C60E1" w:rsidRDefault="00A05338" w:rsidP="00D501F7">
      <w:pPr>
        <w:rPr>
          <w:rFonts w:cs="Arial"/>
        </w:rPr>
      </w:pPr>
      <w:r w:rsidRPr="002A75F2">
        <w:rPr>
          <w:rFonts w:cs="Arial"/>
        </w:rPr>
        <w:t>The commencement date of the risk assessment is when the PSF is submitted to the Ministry for review.</w:t>
      </w:r>
      <w:r w:rsidR="008A55C4" w:rsidRPr="002A75F2">
        <w:rPr>
          <w:rFonts w:cs="Arial"/>
        </w:rPr>
        <w:t xml:space="preserve"> </w:t>
      </w:r>
      <w:r w:rsidRPr="002A75F2">
        <w:rPr>
          <w:rFonts w:cs="Arial"/>
        </w:rPr>
        <w:t xml:space="preserve">It is not uncommon for the date of last work (on components of the phase one ESA or phase two ESA) to be greater than 18 months by the time a risk assessment is accepted by the Director. Before the RSC can be submitted for filing, both the phase one and phase two ESA reports must be updated. Updates to the phase one ESA and phase two ESA reports are expected to be prepared as standalone addendums that address the requirements identified in the Regulation and identified as an “update” in the list of reports used in submission </w:t>
      </w:r>
      <w:r w:rsidR="000C7107" w:rsidRPr="002A75F2">
        <w:rPr>
          <w:rFonts w:cs="Arial"/>
        </w:rPr>
        <w:t xml:space="preserve">of an RSC for </w:t>
      </w:r>
      <w:r w:rsidRPr="002A75F2">
        <w:rPr>
          <w:rFonts w:cs="Arial"/>
        </w:rPr>
        <w:t xml:space="preserve">filing in the </w:t>
      </w:r>
      <w:r w:rsidR="003D721B" w:rsidRPr="002A75F2">
        <w:rPr>
          <w:rFonts w:cs="Arial"/>
        </w:rPr>
        <w:t xml:space="preserve">Environmental Site </w:t>
      </w:r>
      <w:r w:rsidRPr="002A75F2">
        <w:rPr>
          <w:rFonts w:cs="Arial"/>
        </w:rPr>
        <w:t>Registry.</w:t>
      </w:r>
    </w:p>
    <w:p w14:paraId="76773592" w14:textId="77777777" w:rsidR="00434B51" w:rsidRPr="000C60E1" w:rsidRDefault="00434B51" w:rsidP="00434B51">
      <w:pPr>
        <w:rPr>
          <w:rFonts w:cs="Arial"/>
        </w:rPr>
      </w:pPr>
    </w:p>
    <w:p w14:paraId="564F1EDE" w14:textId="77777777" w:rsidR="00434B51" w:rsidRPr="000C60E1" w:rsidRDefault="00434B51" w:rsidP="00434B51">
      <w:pPr>
        <w:pStyle w:val="Heading1"/>
      </w:pPr>
      <w:bookmarkStart w:id="146" w:name="_SECTION_3:_GENERAL_RISK_ASSESSMENT_"/>
      <w:bookmarkStart w:id="147" w:name="_Toc79571582"/>
      <w:bookmarkStart w:id="148" w:name="_Toc41905681"/>
      <w:bookmarkStart w:id="149" w:name="_Toc91393545"/>
      <w:bookmarkStart w:id="150" w:name="_Toc112727406"/>
      <w:bookmarkEnd w:id="146"/>
      <w:r w:rsidRPr="000C60E1">
        <w:lastRenderedPageBreak/>
        <w:t>General Guidance</w:t>
      </w:r>
      <w:bookmarkEnd w:id="147"/>
      <w:r w:rsidRPr="000C60E1">
        <w:t xml:space="preserve"> for Conducting Risk Assessments</w:t>
      </w:r>
      <w:bookmarkEnd w:id="148"/>
      <w:r w:rsidRPr="000C60E1">
        <w:t xml:space="preserve"> </w:t>
      </w:r>
      <w:bookmarkEnd w:id="149"/>
      <w:bookmarkEnd w:id="150"/>
    </w:p>
    <w:p w14:paraId="34601C2A" w14:textId="00556714" w:rsidR="00434B51" w:rsidRPr="002A75F2" w:rsidRDefault="00434B51" w:rsidP="00434B51">
      <w:pPr>
        <w:rPr>
          <w:rFonts w:cs="Arial"/>
        </w:rPr>
      </w:pPr>
      <w:r w:rsidRPr="000C60E1">
        <w:rPr>
          <w:rFonts w:cs="Arial"/>
        </w:rPr>
        <w:t xml:space="preserve">Depending on the </w:t>
      </w:r>
      <w:r w:rsidRPr="002A75F2">
        <w:rPr>
          <w:rFonts w:cs="Arial"/>
        </w:rPr>
        <w:t xml:space="preserve">required scope of the risk assessment, the various components set out in Schedule C of the Regulation may be conducted in a qualitative or quantitative manner. However, the Regulation requires that a property specific standard be proposed for each COC </w:t>
      </w:r>
      <w:r w:rsidR="000C7107" w:rsidRPr="002A75F2">
        <w:rPr>
          <w:rFonts w:cs="Arial"/>
        </w:rPr>
        <w:t>identified in the RA report</w:t>
      </w:r>
      <w:r w:rsidRPr="002A75F2">
        <w:rPr>
          <w:rFonts w:cs="Arial"/>
        </w:rPr>
        <w:t>.</w:t>
      </w:r>
    </w:p>
    <w:p w14:paraId="66255837" w14:textId="7D6F6B59" w:rsidR="00434B51" w:rsidRPr="000C60E1" w:rsidRDefault="00434B51" w:rsidP="00434B51">
      <w:pPr>
        <w:rPr>
          <w:rFonts w:cs="Arial"/>
        </w:rPr>
      </w:pPr>
      <w:r w:rsidRPr="002A75F2">
        <w:rPr>
          <w:rFonts w:cs="Arial"/>
        </w:rPr>
        <w:t xml:space="preserve">Section </w:t>
      </w:r>
      <w:r w:rsidR="00E07B06" w:rsidRPr="002A75F2">
        <w:rPr>
          <w:rFonts w:cs="Arial"/>
        </w:rPr>
        <w:t>5</w:t>
      </w:r>
      <w:r w:rsidRPr="002A75F2">
        <w:rPr>
          <w:rFonts w:cs="Arial"/>
        </w:rPr>
        <w:t xml:space="preserve"> of this Procedures document</w:t>
      </w:r>
      <w:r w:rsidRPr="000C60E1">
        <w:rPr>
          <w:rFonts w:cs="Arial"/>
        </w:rPr>
        <w:t xml:space="preserve"> describes the risk assessment procedures common to </w:t>
      </w:r>
      <w:r w:rsidR="00B33B57" w:rsidRPr="000C60E1">
        <w:rPr>
          <w:rFonts w:cs="Arial"/>
        </w:rPr>
        <w:t xml:space="preserve">the </w:t>
      </w:r>
      <w:r w:rsidRPr="000C60E1">
        <w:rPr>
          <w:rFonts w:cs="Arial"/>
        </w:rPr>
        <w:t>HHRA and ERA, while Sections 6 and 7 describe procedures specific to HHRA and ERA, respectively. Section 9 describes alternative procedures that may be used for risk assessment under certain specified conditions.</w:t>
      </w:r>
      <w:bookmarkStart w:id="151" w:name="_Toc74119391"/>
      <w:bookmarkStart w:id="152" w:name="_Toc74450886"/>
      <w:bookmarkStart w:id="153" w:name="_Toc78162200"/>
    </w:p>
    <w:p w14:paraId="41B61178" w14:textId="77777777" w:rsidR="00434B51" w:rsidRPr="000C60E1" w:rsidRDefault="00434B51" w:rsidP="00434B51">
      <w:pPr>
        <w:pStyle w:val="Heading2"/>
        <w:rPr>
          <w:rFonts w:cs="Arial"/>
        </w:rPr>
      </w:pPr>
      <w:bookmarkStart w:id="154" w:name="_Toc91393546"/>
      <w:bookmarkStart w:id="155" w:name="_Toc112727407"/>
      <w:bookmarkStart w:id="156" w:name="_Toc41905682"/>
      <w:r w:rsidRPr="000C60E1">
        <w:rPr>
          <w:rFonts w:cs="Arial"/>
        </w:rPr>
        <w:t>Principal Elements of</w:t>
      </w:r>
      <w:bookmarkEnd w:id="151"/>
      <w:bookmarkEnd w:id="152"/>
      <w:bookmarkEnd w:id="153"/>
      <w:r w:rsidRPr="000C60E1">
        <w:rPr>
          <w:rFonts w:cs="Arial"/>
        </w:rPr>
        <w:t xml:space="preserve"> Risk Assessment (HHRA and ERA)</w:t>
      </w:r>
      <w:bookmarkEnd w:id="154"/>
      <w:bookmarkEnd w:id="155"/>
      <w:bookmarkEnd w:id="156"/>
    </w:p>
    <w:p w14:paraId="00C8FA1F" w14:textId="77777777" w:rsidR="00434B51" w:rsidRPr="000C60E1" w:rsidRDefault="00434B51" w:rsidP="00434B51">
      <w:pPr>
        <w:rPr>
          <w:rFonts w:cs="Arial"/>
          <w:highlight w:val="white"/>
        </w:rPr>
      </w:pPr>
      <w:r w:rsidRPr="000C60E1">
        <w:rPr>
          <w:rFonts w:cs="Arial"/>
          <w:highlight w:val="white"/>
        </w:rPr>
        <w:t>All risk assessments must include each of the following four elements for both HHRA and ERA:</w:t>
      </w:r>
    </w:p>
    <w:p w14:paraId="39301C5A" w14:textId="77777777" w:rsidR="00434B51" w:rsidRPr="000C60E1" w:rsidRDefault="00434B51" w:rsidP="000E72E5">
      <w:pPr>
        <w:pStyle w:val="ListBullet2"/>
        <w:rPr>
          <w:rFonts w:cs="Arial"/>
          <w:highlight w:val="white"/>
        </w:rPr>
      </w:pPr>
      <w:r w:rsidRPr="000C60E1">
        <w:rPr>
          <w:rFonts w:cs="Arial"/>
          <w:highlight w:val="white"/>
        </w:rPr>
        <w:t>Problem Formulation/Hazard Identification/Receptor Characterization,</w:t>
      </w:r>
    </w:p>
    <w:p w14:paraId="05BC7F2B" w14:textId="77777777" w:rsidR="00434B51" w:rsidRPr="000C60E1" w:rsidRDefault="00434B51" w:rsidP="000E72E5">
      <w:pPr>
        <w:pStyle w:val="ListBullet2"/>
        <w:rPr>
          <w:rFonts w:cs="Arial"/>
          <w:highlight w:val="white"/>
        </w:rPr>
      </w:pPr>
      <w:r w:rsidRPr="000C60E1">
        <w:rPr>
          <w:rFonts w:cs="Arial"/>
          <w:highlight w:val="white"/>
        </w:rPr>
        <w:t>Exposure Assessment,</w:t>
      </w:r>
    </w:p>
    <w:p w14:paraId="2B6744BA" w14:textId="77777777" w:rsidR="00434B51" w:rsidRPr="000C60E1" w:rsidRDefault="00434B51" w:rsidP="000E72E5">
      <w:pPr>
        <w:pStyle w:val="ListBullet2"/>
        <w:rPr>
          <w:rFonts w:cs="Arial"/>
          <w:highlight w:val="white"/>
        </w:rPr>
      </w:pPr>
      <w:r w:rsidRPr="000C60E1">
        <w:rPr>
          <w:rFonts w:cs="Arial"/>
          <w:highlight w:val="white"/>
        </w:rPr>
        <w:t>Toxicity/Hazard Assessment for contaminants with complete exposure pathways, and</w:t>
      </w:r>
    </w:p>
    <w:p w14:paraId="33C45E93" w14:textId="77777777" w:rsidR="00434B51" w:rsidRPr="000C60E1" w:rsidRDefault="00434B51" w:rsidP="000E72E5">
      <w:pPr>
        <w:pStyle w:val="ListBullet2"/>
        <w:rPr>
          <w:rFonts w:cs="Arial"/>
        </w:rPr>
      </w:pPr>
      <w:r w:rsidRPr="000C60E1">
        <w:rPr>
          <w:rFonts w:cs="Arial"/>
        </w:rPr>
        <w:t>Risk Characterization.</w:t>
      </w:r>
    </w:p>
    <w:p w14:paraId="0F6D006D" w14:textId="36762952" w:rsidR="00434B51" w:rsidRPr="000C60E1" w:rsidRDefault="00434B51" w:rsidP="00434B51">
      <w:pPr>
        <w:rPr>
          <w:rFonts w:cs="Arial"/>
        </w:rPr>
      </w:pPr>
      <w:r w:rsidRPr="000C60E1">
        <w:rPr>
          <w:rFonts w:cs="Arial"/>
        </w:rPr>
        <w:t>Requirements of both HHRA and ERA are described in the Regulation. Guidance for the four basic elements will be discussed in detail in subsequent sections. Depending on the objective of the risk assessment, individual elements may be conducted in a qualitative or quantitative manner.</w:t>
      </w:r>
    </w:p>
    <w:p w14:paraId="63B612F6" w14:textId="77777777" w:rsidR="00434B51" w:rsidRPr="000C60E1" w:rsidRDefault="00434B51" w:rsidP="00434B51">
      <w:pPr>
        <w:pStyle w:val="Heading2"/>
        <w:rPr>
          <w:rFonts w:cs="Arial"/>
        </w:rPr>
      </w:pPr>
      <w:bookmarkStart w:id="157" w:name="_3.1.1_Risk_Assessment_Objectives"/>
      <w:bookmarkStart w:id="158" w:name="_Toc91393548"/>
      <w:bookmarkStart w:id="159" w:name="_Toc112727408"/>
      <w:bookmarkStart w:id="160" w:name="_Toc41905683"/>
      <w:bookmarkEnd w:id="157"/>
      <w:r w:rsidRPr="000C60E1">
        <w:rPr>
          <w:rFonts w:cs="Arial"/>
        </w:rPr>
        <w:t>Risk Assessment Objectives</w:t>
      </w:r>
      <w:bookmarkEnd w:id="158"/>
      <w:bookmarkEnd w:id="159"/>
      <w:bookmarkEnd w:id="160"/>
    </w:p>
    <w:p w14:paraId="5B025E80" w14:textId="6C22C20D" w:rsidR="00434B51" w:rsidRPr="002A75F2" w:rsidRDefault="00434B51" w:rsidP="00434B51">
      <w:pPr>
        <w:rPr>
          <w:rFonts w:cs="Arial"/>
        </w:rPr>
      </w:pPr>
      <w:r w:rsidRPr="000C60E1">
        <w:rPr>
          <w:rFonts w:cs="Arial"/>
          <w:highlight w:val="white"/>
        </w:rPr>
        <w:t>For each of the HHRA and the ERA, the QP</w:t>
      </w:r>
      <w:r w:rsidRPr="000C60E1">
        <w:rPr>
          <w:rFonts w:cs="Arial"/>
          <w:highlight w:val="white"/>
          <w:vertAlign w:val="subscript"/>
        </w:rPr>
        <w:t>RA</w:t>
      </w:r>
      <w:r w:rsidRPr="000C60E1">
        <w:rPr>
          <w:rFonts w:cs="Arial"/>
          <w:highlight w:val="white"/>
        </w:rPr>
        <w:t xml:space="preserve"> must provide a statement of the objective of the risk assessment. The risk assessment objectives determine the most appropriate procedures to follow in undertaking the risk assessment, the necessary data quality to meet the objectives and whether </w:t>
      </w:r>
      <w:r w:rsidRPr="002A75F2">
        <w:rPr>
          <w:rFonts w:cs="Arial"/>
        </w:rPr>
        <w:t>uncertainty in site</w:t>
      </w:r>
      <w:r w:rsidR="00E07B06" w:rsidRPr="002A75F2">
        <w:rPr>
          <w:rFonts w:cs="Arial"/>
        </w:rPr>
        <w:t>-</w:t>
      </w:r>
      <w:r w:rsidRPr="002A75F2">
        <w:rPr>
          <w:rFonts w:cs="Arial"/>
        </w:rPr>
        <w:t>specific property knowledge could prevent the risk assessment from meeting the objectives.</w:t>
      </w:r>
    </w:p>
    <w:p w14:paraId="04F04D5D" w14:textId="77777777" w:rsidR="00434B51" w:rsidRPr="000C60E1" w:rsidRDefault="00434B51" w:rsidP="00434B51">
      <w:pPr>
        <w:rPr>
          <w:rFonts w:cs="Arial"/>
          <w:highlight w:val="white"/>
        </w:rPr>
      </w:pPr>
      <w:r w:rsidRPr="002A75F2">
        <w:rPr>
          <w:rFonts w:cs="Arial"/>
        </w:rPr>
        <w:t xml:space="preserve">A statement of the objective of the risk assessment includes, but is not limited to, identifying the proposed use of the RA property, the receptors and exposure pathways to be assessed and choosing from one or several of the following </w:t>
      </w:r>
      <w:r w:rsidRPr="000C60E1">
        <w:rPr>
          <w:rFonts w:cs="Arial"/>
          <w:highlight w:val="white"/>
        </w:rPr>
        <w:t>approaches:</w:t>
      </w:r>
    </w:p>
    <w:p w14:paraId="11D49BBD" w14:textId="77777777" w:rsidR="00434B51" w:rsidRPr="000C60E1" w:rsidRDefault="00434B51" w:rsidP="000E72E5">
      <w:pPr>
        <w:pStyle w:val="ListBullet2"/>
        <w:rPr>
          <w:rFonts w:cs="Arial"/>
          <w:highlight w:val="white"/>
        </w:rPr>
      </w:pPr>
      <w:r w:rsidRPr="000C60E1">
        <w:rPr>
          <w:rFonts w:cs="Arial"/>
          <w:highlight w:val="white"/>
        </w:rPr>
        <w:t>conducting a quantitative risk assessment for the purpose of calculating property specific standards;</w:t>
      </w:r>
    </w:p>
    <w:p w14:paraId="246768EB" w14:textId="77777777" w:rsidR="00434B51" w:rsidRPr="000C60E1" w:rsidRDefault="00434B51" w:rsidP="000E72E5">
      <w:pPr>
        <w:pStyle w:val="ListBullet2"/>
        <w:rPr>
          <w:rFonts w:cs="Arial"/>
          <w:highlight w:val="white"/>
        </w:rPr>
      </w:pPr>
      <w:r w:rsidRPr="000C60E1">
        <w:rPr>
          <w:rFonts w:cs="Arial"/>
          <w:highlight w:val="white"/>
        </w:rPr>
        <w:t xml:space="preserve">conducting a qualitative risk assessment for the purpose of justifying the use of existing standard values (Ministry site condition standards, Ministry component values or standards from other jurisdictions) when developing property specific standards; </w:t>
      </w:r>
    </w:p>
    <w:p w14:paraId="2E30CF3F" w14:textId="77777777" w:rsidR="00434B51" w:rsidRPr="000C60E1" w:rsidRDefault="00434B51" w:rsidP="000E72E5">
      <w:pPr>
        <w:pStyle w:val="ListBullet2"/>
        <w:rPr>
          <w:rFonts w:cs="Arial"/>
          <w:highlight w:val="white"/>
        </w:rPr>
      </w:pPr>
      <w:r w:rsidRPr="000C60E1">
        <w:rPr>
          <w:rFonts w:cs="Arial"/>
          <w:highlight w:val="white"/>
        </w:rPr>
        <w:lastRenderedPageBreak/>
        <w:t>using the standard risk assessment procedures (as described in Sections 6 and 7 of this Procedures document), and/or</w:t>
      </w:r>
    </w:p>
    <w:p w14:paraId="218B6F7E" w14:textId="458C4E43" w:rsidR="00434B51" w:rsidRPr="000C60E1" w:rsidRDefault="00434B51" w:rsidP="000E72E5">
      <w:pPr>
        <w:pStyle w:val="ListBullet2"/>
        <w:rPr>
          <w:rFonts w:cs="Arial"/>
          <w:highlight w:val="white"/>
        </w:rPr>
      </w:pPr>
      <w:r w:rsidRPr="000C60E1">
        <w:rPr>
          <w:rFonts w:cs="Arial"/>
          <w:highlight w:val="white"/>
        </w:rPr>
        <w:t>using one of the alternative risk assessment procedures (as described in Section 9 of this Procedures document). Alternative risk assessment procedures include:</w:t>
      </w:r>
    </w:p>
    <w:p w14:paraId="7D40F2D0" w14:textId="5DE9F992" w:rsidR="00434B51" w:rsidRPr="000C60E1" w:rsidRDefault="00434B51" w:rsidP="00434B51">
      <w:pPr>
        <w:pStyle w:val="ListBullet3"/>
        <w:rPr>
          <w:rFonts w:cs="Arial"/>
          <w:highlight w:val="white"/>
        </w:rPr>
      </w:pPr>
      <w:r w:rsidRPr="000C60E1">
        <w:rPr>
          <w:rFonts w:cs="Arial"/>
          <w:highlight w:val="white"/>
        </w:rPr>
        <w:t xml:space="preserve">Limited </w:t>
      </w:r>
      <w:r w:rsidR="00BC4160" w:rsidRPr="000C60E1">
        <w:rPr>
          <w:rFonts w:cs="Arial"/>
          <w:highlight w:val="white"/>
        </w:rPr>
        <w:t>s</w:t>
      </w:r>
      <w:r w:rsidRPr="000C60E1">
        <w:rPr>
          <w:rFonts w:cs="Arial"/>
          <w:highlight w:val="white"/>
        </w:rPr>
        <w:t xml:space="preserve">cope </w:t>
      </w:r>
      <w:r w:rsidR="00BC4160" w:rsidRPr="000C60E1">
        <w:rPr>
          <w:rFonts w:cs="Arial"/>
          <w:highlight w:val="white"/>
        </w:rPr>
        <w:t>r</w:t>
      </w:r>
      <w:r w:rsidRPr="000C60E1">
        <w:rPr>
          <w:rFonts w:cs="Arial"/>
          <w:highlight w:val="white"/>
        </w:rPr>
        <w:t xml:space="preserve">isk </w:t>
      </w:r>
      <w:r w:rsidR="00BC4160" w:rsidRPr="000C60E1">
        <w:rPr>
          <w:rFonts w:cs="Arial"/>
          <w:highlight w:val="white"/>
        </w:rPr>
        <w:t>a</w:t>
      </w:r>
      <w:r w:rsidRPr="000C60E1">
        <w:rPr>
          <w:rFonts w:cs="Arial"/>
          <w:highlight w:val="white"/>
        </w:rPr>
        <w:t>ssessment, including MGRA and Risk Assessment Based on a Community Assessment Report;</w:t>
      </w:r>
    </w:p>
    <w:p w14:paraId="3FAFFEB0" w14:textId="79DF422F" w:rsidR="00434B51" w:rsidRPr="000C60E1" w:rsidRDefault="00434B51" w:rsidP="00434B51">
      <w:pPr>
        <w:pStyle w:val="ListBullet3"/>
        <w:rPr>
          <w:rFonts w:cs="Arial"/>
          <w:highlight w:val="white"/>
        </w:rPr>
      </w:pPr>
      <w:r w:rsidRPr="000C60E1">
        <w:rPr>
          <w:rFonts w:cs="Arial"/>
          <w:highlight w:val="white"/>
        </w:rPr>
        <w:t xml:space="preserve">Estimation of </w:t>
      </w:r>
      <w:r w:rsidR="00BC4160" w:rsidRPr="000C60E1">
        <w:rPr>
          <w:rFonts w:cs="Arial"/>
          <w:highlight w:val="white"/>
        </w:rPr>
        <w:t>n</w:t>
      </w:r>
      <w:r w:rsidRPr="000C60E1">
        <w:rPr>
          <w:rFonts w:cs="Arial"/>
          <w:highlight w:val="white"/>
        </w:rPr>
        <w:t xml:space="preserve">atural </w:t>
      </w:r>
      <w:r w:rsidR="00BC4160" w:rsidRPr="000C60E1">
        <w:rPr>
          <w:rFonts w:cs="Arial"/>
          <w:highlight w:val="white"/>
        </w:rPr>
        <w:t>l</w:t>
      </w:r>
      <w:r w:rsidRPr="000C60E1">
        <w:rPr>
          <w:rFonts w:cs="Arial"/>
          <w:highlight w:val="white"/>
        </w:rPr>
        <w:t xml:space="preserve">ocal </w:t>
      </w:r>
      <w:r w:rsidR="00BC4160" w:rsidRPr="000C60E1">
        <w:rPr>
          <w:rFonts w:cs="Arial"/>
          <w:highlight w:val="white"/>
        </w:rPr>
        <w:t>b</w:t>
      </w:r>
      <w:r w:rsidRPr="000C60E1">
        <w:rPr>
          <w:rFonts w:cs="Arial"/>
          <w:highlight w:val="white"/>
        </w:rPr>
        <w:t xml:space="preserve">ackground </w:t>
      </w:r>
      <w:r w:rsidR="00BC4160" w:rsidRPr="000C60E1">
        <w:rPr>
          <w:rFonts w:cs="Arial"/>
          <w:highlight w:val="white"/>
        </w:rPr>
        <w:t>c</w:t>
      </w:r>
      <w:r w:rsidRPr="000C60E1">
        <w:rPr>
          <w:rFonts w:cs="Arial"/>
          <w:highlight w:val="white"/>
        </w:rPr>
        <w:t>oncentrations</w:t>
      </w:r>
      <w:r w:rsidR="00BC4160" w:rsidRPr="000C60E1">
        <w:rPr>
          <w:rFonts w:cs="Arial"/>
          <w:highlight w:val="white"/>
        </w:rPr>
        <w:t xml:space="preserve"> risk assessment</w:t>
      </w:r>
      <w:r w:rsidRPr="000C60E1">
        <w:rPr>
          <w:rFonts w:cs="Arial"/>
          <w:highlight w:val="white"/>
        </w:rPr>
        <w:t xml:space="preserve">; </w:t>
      </w:r>
    </w:p>
    <w:p w14:paraId="5DCA79C8" w14:textId="2F3FED08" w:rsidR="00434B51" w:rsidRPr="002A75F2" w:rsidRDefault="00434B51" w:rsidP="00434B51">
      <w:pPr>
        <w:pStyle w:val="ListBullet3"/>
        <w:rPr>
          <w:rFonts w:cs="Arial"/>
        </w:rPr>
      </w:pPr>
      <w:r w:rsidRPr="000C60E1">
        <w:rPr>
          <w:rFonts w:cs="Arial"/>
          <w:highlight w:val="white"/>
        </w:rPr>
        <w:t xml:space="preserve">New </w:t>
      </w:r>
      <w:r w:rsidR="00BC4160" w:rsidRPr="002A75F2">
        <w:rPr>
          <w:rFonts w:cs="Arial"/>
        </w:rPr>
        <w:t>s</w:t>
      </w:r>
      <w:r w:rsidRPr="002A75F2">
        <w:rPr>
          <w:rFonts w:cs="Arial"/>
        </w:rPr>
        <w:t xml:space="preserve">cience </w:t>
      </w:r>
      <w:r w:rsidR="00BC4160" w:rsidRPr="002A75F2">
        <w:rPr>
          <w:rFonts w:cs="Arial"/>
        </w:rPr>
        <w:t>r</w:t>
      </w:r>
      <w:r w:rsidRPr="002A75F2">
        <w:rPr>
          <w:rFonts w:cs="Arial"/>
        </w:rPr>
        <w:t xml:space="preserve">isk </w:t>
      </w:r>
      <w:r w:rsidR="00BC4160" w:rsidRPr="002A75F2">
        <w:rPr>
          <w:rFonts w:cs="Arial"/>
        </w:rPr>
        <w:t>a</w:t>
      </w:r>
      <w:r w:rsidRPr="002A75F2">
        <w:rPr>
          <w:rFonts w:cs="Arial"/>
        </w:rPr>
        <w:t>ssessment; and</w:t>
      </w:r>
    </w:p>
    <w:p w14:paraId="3BAED150" w14:textId="2539CE75" w:rsidR="00434B51" w:rsidRPr="002A75F2" w:rsidRDefault="00434B51" w:rsidP="00434B51">
      <w:pPr>
        <w:pStyle w:val="ListBullet3"/>
        <w:rPr>
          <w:rFonts w:cs="Arial"/>
        </w:rPr>
      </w:pPr>
      <w:r w:rsidRPr="002A75F2">
        <w:rPr>
          <w:rFonts w:cs="Arial"/>
        </w:rPr>
        <w:t xml:space="preserve">Wider </w:t>
      </w:r>
      <w:r w:rsidR="00BC4160" w:rsidRPr="002A75F2">
        <w:rPr>
          <w:rFonts w:cs="Arial"/>
        </w:rPr>
        <w:t>a</w:t>
      </w:r>
      <w:r w:rsidRPr="002A75F2">
        <w:rPr>
          <w:rFonts w:cs="Arial"/>
        </w:rPr>
        <w:t xml:space="preserve">rea of </w:t>
      </w:r>
      <w:r w:rsidR="00BC4160" w:rsidRPr="002A75F2">
        <w:rPr>
          <w:rFonts w:cs="Arial"/>
        </w:rPr>
        <w:t>a</w:t>
      </w:r>
      <w:r w:rsidRPr="002A75F2">
        <w:rPr>
          <w:rFonts w:cs="Arial"/>
        </w:rPr>
        <w:t xml:space="preserve">batement </w:t>
      </w:r>
      <w:r w:rsidR="00BC4160" w:rsidRPr="002A75F2">
        <w:rPr>
          <w:rFonts w:cs="Arial"/>
        </w:rPr>
        <w:t>r</w:t>
      </w:r>
      <w:r w:rsidRPr="002A75F2">
        <w:rPr>
          <w:rFonts w:cs="Arial"/>
        </w:rPr>
        <w:t xml:space="preserve">isk </w:t>
      </w:r>
      <w:r w:rsidR="00BC4160" w:rsidRPr="002A75F2">
        <w:rPr>
          <w:rFonts w:cs="Arial"/>
        </w:rPr>
        <w:t>a</w:t>
      </w:r>
      <w:r w:rsidRPr="002A75F2">
        <w:rPr>
          <w:rFonts w:cs="Arial"/>
        </w:rPr>
        <w:t>ssessment.</w:t>
      </w:r>
    </w:p>
    <w:p w14:paraId="3CA0B3DE" w14:textId="77777777" w:rsidR="00434B51" w:rsidRPr="002A75F2" w:rsidRDefault="00434B51" w:rsidP="00434B51">
      <w:pPr>
        <w:pStyle w:val="Heading2"/>
        <w:rPr>
          <w:rFonts w:cs="Arial"/>
        </w:rPr>
      </w:pPr>
      <w:bookmarkStart w:id="161" w:name="_Toc41905684"/>
      <w:r w:rsidRPr="002A75F2">
        <w:rPr>
          <w:rFonts w:cs="Arial"/>
        </w:rPr>
        <w:t>Screening Process for Quantitative Risk Assessment</w:t>
      </w:r>
      <w:bookmarkEnd w:id="161"/>
    </w:p>
    <w:p w14:paraId="7C212243" w14:textId="0C7B5194" w:rsidR="00434B51" w:rsidRPr="002A75F2" w:rsidRDefault="004D165B" w:rsidP="00434B51">
      <w:pPr>
        <w:rPr>
          <w:rFonts w:cs="Arial"/>
        </w:rPr>
      </w:pPr>
      <w:r w:rsidRPr="002A75F2">
        <w:rPr>
          <w:rFonts w:cs="Arial"/>
        </w:rPr>
        <w:t xml:space="preserve">In a </w:t>
      </w:r>
      <w:r w:rsidR="00434B51" w:rsidRPr="002A75F2">
        <w:rPr>
          <w:rFonts w:cs="Arial"/>
        </w:rPr>
        <w:t xml:space="preserve">Tier 3 </w:t>
      </w:r>
      <w:r w:rsidR="008131C5" w:rsidRPr="002A75F2">
        <w:rPr>
          <w:rFonts w:cs="Arial"/>
        </w:rPr>
        <w:t>risk assessment</w:t>
      </w:r>
      <w:r w:rsidRPr="002A75F2">
        <w:rPr>
          <w:rFonts w:cs="Arial"/>
        </w:rPr>
        <w:t xml:space="preserve">, </w:t>
      </w:r>
      <w:r w:rsidR="00434B51" w:rsidRPr="002A75F2">
        <w:rPr>
          <w:rFonts w:cs="Arial"/>
        </w:rPr>
        <w:t>the list of COCs which potentially require a quantitative assessment may be lengthy</w:t>
      </w:r>
      <w:r w:rsidRPr="002A75F2">
        <w:rPr>
          <w:rFonts w:cs="Arial"/>
        </w:rPr>
        <w:t xml:space="preserve"> for some properties</w:t>
      </w:r>
      <w:r w:rsidR="00434B51" w:rsidRPr="002A75F2">
        <w:rPr>
          <w:rFonts w:cs="Arial"/>
        </w:rPr>
        <w:t>. The QP</w:t>
      </w:r>
      <w:r w:rsidR="00434B51" w:rsidRPr="002A75F2">
        <w:rPr>
          <w:rFonts w:cs="Arial"/>
          <w:vertAlign w:val="subscript"/>
        </w:rPr>
        <w:t>RA</w:t>
      </w:r>
      <w:r w:rsidR="00434B51" w:rsidRPr="002A75F2">
        <w:rPr>
          <w:rFonts w:cs="Arial"/>
        </w:rPr>
        <w:t xml:space="preserve"> may wish to reduce the number of COCs to be carried through </w:t>
      </w:r>
      <w:r w:rsidRPr="002A75F2">
        <w:rPr>
          <w:rFonts w:cs="Arial"/>
        </w:rPr>
        <w:t xml:space="preserve">to </w:t>
      </w:r>
      <w:r w:rsidR="00434B51" w:rsidRPr="002A75F2">
        <w:rPr>
          <w:rFonts w:cs="Arial"/>
        </w:rPr>
        <w:t xml:space="preserve">the </w:t>
      </w:r>
      <w:r w:rsidR="00E80629" w:rsidRPr="002A75F2">
        <w:rPr>
          <w:rFonts w:cs="Arial"/>
        </w:rPr>
        <w:t>detailed</w:t>
      </w:r>
      <w:r w:rsidR="00966D70" w:rsidRPr="002A75F2">
        <w:rPr>
          <w:rFonts w:cs="Arial"/>
        </w:rPr>
        <w:t xml:space="preserve"> </w:t>
      </w:r>
      <w:r w:rsidR="00434B51" w:rsidRPr="002A75F2">
        <w:rPr>
          <w:rFonts w:cs="Arial"/>
        </w:rPr>
        <w:t xml:space="preserve">quantitative </w:t>
      </w:r>
      <w:r w:rsidRPr="002A75F2">
        <w:rPr>
          <w:rFonts w:cs="Arial"/>
        </w:rPr>
        <w:t xml:space="preserve">assessment in the HHRA and ERA. </w:t>
      </w:r>
      <w:r w:rsidR="00434B51" w:rsidRPr="002A75F2">
        <w:rPr>
          <w:rFonts w:cs="Arial"/>
        </w:rPr>
        <w:t xml:space="preserve">An acceptable technique for </w:t>
      </w:r>
      <w:r w:rsidRPr="002A75F2">
        <w:rPr>
          <w:rFonts w:cs="Arial"/>
        </w:rPr>
        <w:t xml:space="preserve">doing so </w:t>
      </w:r>
      <w:r w:rsidR="00434B51" w:rsidRPr="002A75F2">
        <w:rPr>
          <w:rFonts w:cs="Arial"/>
        </w:rPr>
        <w:t xml:space="preserve">is to conduct a screening assessment </w:t>
      </w:r>
      <w:r w:rsidRPr="002A75F2">
        <w:rPr>
          <w:rFonts w:cs="Arial"/>
        </w:rPr>
        <w:t xml:space="preserve">of </w:t>
      </w:r>
      <w:r w:rsidR="00434B51" w:rsidRPr="002A75F2">
        <w:rPr>
          <w:rFonts w:cs="Arial"/>
        </w:rPr>
        <w:t xml:space="preserve">the </w:t>
      </w:r>
      <w:r w:rsidRPr="002A75F2">
        <w:rPr>
          <w:rFonts w:cs="Arial"/>
        </w:rPr>
        <w:t xml:space="preserve">COCs </w:t>
      </w:r>
      <w:r w:rsidR="00434B51" w:rsidRPr="002A75F2">
        <w:rPr>
          <w:rFonts w:cs="Arial"/>
        </w:rPr>
        <w:t>at the property. A screening assessment is a preliminary tool, for use within the HHRA and ERA, with specific purposes as follows:</w:t>
      </w:r>
    </w:p>
    <w:p w14:paraId="1E2C63A5" w14:textId="77777777" w:rsidR="00434B51" w:rsidRPr="002A75F2" w:rsidRDefault="00434B51" w:rsidP="000E72E5">
      <w:pPr>
        <w:pStyle w:val="ListBullet2"/>
        <w:rPr>
          <w:rFonts w:cs="Arial"/>
        </w:rPr>
      </w:pPr>
      <w:r w:rsidRPr="002A75F2">
        <w:rPr>
          <w:rFonts w:cs="Arial"/>
        </w:rPr>
        <w:t>To identify if, in the opinion of the QP</w:t>
      </w:r>
      <w:r w:rsidRPr="002A75F2">
        <w:rPr>
          <w:rFonts w:cs="Arial"/>
          <w:vertAlign w:val="subscript"/>
        </w:rPr>
        <w:t>RA</w:t>
      </w:r>
      <w:r w:rsidRPr="002A75F2">
        <w:rPr>
          <w:rFonts w:cs="Arial"/>
        </w:rPr>
        <w:t>, there is an insignificant likelihood of risk to human health or the natural environment; and/or</w:t>
      </w:r>
    </w:p>
    <w:p w14:paraId="27F77BCC" w14:textId="77777777" w:rsidR="00434B51" w:rsidRPr="002A75F2" w:rsidRDefault="00434B51" w:rsidP="000E72E5">
      <w:pPr>
        <w:pStyle w:val="ListBullet2"/>
        <w:rPr>
          <w:rFonts w:cs="Arial"/>
        </w:rPr>
      </w:pPr>
      <w:r w:rsidRPr="002A75F2">
        <w:rPr>
          <w:rFonts w:cs="Arial"/>
        </w:rPr>
        <w:t>To assist in determining the scope of the risk assessment.</w:t>
      </w:r>
    </w:p>
    <w:p w14:paraId="5C550631" w14:textId="2D6CD9DB" w:rsidR="00434B51" w:rsidRPr="002A75F2" w:rsidRDefault="00434B51" w:rsidP="00434B51">
      <w:pPr>
        <w:rPr>
          <w:rFonts w:cs="Arial"/>
        </w:rPr>
      </w:pPr>
      <w:r w:rsidRPr="002A75F2">
        <w:rPr>
          <w:rFonts w:cs="Arial"/>
        </w:rPr>
        <w:t xml:space="preserve">For the purposes listed above, a screening assessment may be undertaken as part of the problem formulation step and may also be presented with the PSF. The results of this process are qualitative or semi-quantitative only and can be used only in contaminant selection, eliminating irrelevant routes and/or pathways of exposure or irrelevant receptors </w:t>
      </w:r>
      <w:r w:rsidR="00E10644" w:rsidRPr="002A75F2">
        <w:rPr>
          <w:rFonts w:cs="Arial"/>
        </w:rPr>
        <w:t>from</w:t>
      </w:r>
      <w:r w:rsidRPr="002A75F2">
        <w:rPr>
          <w:rFonts w:cs="Arial"/>
        </w:rPr>
        <w:t xml:space="preserve"> further</w:t>
      </w:r>
      <w:r w:rsidRPr="000C60E1">
        <w:rPr>
          <w:rFonts w:cs="Arial"/>
        </w:rPr>
        <w:t xml:space="preserve"> consideration in the risk assessment. The result of any screening assessment must be </w:t>
      </w:r>
      <w:r w:rsidRPr="002A75F2">
        <w:rPr>
          <w:rFonts w:cs="Arial"/>
        </w:rPr>
        <w:t xml:space="preserve">reported as a qualitative risk assessment in the </w:t>
      </w:r>
      <w:r w:rsidR="003A2390" w:rsidRPr="002A75F2">
        <w:rPr>
          <w:rFonts w:cs="Arial"/>
        </w:rPr>
        <w:t>RA</w:t>
      </w:r>
      <w:r w:rsidRPr="002A75F2">
        <w:rPr>
          <w:rFonts w:cs="Arial"/>
        </w:rPr>
        <w:t xml:space="preserve"> report. </w:t>
      </w:r>
    </w:p>
    <w:p w14:paraId="44DB71C6" w14:textId="6D9BD19A" w:rsidR="00E83FBA" w:rsidRPr="002A75F2" w:rsidRDefault="000B4BC9" w:rsidP="00E83FBA">
      <w:pPr>
        <w:rPr>
          <w:rFonts w:cs="Arial"/>
        </w:rPr>
      </w:pPr>
      <w:r w:rsidRPr="002A75F2">
        <w:rPr>
          <w:rFonts w:cs="Arial"/>
        </w:rPr>
        <w:t>S</w:t>
      </w:r>
      <w:r w:rsidR="00E83FBA" w:rsidRPr="002A75F2">
        <w:rPr>
          <w:rFonts w:cs="Arial"/>
        </w:rPr>
        <w:t>creening assessments are usually based on a “worst case scenario”</w:t>
      </w:r>
      <w:r w:rsidR="0075566E" w:rsidRPr="002A75F2">
        <w:rPr>
          <w:rFonts w:cs="Arial"/>
        </w:rPr>
        <w:t xml:space="preserve">, including generic assumptions regarding site conditions, </w:t>
      </w:r>
      <w:r w:rsidR="00E83FBA" w:rsidRPr="002A75F2">
        <w:rPr>
          <w:rFonts w:cs="Arial"/>
        </w:rPr>
        <w:t xml:space="preserve">instead of verifiable property specific conditions. For example, the screening assessment </w:t>
      </w:r>
      <w:r w:rsidR="001E6E8D" w:rsidRPr="002A75F2">
        <w:rPr>
          <w:rFonts w:cs="Arial"/>
        </w:rPr>
        <w:t>sh</w:t>
      </w:r>
      <w:r w:rsidR="00E83FBA" w:rsidRPr="002A75F2">
        <w:rPr>
          <w:rFonts w:cs="Arial"/>
        </w:rPr>
        <w:t xml:space="preserve">ould use maximum concentrations (or an estimate of maximum concentrations) and the physical/chemical characteristics of the most toxic isomer or member of a chemical group. </w:t>
      </w:r>
      <w:r w:rsidR="001E6E8D" w:rsidRPr="002A75F2">
        <w:rPr>
          <w:rFonts w:cs="Arial"/>
        </w:rPr>
        <w:t xml:space="preserve">Note that </w:t>
      </w:r>
      <w:r w:rsidR="00E83FBA" w:rsidRPr="002A75F2">
        <w:rPr>
          <w:rFonts w:cs="Arial"/>
        </w:rPr>
        <w:t>screening assessments cannot always provide a quantitative estimate of risk or back-calculate a risk-based property specific standard.</w:t>
      </w:r>
    </w:p>
    <w:p w14:paraId="31A888F4" w14:textId="5956E5B9" w:rsidR="00E83FBA" w:rsidRPr="002A75F2" w:rsidRDefault="00E83FBA" w:rsidP="00E83FBA">
      <w:pPr>
        <w:rPr>
          <w:rFonts w:cs="Arial"/>
        </w:rPr>
      </w:pPr>
      <w:r w:rsidRPr="002A75F2">
        <w:rPr>
          <w:rFonts w:cs="Arial"/>
        </w:rPr>
        <w:t xml:space="preserve">A screening assessment may include consideration of </w:t>
      </w:r>
      <w:r w:rsidR="003D4AAD" w:rsidRPr="002A75F2">
        <w:rPr>
          <w:rFonts w:cs="Arial"/>
        </w:rPr>
        <w:t>values</w:t>
      </w:r>
      <w:r w:rsidRPr="002A75F2">
        <w:rPr>
          <w:rFonts w:cs="Arial"/>
        </w:rPr>
        <w:t xml:space="preserve"> from </w:t>
      </w:r>
      <w:r w:rsidR="001E6E8D" w:rsidRPr="002A75F2">
        <w:rPr>
          <w:rFonts w:cs="Arial"/>
        </w:rPr>
        <w:t xml:space="preserve">the </w:t>
      </w:r>
      <w:r w:rsidR="00E80629" w:rsidRPr="002A75F2">
        <w:rPr>
          <w:rFonts w:cs="Arial"/>
        </w:rPr>
        <w:t>Ministry</w:t>
      </w:r>
      <w:r w:rsidR="001E6E8D" w:rsidRPr="002A75F2">
        <w:rPr>
          <w:rFonts w:cs="Arial"/>
        </w:rPr>
        <w:t xml:space="preserve"> or from </w:t>
      </w:r>
      <w:r w:rsidRPr="002A75F2">
        <w:rPr>
          <w:rFonts w:cs="Arial"/>
        </w:rPr>
        <w:t>other reputable jurisdiction</w:t>
      </w:r>
      <w:r w:rsidR="001E6E8D" w:rsidRPr="002A75F2">
        <w:rPr>
          <w:rFonts w:cs="Arial"/>
        </w:rPr>
        <w:t>s</w:t>
      </w:r>
      <w:r w:rsidRPr="002A75F2">
        <w:rPr>
          <w:rFonts w:cs="Arial"/>
        </w:rPr>
        <w:t xml:space="preserve">, together with an assessment of the basis of that </w:t>
      </w:r>
      <w:r w:rsidR="00CB3562" w:rsidRPr="002A75F2">
        <w:rPr>
          <w:rFonts w:cs="Arial"/>
        </w:rPr>
        <w:t>value</w:t>
      </w:r>
      <w:r w:rsidRPr="002A75F2">
        <w:rPr>
          <w:rFonts w:cs="Arial"/>
        </w:rPr>
        <w:t>, as part of the screening process.</w:t>
      </w:r>
    </w:p>
    <w:p w14:paraId="299AD22E" w14:textId="77777777" w:rsidR="00F26B7D" w:rsidRPr="002A75F2" w:rsidRDefault="00F26B7D" w:rsidP="00F26B7D">
      <w:pPr>
        <w:rPr>
          <w:rFonts w:cs="Arial"/>
        </w:rPr>
      </w:pPr>
      <w:r w:rsidRPr="002A75F2">
        <w:rPr>
          <w:rFonts w:cs="Arial"/>
        </w:rPr>
        <w:t>If a screening process is employed, the following should be provided:</w:t>
      </w:r>
    </w:p>
    <w:p w14:paraId="337E0AE0" w14:textId="34E0E160" w:rsidR="00F26B7D" w:rsidRPr="002A75F2" w:rsidRDefault="00F26B7D" w:rsidP="000E72E5">
      <w:pPr>
        <w:pStyle w:val="ListBullet2"/>
        <w:rPr>
          <w:rFonts w:cs="Arial"/>
        </w:rPr>
      </w:pPr>
      <w:r w:rsidRPr="002A75F2">
        <w:rPr>
          <w:rFonts w:cs="Arial"/>
        </w:rPr>
        <w:t>The complete list of COCs found on</w:t>
      </w:r>
      <w:r w:rsidR="00E54D38" w:rsidRPr="002A75F2">
        <w:rPr>
          <w:rFonts w:cs="Arial"/>
        </w:rPr>
        <w:t>, in or under</w:t>
      </w:r>
      <w:r w:rsidRPr="002A75F2">
        <w:rPr>
          <w:rFonts w:cs="Arial"/>
        </w:rPr>
        <w:t xml:space="preserve"> the RA property, including a summary of the monitoring data and detection limit for each </w:t>
      </w:r>
      <w:smartTag w:uri="urn:schemas-microsoft-com:office:smarttags" w:element="stockticker">
        <w:r w:rsidRPr="002A75F2">
          <w:rPr>
            <w:rFonts w:cs="Arial"/>
          </w:rPr>
          <w:t>COC</w:t>
        </w:r>
      </w:smartTag>
      <w:r w:rsidRPr="002A75F2">
        <w:rPr>
          <w:rFonts w:cs="Arial"/>
        </w:rPr>
        <w:t xml:space="preserve"> and illustration of the spatial </w:t>
      </w:r>
      <w:r w:rsidRPr="002A75F2">
        <w:rPr>
          <w:rFonts w:cs="Arial"/>
        </w:rPr>
        <w:lastRenderedPageBreak/>
        <w:t>distribution of COCs on, in or under the property</w:t>
      </w:r>
      <w:r w:rsidR="00CB3562" w:rsidRPr="002A75F2">
        <w:rPr>
          <w:rFonts w:cs="Arial"/>
        </w:rPr>
        <w:t xml:space="preserve"> (</w:t>
      </w:r>
      <w:r w:rsidR="0075566E" w:rsidRPr="002A75F2">
        <w:rPr>
          <w:rFonts w:cs="Arial"/>
        </w:rPr>
        <w:t>most of this information should already be</w:t>
      </w:r>
      <w:r w:rsidR="00CB3562" w:rsidRPr="002A75F2">
        <w:rPr>
          <w:rFonts w:cs="Arial"/>
        </w:rPr>
        <w:t xml:space="preserve"> included </w:t>
      </w:r>
      <w:r w:rsidR="006E7447" w:rsidRPr="002A75F2">
        <w:rPr>
          <w:rFonts w:cs="Arial"/>
        </w:rPr>
        <w:t>in</w:t>
      </w:r>
      <w:r w:rsidR="00197C10" w:rsidRPr="002A75F2">
        <w:rPr>
          <w:rFonts w:cs="Arial"/>
        </w:rPr>
        <w:t xml:space="preserve"> RA r</w:t>
      </w:r>
      <w:r w:rsidR="006E7447" w:rsidRPr="002A75F2">
        <w:rPr>
          <w:rFonts w:cs="Arial"/>
        </w:rPr>
        <w:t xml:space="preserve">eport Section 3 and </w:t>
      </w:r>
      <w:r w:rsidR="00CB3562" w:rsidRPr="002A75F2">
        <w:rPr>
          <w:rFonts w:cs="Arial"/>
        </w:rPr>
        <w:t xml:space="preserve">the </w:t>
      </w:r>
      <w:r w:rsidR="00A149F1" w:rsidRPr="002A75F2">
        <w:rPr>
          <w:rFonts w:cs="Arial"/>
        </w:rPr>
        <w:t>phase two conceptual site model</w:t>
      </w:r>
      <w:r w:rsidR="00CB3562" w:rsidRPr="002A75F2">
        <w:rPr>
          <w:rFonts w:cs="Arial"/>
        </w:rPr>
        <w:t>)</w:t>
      </w:r>
      <w:r w:rsidR="00617DC0" w:rsidRPr="002A75F2">
        <w:rPr>
          <w:rFonts w:cs="Arial"/>
        </w:rPr>
        <w:t>;</w:t>
      </w:r>
    </w:p>
    <w:p w14:paraId="0573F6E4" w14:textId="77777777" w:rsidR="00F26B7D" w:rsidRPr="002A75F2" w:rsidRDefault="00F26B7D" w:rsidP="000E72E5">
      <w:pPr>
        <w:pStyle w:val="ListBullet2"/>
        <w:rPr>
          <w:rFonts w:cs="Arial"/>
        </w:rPr>
      </w:pPr>
      <w:r w:rsidRPr="002A75F2">
        <w:rPr>
          <w:rFonts w:cs="Arial"/>
        </w:rPr>
        <w:t xml:space="preserve">The screening </w:t>
      </w:r>
      <w:r w:rsidR="00CB3562" w:rsidRPr="002A75F2">
        <w:rPr>
          <w:rFonts w:cs="Arial"/>
        </w:rPr>
        <w:t xml:space="preserve">approach, including </w:t>
      </w:r>
      <w:r w:rsidRPr="002A75F2">
        <w:rPr>
          <w:rFonts w:cs="Arial"/>
        </w:rPr>
        <w:t xml:space="preserve">which COCs are to be followed through quantitative calculations in </w:t>
      </w:r>
      <w:r w:rsidR="00CB3562" w:rsidRPr="002A75F2">
        <w:rPr>
          <w:rFonts w:cs="Arial"/>
        </w:rPr>
        <w:t>subsequent</w:t>
      </w:r>
      <w:r w:rsidRPr="002A75F2">
        <w:rPr>
          <w:rFonts w:cs="Arial"/>
        </w:rPr>
        <w:t xml:space="preserve"> steps in the risk assessment process; specifically, toxicity/hazard assessment and exposure assessment</w:t>
      </w:r>
      <w:r w:rsidR="00617DC0" w:rsidRPr="002A75F2">
        <w:rPr>
          <w:rFonts w:cs="Arial"/>
        </w:rPr>
        <w:t>;</w:t>
      </w:r>
      <w:r w:rsidRPr="002A75F2">
        <w:rPr>
          <w:rFonts w:cs="Arial"/>
        </w:rPr>
        <w:t xml:space="preserve"> and</w:t>
      </w:r>
    </w:p>
    <w:p w14:paraId="4CD32F31" w14:textId="2897D320" w:rsidR="00F26B7D" w:rsidRPr="002A75F2" w:rsidRDefault="00F26B7D" w:rsidP="00617DC0">
      <w:pPr>
        <w:pStyle w:val="ListBullet2"/>
        <w:rPr>
          <w:rFonts w:cs="Arial"/>
        </w:rPr>
      </w:pPr>
      <w:r w:rsidRPr="002A75F2">
        <w:rPr>
          <w:rFonts w:cs="Arial"/>
        </w:rPr>
        <w:t>An appropriate property specific standard recommended for all COCs found on, in or under the property, including those deemed to present no significant risk through a screening process. The recommended property specific standard must be determined from some means other than the screening method (see Sections 6 and 7 of this Procedures document).</w:t>
      </w:r>
      <w:r w:rsidR="00617DC0" w:rsidRPr="002A75F2">
        <w:rPr>
          <w:rFonts w:cs="Arial"/>
        </w:rPr>
        <w:t xml:space="preserve"> </w:t>
      </w:r>
      <w:r w:rsidRPr="002A75F2">
        <w:rPr>
          <w:rFonts w:cs="Arial"/>
        </w:rPr>
        <w:t>Maximum concentrations (or estimates of the maximum concentrations) found on-site can be proposed as property specific standards, as described in Section 3.3 of this Procedures document,</w:t>
      </w:r>
      <w:r w:rsidRPr="002A75F2" w:rsidDel="009855EA">
        <w:rPr>
          <w:rFonts w:cs="Arial"/>
        </w:rPr>
        <w:t xml:space="preserve"> </w:t>
      </w:r>
      <w:r w:rsidRPr="002A75F2">
        <w:rPr>
          <w:rFonts w:cs="Arial"/>
        </w:rPr>
        <w:t xml:space="preserve">for </w:t>
      </w:r>
      <w:smartTag w:uri="urn:schemas-microsoft-com:office:smarttags" w:element="stockticker">
        <w:r w:rsidRPr="002A75F2">
          <w:rPr>
            <w:rFonts w:cs="Arial"/>
          </w:rPr>
          <w:t>COCs</w:t>
        </w:r>
      </w:smartTag>
      <w:r w:rsidRPr="002A75F2">
        <w:rPr>
          <w:rFonts w:cs="Arial"/>
        </w:rPr>
        <w:t xml:space="preserve"> which pose negligible risk based on the outcome of the screening assessment.</w:t>
      </w:r>
    </w:p>
    <w:p w14:paraId="5CC644A3" w14:textId="20197009" w:rsidR="00F26B7D" w:rsidRPr="002A75F2" w:rsidRDefault="00F26B7D" w:rsidP="000E72E5">
      <w:pPr>
        <w:pStyle w:val="ListBullet2"/>
        <w:numPr>
          <w:ilvl w:val="0"/>
          <w:numId w:val="0"/>
        </w:numPr>
        <w:rPr>
          <w:rFonts w:cs="Arial"/>
        </w:rPr>
      </w:pPr>
      <w:r w:rsidRPr="002A75F2">
        <w:rPr>
          <w:rFonts w:cs="Arial"/>
        </w:rPr>
        <w:t>The suitability of a screening assessment approach for a particular circumstance must be explained in the risk assessment. The Ministry will consider whether a particular approach is suitable as part of the risk assessment review.</w:t>
      </w:r>
    </w:p>
    <w:p w14:paraId="3D441940" w14:textId="77777777" w:rsidR="00E10644" w:rsidRPr="002A75F2" w:rsidRDefault="000B619A" w:rsidP="00DE496B">
      <w:pPr>
        <w:pStyle w:val="Heading3"/>
        <w:rPr>
          <w:rFonts w:cs="Arial"/>
        </w:rPr>
      </w:pPr>
      <w:bookmarkStart w:id="162" w:name="_Toc41905685"/>
      <w:r w:rsidRPr="002A75F2">
        <w:rPr>
          <w:rFonts w:cs="Arial"/>
        </w:rPr>
        <w:t>U</w:t>
      </w:r>
      <w:r w:rsidR="00E10644" w:rsidRPr="002A75F2">
        <w:rPr>
          <w:rFonts w:cs="Arial"/>
        </w:rPr>
        <w:t xml:space="preserve">sing </w:t>
      </w:r>
      <w:r w:rsidRPr="002A75F2">
        <w:rPr>
          <w:rFonts w:cs="Arial"/>
        </w:rPr>
        <w:t xml:space="preserve">Ministry </w:t>
      </w:r>
      <w:r w:rsidR="00E10644" w:rsidRPr="002A75F2">
        <w:rPr>
          <w:rFonts w:cs="Arial"/>
        </w:rPr>
        <w:t>Component Values</w:t>
      </w:r>
      <w:bookmarkEnd w:id="162"/>
    </w:p>
    <w:p w14:paraId="788985A3" w14:textId="0AEBC7C3" w:rsidR="00A53789" w:rsidRPr="002A75F2" w:rsidRDefault="0035448F" w:rsidP="00434B51">
      <w:pPr>
        <w:rPr>
          <w:rFonts w:cs="Arial"/>
        </w:rPr>
      </w:pPr>
      <w:r w:rsidRPr="002A75F2">
        <w:rPr>
          <w:rFonts w:cs="Arial"/>
        </w:rPr>
        <w:t>T</w:t>
      </w:r>
      <w:r w:rsidR="00A53789" w:rsidRPr="002A75F2">
        <w:rPr>
          <w:rFonts w:cs="Arial"/>
        </w:rPr>
        <w:t xml:space="preserve">he </w:t>
      </w:r>
      <w:r w:rsidRPr="002A75F2">
        <w:rPr>
          <w:rFonts w:cs="Arial"/>
        </w:rPr>
        <w:t xml:space="preserve">Ministry’s </w:t>
      </w:r>
      <w:r w:rsidR="00A53789" w:rsidRPr="002A75F2">
        <w:rPr>
          <w:rFonts w:cs="Arial"/>
        </w:rPr>
        <w:t xml:space="preserve">generic </w:t>
      </w:r>
      <w:r w:rsidR="005B614D" w:rsidRPr="002A75F2">
        <w:rPr>
          <w:rFonts w:cs="Arial"/>
        </w:rPr>
        <w:t>site condition standards</w:t>
      </w:r>
      <w:r w:rsidRPr="002A75F2">
        <w:rPr>
          <w:rFonts w:cs="Arial"/>
        </w:rPr>
        <w:t xml:space="preserve"> were developed based on </w:t>
      </w:r>
      <w:r w:rsidR="00A53789" w:rsidRPr="002A75F2">
        <w:rPr>
          <w:rFonts w:cs="Arial"/>
        </w:rPr>
        <w:t xml:space="preserve">a </w:t>
      </w:r>
      <w:r w:rsidR="004D618A" w:rsidRPr="002A75F2">
        <w:rPr>
          <w:rFonts w:cs="Arial"/>
        </w:rPr>
        <w:t xml:space="preserve">component value </w:t>
      </w:r>
      <w:r w:rsidR="00A53789" w:rsidRPr="002A75F2">
        <w:rPr>
          <w:rFonts w:cs="Arial"/>
        </w:rPr>
        <w:t xml:space="preserve">approach. </w:t>
      </w:r>
      <w:r w:rsidR="004D618A" w:rsidRPr="002A75F2">
        <w:rPr>
          <w:rFonts w:cs="Arial"/>
        </w:rPr>
        <w:t>Component values</w:t>
      </w:r>
      <w:r w:rsidR="00A53789" w:rsidRPr="002A75F2">
        <w:rPr>
          <w:rFonts w:cs="Arial"/>
        </w:rPr>
        <w:t xml:space="preserve"> </w:t>
      </w:r>
      <w:r w:rsidR="00877A99" w:rsidRPr="002A75F2">
        <w:rPr>
          <w:rFonts w:cs="Arial"/>
        </w:rPr>
        <w:t xml:space="preserve">are, for the most part, risk-based values </w:t>
      </w:r>
      <w:r w:rsidR="00A53789" w:rsidRPr="002A75F2">
        <w:rPr>
          <w:rFonts w:cs="Arial"/>
        </w:rPr>
        <w:t xml:space="preserve">derived </w:t>
      </w:r>
      <w:r w:rsidR="00877A99" w:rsidRPr="002A75F2">
        <w:rPr>
          <w:rFonts w:cs="Arial"/>
        </w:rPr>
        <w:t>to be protective of a receptor (or group of receptors) from a contami</w:t>
      </w:r>
      <w:r w:rsidR="003E4065" w:rsidRPr="002A75F2">
        <w:rPr>
          <w:rFonts w:cs="Arial"/>
        </w:rPr>
        <w:t>n</w:t>
      </w:r>
      <w:r w:rsidR="00877A99" w:rsidRPr="002A75F2">
        <w:rPr>
          <w:rFonts w:cs="Arial"/>
        </w:rPr>
        <w:t>ant via a specif</w:t>
      </w:r>
      <w:r w:rsidR="003E4065" w:rsidRPr="002A75F2">
        <w:rPr>
          <w:rFonts w:cs="Arial"/>
        </w:rPr>
        <w:t>i</w:t>
      </w:r>
      <w:r w:rsidR="00877A99" w:rsidRPr="002A75F2">
        <w:rPr>
          <w:rFonts w:cs="Arial"/>
        </w:rPr>
        <w:t>c pathway. The Ministry’s conceptual model identifies the r</w:t>
      </w:r>
      <w:r w:rsidR="00E80629" w:rsidRPr="002A75F2">
        <w:rPr>
          <w:rFonts w:cs="Arial"/>
        </w:rPr>
        <w:t>eceptors</w:t>
      </w:r>
      <w:r w:rsidR="004D618A" w:rsidRPr="002A75F2">
        <w:rPr>
          <w:rFonts w:cs="Arial"/>
        </w:rPr>
        <w:t xml:space="preserve"> and </w:t>
      </w:r>
      <w:r w:rsidR="00A53789" w:rsidRPr="002A75F2">
        <w:rPr>
          <w:rFonts w:cs="Arial"/>
        </w:rPr>
        <w:t>pathway</w:t>
      </w:r>
      <w:r w:rsidR="00877A99" w:rsidRPr="002A75F2">
        <w:rPr>
          <w:rFonts w:cs="Arial"/>
        </w:rPr>
        <w:t>s that were considered</w:t>
      </w:r>
      <w:r w:rsidR="00A53789" w:rsidRPr="002A75F2">
        <w:rPr>
          <w:rFonts w:cs="Arial"/>
        </w:rPr>
        <w:t>.</w:t>
      </w:r>
    </w:p>
    <w:p w14:paraId="4ED8B2CD" w14:textId="125B4A0D" w:rsidR="00E10644" w:rsidRPr="002A75F2" w:rsidRDefault="00434B51" w:rsidP="00434B51">
      <w:pPr>
        <w:rPr>
          <w:rFonts w:cs="Arial"/>
        </w:rPr>
      </w:pPr>
      <w:r w:rsidRPr="002A75F2">
        <w:rPr>
          <w:rFonts w:cs="Arial"/>
        </w:rPr>
        <w:t>The</w:t>
      </w:r>
      <w:r w:rsidR="00877A99" w:rsidRPr="002A75F2">
        <w:rPr>
          <w:rFonts w:cs="Arial"/>
        </w:rPr>
        <w:t>se</w:t>
      </w:r>
      <w:r w:rsidRPr="002A75F2">
        <w:rPr>
          <w:rFonts w:cs="Arial"/>
        </w:rPr>
        <w:t xml:space="preserve"> component values can </w:t>
      </w:r>
      <w:r w:rsidR="00877A99" w:rsidRPr="002A75F2">
        <w:rPr>
          <w:rFonts w:cs="Arial"/>
        </w:rPr>
        <w:t xml:space="preserve">also </w:t>
      </w:r>
      <w:r w:rsidRPr="002A75F2">
        <w:rPr>
          <w:rFonts w:cs="Arial"/>
        </w:rPr>
        <w:t xml:space="preserve">be used for </w:t>
      </w:r>
      <w:r w:rsidR="00A53789" w:rsidRPr="002A75F2">
        <w:rPr>
          <w:rFonts w:cs="Arial"/>
        </w:rPr>
        <w:t xml:space="preserve">screening </w:t>
      </w:r>
      <w:r w:rsidR="00877A99" w:rsidRPr="002A75F2">
        <w:rPr>
          <w:rFonts w:cs="Arial"/>
        </w:rPr>
        <w:t xml:space="preserve">purposes </w:t>
      </w:r>
      <w:r w:rsidR="00A53789" w:rsidRPr="002A75F2">
        <w:rPr>
          <w:rFonts w:cs="Arial"/>
        </w:rPr>
        <w:t xml:space="preserve">within the </w:t>
      </w:r>
      <w:r w:rsidRPr="002A75F2">
        <w:rPr>
          <w:rFonts w:cs="Arial"/>
        </w:rPr>
        <w:t>HHRA and ERA, so long as the QP</w:t>
      </w:r>
      <w:r w:rsidRPr="002A75F2">
        <w:rPr>
          <w:rFonts w:cs="Arial"/>
          <w:vertAlign w:val="subscript"/>
        </w:rPr>
        <w:t>RA</w:t>
      </w:r>
      <w:r w:rsidRPr="002A75F2">
        <w:rPr>
          <w:rFonts w:cs="Arial"/>
        </w:rPr>
        <w:t xml:space="preserve"> has previously confirmed that the Ministry’s conceptual model and component values are appropriate for use at the RA property.</w:t>
      </w:r>
      <w:r w:rsidR="00E10644" w:rsidRPr="002A75F2">
        <w:rPr>
          <w:rFonts w:cs="Arial"/>
        </w:rPr>
        <w:t xml:space="preserve"> The most up-to-date Ministry component values are included in the Ministry’s approved model.</w:t>
      </w:r>
    </w:p>
    <w:p w14:paraId="6A505496" w14:textId="227C3124" w:rsidR="00B822E3" w:rsidRPr="002A75F2" w:rsidRDefault="00B822E3" w:rsidP="00434B51">
      <w:pPr>
        <w:rPr>
          <w:rFonts w:cs="Arial"/>
        </w:rPr>
      </w:pPr>
      <w:r w:rsidRPr="002A75F2">
        <w:rPr>
          <w:rFonts w:cs="Arial"/>
        </w:rPr>
        <w:t xml:space="preserve">Some Ministry </w:t>
      </w:r>
      <w:r w:rsidR="004D618A" w:rsidRPr="002A75F2">
        <w:rPr>
          <w:rFonts w:cs="Arial"/>
        </w:rPr>
        <w:t>component values</w:t>
      </w:r>
      <w:r w:rsidRPr="002A75F2">
        <w:rPr>
          <w:rFonts w:cs="Arial"/>
        </w:rPr>
        <w:t xml:space="preserve"> rely on criteria or values </w:t>
      </w:r>
      <w:r w:rsidR="007C7926" w:rsidRPr="002A75F2">
        <w:rPr>
          <w:rFonts w:cs="Arial"/>
        </w:rPr>
        <w:t>from other program</w:t>
      </w:r>
      <w:r w:rsidR="00874113" w:rsidRPr="002A75F2">
        <w:rPr>
          <w:rFonts w:cs="Arial"/>
        </w:rPr>
        <w:t>s</w:t>
      </w:r>
      <w:r w:rsidR="007C7926" w:rsidRPr="002A75F2">
        <w:rPr>
          <w:rFonts w:cs="Arial"/>
        </w:rPr>
        <w:t xml:space="preserve"> or jurisdictions</w:t>
      </w:r>
      <w:r w:rsidR="00874113" w:rsidRPr="002A75F2">
        <w:rPr>
          <w:rFonts w:cs="Arial"/>
        </w:rPr>
        <w:t>, and these values</w:t>
      </w:r>
      <w:r w:rsidRPr="002A75F2">
        <w:rPr>
          <w:rFonts w:cs="Arial"/>
        </w:rPr>
        <w:t xml:space="preserve"> may be updated from time to time. The </w:t>
      </w:r>
      <w:r w:rsidR="00E80629" w:rsidRPr="002A75F2">
        <w:rPr>
          <w:rFonts w:cs="Arial"/>
        </w:rPr>
        <w:t>Ministry</w:t>
      </w:r>
      <w:r w:rsidRPr="002A75F2">
        <w:rPr>
          <w:rFonts w:cs="Arial"/>
        </w:rPr>
        <w:t xml:space="preserve"> will make </w:t>
      </w:r>
      <w:r w:rsidR="00E80629" w:rsidRPr="002A75F2">
        <w:rPr>
          <w:rFonts w:cs="Arial"/>
        </w:rPr>
        <w:t>every</w:t>
      </w:r>
      <w:r w:rsidRPr="002A75F2">
        <w:rPr>
          <w:rFonts w:cs="Arial"/>
        </w:rPr>
        <w:t xml:space="preserve"> effort to update the approved model to account for these changes, however the QP</w:t>
      </w:r>
      <w:r w:rsidRPr="002A75F2">
        <w:rPr>
          <w:rFonts w:cs="Arial"/>
          <w:vertAlign w:val="subscript"/>
        </w:rPr>
        <w:t>RA</w:t>
      </w:r>
      <w:r w:rsidRPr="002A75F2">
        <w:rPr>
          <w:rFonts w:cs="Arial"/>
        </w:rPr>
        <w:t xml:space="preserve"> will need to confirm that the </w:t>
      </w:r>
      <w:r w:rsidR="004D618A" w:rsidRPr="002A75F2">
        <w:rPr>
          <w:rFonts w:cs="Arial"/>
        </w:rPr>
        <w:t>component values</w:t>
      </w:r>
      <w:r w:rsidRPr="002A75F2">
        <w:rPr>
          <w:rFonts w:cs="Arial"/>
        </w:rPr>
        <w:t xml:space="preserve"> </w:t>
      </w:r>
      <w:r w:rsidR="007C7926" w:rsidRPr="002A75F2">
        <w:rPr>
          <w:rFonts w:cs="Arial"/>
        </w:rPr>
        <w:t xml:space="preserve">used </w:t>
      </w:r>
      <w:r w:rsidR="00874113" w:rsidRPr="002A75F2">
        <w:rPr>
          <w:rFonts w:cs="Arial"/>
        </w:rPr>
        <w:t xml:space="preserve">for screening purposes </w:t>
      </w:r>
      <w:r w:rsidRPr="002A75F2">
        <w:rPr>
          <w:rFonts w:cs="Arial"/>
        </w:rPr>
        <w:t xml:space="preserve">are appropriate for use at the RA property. </w:t>
      </w:r>
      <w:r w:rsidR="00874113" w:rsidRPr="002A75F2">
        <w:rPr>
          <w:rFonts w:cs="Arial"/>
        </w:rPr>
        <w:t>For example</w:t>
      </w:r>
      <w:r w:rsidRPr="002A75F2">
        <w:rPr>
          <w:rFonts w:cs="Arial"/>
        </w:rPr>
        <w:t>, the QP</w:t>
      </w:r>
      <w:r w:rsidRPr="002A75F2">
        <w:rPr>
          <w:rFonts w:cs="Arial"/>
          <w:vertAlign w:val="subscript"/>
        </w:rPr>
        <w:t>RA</w:t>
      </w:r>
      <w:r w:rsidRPr="002A75F2">
        <w:rPr>
          <w:rFonts w:cs="Arial"/>
        </w:rPr>
        <w:t xml:space="preserve"> should consider the following when using Ministry </w:t>
      </w:r>
      <w:r w:rsidR="00874113" w:rsidRPr="002A75F2">
        <w:rPr>
          <w:rFonts w:cs="Arial"/>
        </w:rPr>
        <w:t>component values</w:t>
      </w:r>
      <w:r w:rsidRPr="002A75F2">
        <w:rPr>
          <w:rFonts w:cs="Arial"/>
        </w:rPr>
        <w:t>:</w:t>
      </w:r>
    </w:p>
    <w:p w14:paraId="26C9F0D6" w14:textId="73C06113" w:rsidR="00B822E3" w:rsidRPr="002A75F2" w:rsidRDefault="004D618A" w:rsidP="00B822E3">
      <w:pPr>
        <w:numPr>
          <w:ilvl w:val="0"/>
          <w:numId w:val="41"/>
        </w:numPr>
        <w:rPr>
          <w:rFonts w:cs="Arial"/>
        </w:rPr>
      </w:pPr>
      <w:r w:rsidRPr="002A75F2">
        <w:rPr>
          <w:rFonts w:cs="Arial"/>
        </w:rPr>
        <w:t xml:space="preserve">Most </w:t>
      </w:r>
      <w:r w:rsidR="00B822E3" w:rsidRPr="002A75F2">
        <w:rPr>
          <w:rFonts w:cs="Arial"/>
        </w:rPr>
        <w:t>GW1</w:t>
      </w:r>
      <w:r w:rsidR="00ED0634" w:rsidRPr="002A75F2">
        <w:rPr>
          <w:rFonts w:cs="Arial"/>
        </w:rPr>
        <w:t xml:space="preserve"> </w:t>
      </w:r>
      <w:r w:rsidRPr="002A75F2">
        <w:rPr>
          <w:rFonts w:cs="Arial"/>
        </w:rPr>
        <w:t>compo</w:t>
      </w:r>
      <w:r w:rsidR="00ED0634" w:rsidRPr="002A75F2">
        <w:rPr>
          <w:rFonts w:cs="Arial"/>
        </w:rPr>
        <w:t>n</w:t>
      </w:r>
      <w:r w:rsidRPr="002A75F2">
        <w:rPr>
          <w:rFonts w:cs="Arial"/>
        </w:rPr>
        <w:t>ent values</w:t>
      </w:r>
      <w:r w:rsidR="00B822E3" w:rsidRPr="002A75F2">
        <w:rPr>
          <w:rFonts w:cs="Arial"/>
        </w:rPr>
        <w:t xml:space="preserve"> are set to </w:t>
      </w:r>
      <w:r w:rsidR="00ED2CF9" w:rsidRPr="002A75F2">
        <w:rPr>
          <w:rFonts w:cs="Arial"/>
        </w:rPr>
        <w:t>Ontario Drinking Water Quality Standards (</w:t>
      </w:r>
      <w:r w:rsidR="00B822E3" w:rsidRPr="002A75F2">
        <w:rPr>
          <w:rFonts w:cs="Arial"/>
        </w:rPr>
        <w:t>ODWQS</w:t>
      </w:r>
      <w:r w:rsidR="00ED2CF9" w:rsidRPr="002A75F2">
        <w:rPr>
          <w:rFonts w:cs="Arial"/>
        </w:rPr>
        <w:t>)</w:t>
      </w:r>
      <w:r w:rsidRPr="002A75F2">
        <w:rPr>
          <w:rFonts w:cs="Arial"/>
        </w:rPr>
        <w:t xml:space="preserve">. Note that ODWQS are updated from time to time and the most recent standards may not </w:t>
      </w:r>
      <w:r w:rsidR="00BE4176" w:rsidRPr="002A75F2">
        <w:rPr>
          <w:rFonts w:cs="Arial"/>
        </w:rPr>
        <w:t>be</w:t>
      </w:r>
      <w:r w:rsidR="00B23068" w:rsidRPr="002A75F2">
        <w:rPr>
          <w:rFonts w:cs="Arial"/>
        </w:rPr>
        <w:t xml:space="preserve"> </w:t>
      </w:r>
      <w:r w:rsidRPr="002A75F2">
        <w:rPr>
          <w:rFonts w:cs="Arial"/>
        </w:rPr>
        <w:t>included in the approved model. The QP</w:t>
      </w:r>
      <w:r w:rsidRPr="002A75F2">
        <w:rPr>
          <w:rFonts w:cs="Arial"/>
          <w:vertAlign w:val="subscript"/>
        </w:rPr>
        <w:t>RA</w:t>
      </w:r>
      <w:r w:rsidRPr="002A75F2">
        <w:rPr>
          <w:rFonts w:cs="Arial"/>
        </w:rPr>
        <w:t xml:space="preserve"> is expected to use the most recent ODWQS in the </w:t>
      </w:r>
      <w:r w:rsidR="00D4507B" w:rsidRPr="002A75F2">
        <w:rPr>
          <w:rFonts w:cs="Arial"/>
        </w:rPr>
        <w:t>risk assessment</w:t>
      </w:r>
      <w:r w:rsidRPr="002A75F2">
        <w:rPr>
          <w:rFonts w:cs="Arial"/>
        </w:rPr>
        <w:t>.</w:t>
      </w:r>
    </w:p>
    <w:p w14:paraId="2C28FC43" w14:textId="3658FD9B" w:rsidR="004D618A" w:rsidRPr="002A75F2" w:rsidRDefault="00ED0634" w:rsidP="00B822E3">
      <w:pPr>
        <w:numPr>
          <w:ilvl w:val="0"/>
          <w:numId w:val="41"/>
        </w:numPr>
        <w:rPr>
          <w:rFonts w:cs="Arial"/>
        </w:rPr>
      </w:pPr>
      <w:r w:rsidRPr="002A75F2">
        <w:rPr>
          <w:rFonts w:cs="Arial"/>
        </w:rPr>
        <w:t xml:space="preserve">Human health and ecological component values are derived based on values or TRVs selected from other jurisdictions. The QPRA is expected to check these values to ensure that the most up-to date ones are used in the </w:t>
      </w:r>
      <w:r w:rsidR="00D4507B" w:rsidRPr="002A75F2">
        <w:rPr>
          <w:rFonts w:cs="Arial"/>
        </w:rPr>
        <w:t>risk assessment</w:t>
      </w:r>
      <w:r w:rsidRPr="002A75F2">
        <w:rPr>
          <w:rFonts w:cs="Arial"/>
        </w:rPr>
        <w:t xml:space="preserve">. </w:t>
      </w:r>
    </w:p>
    <w:p w14:paraId="3B626ADC" w14:textId="00CEA978" w:rsidR="00ED0634" w:rsidRPr="002A75F2" w:rsidRDefault="00B24869" w:rsidP="00ED0634">
      <w:pPr>
        <w:rPr>
          <w:rFonts w:cs="Arial"/>
        </w:rPr>
      </w:pPr>
      <w:r w:rsidRPr="002A75F2">
        <w:rPr>
          <w:rFonts w:cs="Arial"/>
        </w:rPr>
        <w:lastRenderedPageBreak/>
        <w:t>In addition, there are limitations to the use of the M</w:t>
      </w:r>
      <w:r w:rsidR="00F906EE" w:rsidRPr="002A75F2">
        <w:rPr>
          <w:rFonts w:cs="Arial"/>
        </w:rPr>
        <w:t>i</w:t>
      </w:r>
      <w:r w:rsidRPr="002A75F2">
        <w:rPr>
          <w:rFonts w:cs="Arial"/>
        </w:rPr>
        <w:t xml:space="preserve">nistry’s component values. </w:t>
      </w:r>
      <w:r w:rsidR="00F906EE" w:rsidRPr="002A75F2">
        <w:rPr>
          <w:rFonts w:cs="Arial"/>
        </w:rPr>
        <w:t xml:space="preserve">These are covered in </w:t>
      </w:r>
      <w:r w:rsidR="00874113" w:rsidRPr="002A75F2">
        <w:rPr>
          <w:rFonts w:cs="Arial"/>
        </w:rPr>
        <w:t xml:space="preserve">detail in </w:t>
      </w:r>
      <w:r w:rsidR="00F906EE" w:rsidRPr="002A75F2">
        <w:rPr>
          <w:rFonts w:cs="Arial"/>
        </w:rPr>
        <w:t xml:space="preserve">the Ministry’s Rationale document and </w:t>
      </w:r>
      <w:r w:rsidR="00FE2835" w:rsidRPr="002A75F2">
        <w:rPr>
          <w:rFonts w:cs="Arial"/>
        </w:rPr>
        <w:t xml:space="preserve">some of the more relevant ones </w:t>
      </w:r>
      <w:r w:rsidR="00F906EE" w:rsidRPr="002A75F2">
        <w:rPr>
          <w:rFonts w:cs="Arial"/>
        </w:rPr>
        <w:t>summarized here:</w:t>
      </w:r>
    </w:p>
    <w:p w14:paraId="49AA4F91" w14:textId="4FD7C0F8" w:rsidR="00FE2835" w:rsidRPr="002A75F2" w:rsidRDefault="00454E1B" w:rsidP="00F906EE">
      <w:pPr>
        <w:numPr>
          <w:ilvl w:val="0"/>
          <w:numId w:val="42"/>
        </w:numPr>
        <w:rPr>
          <w:rFonts w:cs="Arial"/>
        </w:rPr>
      </w:pPr>
      <w:r w:rsidRPr="002A75F2">
        <w:rPr>
          <w:rFonts w:cs="Arial"/>
        </w:rPr>
        <w:t xml:space="preserve">Shallow </w:t>
      </w:r>
      <w:r w:rsidR="00FE2835" w:rsidRPr="002A75F2">
        <w:rPr>
          <w:rFonts w:cs="Arial"/>
        </w:rPr>
        <w:t xml:space="preserve">Depth to Water Table: GW2 component values from </w:t>
      </w:r>
      <w:r w:rsidRPr="002A75F2">
        <w:rPr>
          <w:rFonts w:cs="Arial"/>
        </w:rPr>
        <w:t xml:space="preserve">the </w:t>
      </w:r>
      <w:r w:rsidR="00E80629" w:rsidRPr="002A75F2">
        <w:rPr>
          <w:rFonts w:cs="Arial"/>
        </w:rPr>
        <w:t>Ministry’s</w:t>
      </w:r>
      <w:r w:rsidRPr="002A75F2">
        <w:rPr>
          <w:rFonts w:cs="Arial"/>
        </w:rPr>
        <w:t xml:space="preserve"> generic </w:t>
      </w:r>
      <w:r w:rsidR="00FE2835" w:rsidRPr="002A75F2">
        <w:rPr>
          <w:rFonts w:cs="Arial"/>
        </w:rPr>
        <w:t>Tables 2</w:t>
      </w:r>
      <w:r w:rsidRPr="002A75F2">
        <w:rPr>
          <w:rFonts w:cs="Arial"/>
        </w:rPr>
        <w:t xml:space="preserve">, 3, 4, 5, 8 and 9 were developed assuming a </w:t>
      </w:r>
      <w:r w:rsidR="00FE2835" w:rsidRPr="002A75F2">
        <w:rPr>
          <w:rFonts w:cs="Arial"/>
        </w:rPr>
        <w:t xml:space="preserve">depth to </w:t>
      </w:r>
      <w:r w:rsidRPr="002A75F2">
        <w:rPr>
          <w:rFonts w:cs="Arial"/>
        </w:rPr>
        <w:t xml:space="preserve">the </w:t>
      </w:r>
      <w:r w:rsidR="00FE2835" w:rsidRPr="002A75F2">
        <w:rPr>
          <w:rFonts w:cs="Arial"/>
        </w:rPr>
        <w:t xml:space="preserve">water table of 3 </w:t>
      </w:r>
      <w:proofErr w:type="spellStart"/>
      <w:r w:rsidR="00FE2835" w:rsidRPr="002A75F2">
        <w:rPr>
          <w:rFonts w:cs="Arial"/>
        </w:rPr>
        <w:t>mbgs</w:t>
      </w:r>
      <w:proofErr w:type="spellEnd"/>
      <w:r w:rsidR="00663449" w:rsidRPr="002A75F2">
        <w:rPr>
          <w:rFonts w:cs="Arial"/>
        </w:rPr>
        <w:t>. T</w:t>
      </w:r>
      <w:r w:rsidRPr="002A75F2">
        <w:rPr>
          <w:rFonts w:cs="Arial"/>
        </w:rPr>
        <w:t>hese values may not be appropriate for use at RA properties where the depth to the water table is shallow</w:t>
      </w:r>
      <w:r w:rsidR="00663449" w:rsidRPr="002A75F2">
        <w:rPr>
          <w:rFonts w:cs="Arial"/>
        </w:rPr>
        <w:t xml:space="preserve"> or where the bottom of the building’s foundation will be in close proximity to the water table. </w:t>
      </w:r>
      <w:r w:rsidR="00FE2835" w:rsidRPr="002A75F2">
        <w:rPr>
          <w:rFonts w:cs="Arial"/>
        </w:rPr>
        <w:t xml:space="preserve">GW2 component values from </w:t>
      </w:r>
      <w:r w:rsidRPr="002A75F2">
        <w:rPr>
          <w:rFonts w:cs="Arial"/>
        </w:rPr>
        <w:t xml:space="preserve">generic </w:t>
      </w:r>
      <w:r w:rsidR="00FE2835" w:rsidRPr="002A75F2">
        <w:rPr>
          <w:rFonts w:cs="Arial"/>
        </w:rPr>
        <w:t>Table</w:t>
      </w:r>
      <w:r w:rsidRPr="002A75F2">
        <w:rPr>
          <w:rFonts w:cs="Arial"/>
        </w:rPr>
        <w:t>s</w:t>
      </w:r>
      <w:r w:rsidR="00FE2835" w:rsidRPr="002A75F2">
        <w:rPr>
          <w:rFonts w:cs="Arial"/>
        </w:rPr>
        <w:t xml:space="preserve"> 6 and 7</w:t>
      </w:r>
      <w:r w:rsidR="00663449" w:rsidRPr="002A75F2">
        <w:rPr>
          <w:rFonts w:cs="Arial"/>
        </w:rPr>
        <w:t xml:space="preserve">, which were derived using a default attenuation factor, would be appropriate for these scenarios. </w:t>
      </w:r>
    </w:p>
    <w:p w14:paraId="25BB38C2" w14:textId="2312CE63" w:rsidR="00F906EE" w:rsidRPr="002A75F2" w:rsidRDefault="00F906EE" w:rsidP="00F906EE">
      <w:pPr>
        <w:numPr>
          <w:ilvl w:val="0"/>
          <w:numId w:val="42"/>
        </w:numPr>
        <w:rPr>
          <w:rFonts w:cs="Arial"/>
        </w:rPr>
      </w:pPr>
      <w:r w:rsidRPr="002A75F2">
        <w:rPr>
          <w:rFonts w:cs="Arial"/>
        </w:rPr>
        <w:t xml:space="preserve">Impacted Soil Volume and Dimension: The generic brownfields standards were developed assuming a finite volume of impacted soil with specific dimensions (e.g. 13 m by 13 m by 2 m or </w:t>
      </w:r>
      <w:r w:rsidR="00276998" w:rsidRPr="002A75F2">
        <w:rPr>
          <w:rFonts w:cs="Arial"/>
        </w:rPr>
        <w:t xml:space="preserve">approximately </w:t>
      </w:r>
      <w:r w:rsidRPr="002A75F2">
        <w:rPr>
          <w:rFonts w:cs="Arial"/>
        </w:rPr>
        <w:t>3</w:t>
      </w:r>
      <w:r w:rsidR="00276998" w:rsidRPr="002A75F2">
        <w:rPr>
          <w:rFonts w:cs="Arial"/>
        </w:rPr>
        <w:t>40</w:t>
      </w:r>
      <w:r w:rsidRPr="002A75F2">
        <w:rPr>
          <w:rFonts w:cs="Arial"/>
        </w:rPr>
        <w:t xml:space="preserve"> m</w:t>
      </w:r>
      <w:r w:rsidRPr="002A75F2">
        <w:rPr>
          <w:rFonts w:cs="Arial"/>
          <w:vertAlign w:val="superscript"/>
        </w:rPr>
        <w:t>3</w:t>
      </w:r>
      <w:r w:rsidRPr="002A75F2">
        <w:rPr>
          <w:rFonts w:cs="Arial"/>
        </w:rPr>
        <w:t xml:space="preserve">). If the total impacted zone at the RA property has a volume or dimensions that are </w:t>
      </w:r>
      <w:r w:rsidR="0055261D" w:rsidRPr="002A75F2">
        <w:rPr>
          <w:rFonts w:cs="Arial"/>
        </w:rPr>
        <w:t xml:space="preserve">significantly </w:t>
      </w:r>
      <w:r w:rsidRPr="002A75F2">
        <w:rPr>
          <w:rFonts w:cs="Arial"/>
        </w:rPr>
        <w:t>greater than what was assumed, the component values that employ source depletion or groundwater transport (e.g. S-IA, S-GW1, S-GW2, S-GW3, and S-</w:t>
      </w:r>
      <w:proofErr w:type="spellStart"/>
      <w:r w:rsidRPr="002A75F2">
        <w:rPr>
          <w:rFonts w:cs="Arial"/>
        </w:rPr>
        <w:t>Odour</w:t>
      </w:r>
      <w:proofErr w:type="spellEnd"/>
      <w:r w:rsidRPr="002A75F2">
        <w:rPr>
          <w:rFonts w:cs="Arial"/>
        </w:rPr>
        <w:t xml:space="preserve">) may not be appropriate for use at the RA property. </w:t>
      </w:r>
    </w:p>
    <w:p w14:paraId="1A7D1E1B" w14:textId="2384777F" w:rsidR="00F906EE" w:rsidRPr="002A75F2" w:rsidRDefault="00F906EE" w:rsidP="00F906EE">
      <w:pPr>
        <w:numPr>
          <w:ilvl w:val="0"/>
          <w:numId w:val="42"/>
        </w:numPr>
        <w:rPr>
          <w:rFonts w:cs="Arial"/>
        </w:rPr>
      </w:pPr>
      <w:r w:rsidRPr="002A75F2">
        <w:rPr>
          <w:rFonts w:cs="Arial"/>
        </w:rPr>
        <w:t xml:space="preserve">Buildings with High Susceptibility to Soil </w:t>
      </w:r>
      <w:proofErr w:type="spellStart"/>
      <w:r w:rsidRPr="002A75F2">
        <w:rPr>
          <w:rFonts w:cs="Arial"/>
        </w:rPr>
        <w:t>Vapour</w:t>
      </w:r>
      <w:proofErr w:type="spellEnd"/>
      <w:r w:rsidRPr="002A75F2">
        <w:rPr>
          <w:rFonts w:cs="Arial"/>
        </w:rPr>
        <w:t xml:space="preserve"> Entry: If buildings at the RA property have characteristics that vary significantly from the generic assumptions (e.g. earthen floors, deteriorating basements, crawlspaces, etc.), this could result in a reduction in </w:t>
      </w:r>
      <w:proofErr w:type="spellStart"/>
      <w:r w:rsidRPr="002A75F2">
        <w:rPr>
          <w:rFonts w:cs="Arial"/>
        </w:rPr>
        <w:t>vapour</w:t>
      </w:r>
      <w:proofErr w:type="spellEnd"/>
      <w:r w:rsidRPr="002A75F2">
        <w:rPr>
          <w:rFonts w:cs="Arial"/>
        </w:rPr>
        <w:t xml:space="preserve"> attenuation between the subsurface and the building.</w:t>
      </w:r>
      <w:r w:rsidR="007070A6" w:rsidRPr="002A75F2">
        <w:rPr>
          <w:rFonts w:cs="Arial"/>
        </w:rPr>
        <w:t xml:space="preserve"> </w:t>
      </w:r>
      <w:r w:rsidRPr="002A75F2">
        <w:rPr>
          <w:rFonts w:cs="Arial"/>
        </w:rPr>
        <w:t>Under such circumstances, the S-IA and S-GW2 component values may not be appropriate for use at the RA property.</w:t>
      </w:r>
    </w:p>
    <w:p w14:paraId="4CF8AB0E" w14:textId="638B323D" w:rsidR="00F906EE" w:rsidRPr="002A75F2" w:rsidRDefault="00F906EE" w:rsidP="00F906EE">
      <w:pPr>
        <w:numPr>
          <w:ilvl w:val="0"/>
          <w:numId w:val="42"/>
        </w:numPr>
        <w:rPr>
          <w:rFonts w:cs="Arial"/>
        </w:rPr>
      </w:pPr>
      <w:r w:rsidRPr="002A75F2">
        <w:rPr>
          <w:rFonts w:cs="Arial"/>
        </w:rPr>
        <w:t xml:space="preserve">Significant Preferential Pathways: The development of generic brownfield standards assumed that preferential pathways for </w:t>
      </w:r>
      <w:proofErr w:type="spellStart"/>
      <w:r w:rsidRPr="002A75F2">
        <w:rPr>
          <w:rFonts w:cs="Arial"/>
        </w:rPr>
        <w:t>vapour</w:t>
      </w:r>
      <w:proofErr w:type="spellEnd"/>
      <w:r w:rsidRPr="002A75F2">
        <w:rPr>
          <w:rFonts w:cs="Arial"/>
        </w:rPr>
        <w:t xml:space="preserve"> migration were not present. Preferential pathways may be caused by shallow fractured bedrock, gas under pressure/landfill gas, and/or utility conduits that provide a direct connection to the enclosed space of the building. If preferential pathways are present at the RA property, then the S-IA and S-GW2 component values may not be protective.</w:t>
      </w:r>
    </w:p>
    <w:p w14:paraId="7AC7093B" w14:textId="77777777" w:rsidR="00F906EE" w:rsidRPr="002A75F2" w:rsidRDefault="00F906EE" w:rsidP="00F906EE">
      <w:pPr>
        <w:numPr>
          <w:ilvl w:val="0"/>
          <w:numId w:val="42"/>
        </w:numPr>
        <w:rPr>
          <w:rFonts w:cs="Arial"/>
        </w:rPr>
      </w:pPr>
      <w:r w:rsidRPr="002A75F2">
        <w:rPr>
          <w:rFonts w:cs="Arial"/>
        </w:rPr>
        <w:t>Continuous Source: If there is a continuous source of contamination, the component values which assume a depleting source (i.e. S-IA, S-GW1, S-GW2, and S-</w:t>
      </w:r>
      <w:proofErr w:type="spellStart"/>
      <w:r w:rsidRPr="002A75F2">
        <w:rPr>
          <w:rFonts w:cs="Arial"/>
        </w:rPr>
        <w:t>Odour</w:t>
      </w:r>
      <w:proofErr w:type="spellEnd"/>
      <w:r w:rsidRPr="002A75F2">
        <w:rPr>
          <w:rFonts w:cs="Arial"/>
        </w:rPr>
        <w:t xml:space="preserve">) may be underestimated and may no longer be appropriate for use at the RA property. </w:t>
      </w:r>
    </w:p>
    <w:p w14:paraId="40BA11C6" w14:textId="77777777" w:rsidR="00F906EE" w:rsidRPr="002A75F2" w:rsidRDefault="00874113" w:rsidP="00F906EE">
      <w:pPr>
        <w:numPr>
          <w:ilvl w:val="0"/>
          <w:numId w:val="42"/>
        </w:numPr>
        <w:rPr>
          <w:rFonts w:cs="Arial"/>
        </w:rPr>
      </w:pPr>
      <w:r w:rsidRPr="002A75F2">
        <w:rPr>
          <w:rFonts w:cs="Arial"/>
        </w:rPr>
        <w:t xml:space="preserve">Acceptable pH Range (from 5.0 and 9.0 for surface soil and from 5.0 to 11.0 for subsurface soil): Highly acidic or alkaline soil can cause chemicals to behave differently from the manner assumed in the generic model. This could affect component values for leaching (S-GW1, S-GW3) and some ecological component values (which were derived </w:t>
      </w:r>
      <w:r w:rsidR="00E80629" w:rsidRPr="002A75F2">
        <w:rPr>
          <w:rFonts w:cs="Arial"/>
        </w:rPr>
        <w:t>from</w:t>
      </w:r>
      <w:r w:rsidRPr="002A75F2">
        <w:rPr>
          <w:rFonts w:cs="Arial"/>
        </w:rPr>
        <w:t xml:space="preserve"> toxicity tests where soil was within a pre-defined range).</w:t>
      </w:r>
    </w:p>
    <w:p w14:paraId="3D489DCA" w14:textId="77777777" w:rsidR="00874113" w:rsidRPr="002A75F2" w:rsidRDefault="00874113" w:rsidP="00874113">
      <w:pPr>
        <w:numPr>
          <w:ilvl w:val="0"/>
          <w:numId w:val="42"/>
        </w:numPr>
        <w:rPr>
          <w:rFonts w:cs="Arial"/>
        </w:rPr>
      </w:pPr>
      <w:r w:rsidRPr="002A75F2">
        <w:rPr>
          <w:rFonts w:cs="Arial"/>
        </w:rPr>
        <w:t>Surface Water Condition: If there is a surface water body that could be affected as a result of chemical migration via groundwater discharging to surface water, and the surface water has a total hardness level of less than 70 mg/L (as CaCO</w:t>
      </w:r>
      <w:r w:rsidRPr="002A75F2">
        <w:rPr>
          <w:rFonts w:cs="Arial"/>
          <w:vertAlign w:val="subscript"/>
        </w:rPr>
        <w:t>3</w:t>
      </w:r>
      <w:r w:rsidRPr="002A75F2">
        <w:rPr>
          <w:rFonts w:cs="Arial"/>
        </w:rPr>
        <w:t xml:space="preserve">) and/or has pH less than 6.7, the aquatic protection values for some metals and pentachlorophenol </w:t>
      </w:r>
      <w:r w:rsidRPr="002A75F2">
        <w:rPr>
          <w:rFonts w:cs="Arial"/>
        </w:rPr>
        <w:lastRenderedPageBreak/>
        <w:t>may be nonconservative. In such cases,  a site specific estimate of hardness and pH resulting from mixing of groundwater and surface water is may be needed to estimate an appropriate aquatic protection value (and resulting GW3 and S-GW3 component values) for this site.</w:t>
      </w:r>
    </w:p>
    <w:p w14:paraId="25DA2574" w14:textId="712BAB93" w:rsidR="0055261D" w:rsidRPr="002A75F2" w:rsidRDefault="0055261D" w:rsidP="0055261D">
      <w:pPr>
        <w:rPr>
          <w:rFonts w:cs="Arial"/>
        </w:rPr>
      </w:pPr>
      <w:r w:rsidRPr="002A75F2">
        <w:rPr>
          <w:rFonts w:cs="Arial"/>
        </w:rPr>
        <w:t xml:space="preserve">The approved model also allows for the derivation of site-specific component values. While this approach may be appropriate in some cases, this should be completed as part of the </w:t>
      </w:r>
      <w:r w:rsidR="00E80629" w:rsidRPr="002A75F2">
        <w:rPr>
          <w:rFonts w:cs="Arial"/>
        </w:rPr>
        <w:t>detailed</w:t>
      </w:r>
      <w:r w:rsidRPr="002A75F2">
        <w:rPr>
          <w:rFonts w:cs="Arial"/>
        </w:rPr>
        <w:t xml:space="preserve"> assessment and not at the screening stage</w:t>
      </w:r>
      <w:r w:rsidR="000B543A" w:rsidRPr="002A75F2">
        <w:rPr>
          <w:rFonts w:cs="Arial"/>
        </w:rPr>
        <w:t xml:space="preserve"> (also see Section 5.4 of this Procedures document).</w:t>
      </w:r>
    </w:p>
    <w:p w14:paraId="3CDB892A" w14:textId="77777777" w:rsidR="00E10644" w:rsidRPr="002A75F2" w:rsidRDefault="00E10644" w:rsidP="00DE496B">
      <w:pPr>
        <w:pStyle w:val="Heading3"/>
        <w:rPr>
          <w:rFonts w:cs="Arial"/>
        </w:rPr>
      </w:pPr>
      <w:bookmarkStart w:id="163" w:name="_Toc41905686"/>
      <w:r w:rsidRPr="002A75F2">
        <w:rPr>
          <w:rFonts w:cs="Arial"/>
        </w:rPr>
        <w:t xml:space="preserve">COCs </w:t>
      </w:r>
      <w:r w:rsidR="009E453A" w:rsidRPr="002A75F2">
        <w:rPr>
          <w:rFonts w:cs="Arial"/>
        </w:rPr>
        <w:t>w</w:t>
      </w:r>
      <w:r w:rsidRPr="002A75F2">
        <w:rPr>
          <w:rFonts w:cs="Arial"/>
        </w:rPr>
        <w:t>ith No Site Condition Standards</w:t>
      </w:r>
      <w:bookmarkEnd w:id="163"/>
    </w:p>
    <w:p w14:paraId="4D29E8AC" w14:textId="73D4F3AD" w:rsidR="00434B51" w:rsidRPr="002A75F2" w:rsidRDefault="00434B51" w:rsidP="00434B51">
      <w:pPr>
        <w:rPr>
          <w:rFonts w:cs="Arial"/>
        </w:rPr>
      </w:pPr>
      <w:r w:rsidRPr="002A75F2">
        <w:rPr>
          <w:rFonts w:cs="Arial"/>
        </w:rPr>
        <w:t>Screening or short-listing COCs can also prove useful when dealing with COCs without site condition standards; these COCs should be included for detailed assessment unless there is enough information to support</w:t>
      </w:r>
      <w:r w:rsidR="00F26B7D" w:rsidRPr="002A75F2">
        <w:rPr>
          <w:rFonts w:cs="Arial"/>
        </w:rPr>
        <w:t xml:space="preserve"> their</w:t>
      </w:r>
      <w:r w:rsidRPr="002A75F2">
        <w:rPr>
          <w:rFonts w:cs="Arial"/>
        </w:rPr>
        <w:t xml:space="preserve"> exclusion.</w:t>
      </w:r>
    </w:p>
    <w:p w14:paraId="5BCFF536" w14:textId="77777777" w:rsidR="00434B51" w:rsidRPr="002A75F2" w:rsidRDefault="00434B51" w:rsidP="00434B51">
      <w:pPr>
        <w:rPr>
          <w:rFonts w:cs="Arial"/>
        </w:rPr>
      </w:pPr>
      <w:r w:rsidRPr="002A75F2">
        <w:rPr>
          <w:rFonts w:cs="Arial"/>
        </w:rPr>
        <w:t>When considering information to support exclusion</w:t>
      </w:r>
      <w:r w:rsidR="00F26B7D" w:rsidRPr="002A75F2">
        <w:rPr>
          <w:rFonts w:cs="Arial"/>
        </w:rPr>
        <w:t xml:space="preserve"> of COCs without site condition standards, the following should be considered: </w:t>
      </w:r>
    </w:p>
    <w:p w14:paraId="53FEF394" w14:textId="77777777" w:rsidR="00434B51" w:rsidRPr="002A75F2" w:rsidRDefault="00434B51" w:rsidP="000E72E5">
      <w:pPr>
        <w:pStyle w:val="ListBullet2"/>
        <w:rPr>
          <w:rFonts w:cs="Arial"/>
        </w:rPr>
      </w:pPr>
      <w:r w:rsidRPr="002A75F2">
        <w:rPr>
          <w:rFonts w:cs="Arial"/>
        </w:rPr>
        <w:t>Known or probable human carcinogens;</w:t>
      </w:r>
    </w:p>
    <w:p w14:paraId="76D3623C" w14:textId="77777777" w:rsidR="00434B51" w:rsidRPr="002A75F2" w:rsidRDefault="00434B51" w:rsidP="000E72E5">
      <w:pPr>
        <w:pStyle w:val="ListBullet2"/>
        <w:rPr>
          <w:rFonts w:cs="Arial"/>
        </w:rPr>
      </w:pPr>
      <w:r w:rsidRPr="002A75F2">
        <w:rPr>
          <w:rFonts w:cs="Arial"/>
        </w:rPr>
        <w:t>Contaminants for which no human threshold has been established by a credible agency (see Section 6 of this Procedures document);</w:t>
      </w:r>
    </w:p>
    <w:p w14:paraId="266C8019" w14:textId="77777777" w:rsidR="00434B51" w:rsidRPr="002A75F2" w:rsidRDefault="00434B51" w:rsidP="000E72E5">
      <w:pPr>
        <w:pStyle w:val="ListBullet2"/>
        <w:rPr>
          <w:rFonts w:cs="Arial"/>
        </w:rPr>
      </w:pPr>
      <w:r w:rsidRPr="002A75F2">
        <w:rPr>
          <w:rFonts w:cs="Arial"/>
        </w:rPr>
        <w:t xml:space="preserve">Contaminants which are environmentally persistent (i.e. do not readily degrade and/or metabolize); </w:t>
      </w:r>
    </w:p>
    <w:p w14:paraId="2B7B12EE" w14:textId="77777777" w:rsidR="00434B51" w:rsidRPr="002A75F2" w:rsidRDefault="00434B51" w:rsidP="000E72E5">
      <w:pPr>
        <w:pStyle w:val="ListBullet2"/>
        <w:rPr>
          <w:rFonts w:cs="Arial"/>
        </w:rPr>
      </w:pPr>
      <w:r w:rsidRPr="002A75F2">
        <w:rPr>
          <w:rFonts w:cs="Arial"/>
        </w:rPr>
        <w:t xml:space="preserve">Contaminants that are known or suspected to bioaccumulate and/or </w:t>
      </w:r>
      <w:proofErr w:type="spellStart"/>
      <w:r w:rsidRPr="002A75F2">
        <w:rPr>
          <w:rFonts w:cs="Arial"/>
        </w:rPr>
        <w:t>biomagnify</w:t>
      </w:r>
      <w:proofErr w:type="spellEnd"/>
      <w:r w:rsidRPr="002A75F2">
        <w:rPr>
          <w:rFonts w:cs="Arial"/>
        </w:rPr>
        <w:t>; and/or</w:t>
      </w:r>
    </w:p>
    <w:p w14:paraId="2B91F1C1" w14:textId="77777777" w:rsidR="00434B51" w:rsidRPr="002A75F2" w:rsidRDefault="00434B51" w:rsidP="000E72E5">
      <w:pPr>
        <w:pStyle w:val="ListBullet2"/>
        <w:rPr>
          <w:rFonts w:cs="Arial"/>
        </w:rPr>
      </w:pPr>
      <w:r w:rsidRPr="002A75F2">
        <w:rPr>
          <w:rFonts w:cs="Arial"/>
        </w:rPr>
        <w:t xml:space="preserve">Contaminants which may degrade to more toxic and/or persistent degradation products. </w:t>
      </w:r>
    </w:p>
    <w:p w14:paraId="18F442EC" w14:textId="77777777" w:rsidR="00434B51" w:rsidRPr="002A75F2" w:rsidRDefault="00434B51" w:rsidP="00434B51">
      <w:pPr>
        <w:pStyle w:val="Heading2"/>
        <w:rPr>
          <w:rFonts w:cs="Arial"/>
        </w:rPr>
      </w:pPr>
      <w:bookmarkStart w:id="164" w:name="_Toc41905687"/>
      <w:r w:rsidRPr="002A75F2">
        <w:rPr>
          <w:rFonts w:cs="Arial"/>
        </w:rPr>
        <w:t>Contaminant Fate and Transport Modelling</w:t>
      </w:r>
      <w:bookmarkEnd w:id="164"/>
    </w:p>
    <w:p w14:paraId="6DB807FC" w14:textId="4B9533E6" w:rsidR="00434B51" w:rsidRPr="002A75F2" w:rsidRDefault="00434B51" w:rsidP="00434B51">
      <w:pPr>
        <w:rPr>
          <w:rFonts w:cs="Arial"/>
        </w:rPr>
      </w:pPr>
      <w:r w:rsidRPr="002A75F2">
        <w:rPr>
          <w:rFonts w:cs="Arial"/>
        </w:rPr>
        <w:t xml:space="preserve">For some contaminants and exposure pathways, fate and transport modelling in the subsurface must first be completed in order to determine the exposure point concentration. The exposure point concentration can be defined as the concentration in an environmental medium (soil, water, air, sediment) to which a human or ecological receptor is presumed to be exposed. In the development of the generic </w:t>
      </w:r>
      <w:r w:rsidR="005B614D" w:rsidRPr="002A75F2">
        <w:rPr>
          <w:rFonts w:cs="Arial"/>
        </w:rPr>
        <w:t>site condition standards</w:t>
      </w:r>
      <w:r w:rsidRPr="002A75F2">
        <w:rPr>
          <w:rFonts w:cs="Arial"/>
        </w:rPr>
        <w:t>, the Ministry relied on fate and transport algorithms (which are described in the Ministry’s 2011 Rationale document and included in the approved model) to determine the following:</w:t>
      </w:r>
    </w:p>
    <w:p w14:paraId="48174DDA" w14:textId="77777777" w:rsidR="00434B51" w:rsidRPr="002A75F2" w:rsidRDefault="00434B51" w:rsidP="00434B51">
      <w:pPr>
        <w:numPr>
          <w:ilvl w:val="0"/>
          <w:numId w:val="33"/>
        </w:numPr>
        <w:rPr>
          <w:rFonts w:cs="Arial"/>
        </w:rPr>
      </w:pPr>
      <w:proofErr w:type="spellStart"/>
      <w:r w:rsidRPr="002A75F2">
        <w:rPr>
          <w:rFonts w:cs="Arial"/>
        </w:rPr>
        <w:t>Vapour</w:t>
      </w:r>
      <w:proofErr w:type="spellEnd"/>
      <w:r w:rsidRPr="002A75F2">
        <w:rPr>
          <w:rFonts w:cs="Arial"/>
        </w:rPr>
        <w:t xml:space="preserve"> intrusion of contaminants (from both soil and groundwater sources);</w:t>
      </w:r>
    </w:p>
    <w:p w14:paraId="41126F0D" w14:textId="77777777" w:rsidR="00434B51" w:rsidRPr="002A75F2" w:rsidRDefault="00434B51" w:rsidP="00434B51">
      <w:pPr>
        <w:numPr>
          <w:ilvl w:val="0"/>
          <w:numId w:val="33"/>
        </w:numPr>
        <w:rPr>
          <w:rFonts w:cs="Arial"/>
        </w:rPr>
      </w:pPr>
      <w:r w:rsidRPr="002A75F2">
        <w:rPr>
          <w:rFonts w:cs="Arial"/>
        </w:rPr>
        <w:t>Leaching of soil contaminants to groundwater</w:t>
      </w:r>
      <w:r w:rsidR="00276998" w:rsidRPr="002A75F2">
        <w:rPr>
          <w:rFonts w:cs="Arial"/>
        </w:rPr>
        <w:t xml:space="preserve"> (note that the leaching was not modelled for inorganics)</w:t>
      </w:r>
      <w:r w:rsidRPr="002A75F2">
        <w:rPr>
          <w:rFonts w:cs="Arial"/>
        </w:rPr>
        <w:t>;</w:t>
      </w:r>
    </w:p>
    <w:p w14:paraId="7B3B0ACE" w14:textId="77777777" w:rsidR="00434B51" w:rsidRPr="002A75F2" w:rsidRDefault="00434B51" w:rsidP="00434B51">
      <w:pPr>
        <w:numPr>
          <w:ilvl w:val="0"/>
          <w:numId w:val="33"/>
        </w:numPr>
        <w:rPr>
          <w:rFonts w:cs="Arial"/>
        </w:rPr>
      </w:pPr>
      <w:r w:rsidRPr="002A75F2">
        <w:rPr>
          <w:rFonts w:cs="Arial"/>
        </w:rPr>
        <w:t>Migration of contaminants in groundwater to surface water;</w:t>
      </w:r>
    </w:p>
    <w:p w14:paraId="231A6CCF" w14:textId="77777777" w:rsidR="00434B51" w:rsidRPr="002A75F2" w:rsidRDefault="00434B51" w:rsidP="00434B51">
      <w:pPr>
        <w:rPr>
          <w:rFonts w:cs="Arial"/>
        </w:rPr>
      </w:pPr>
      <w:r w:rsidRPr="002A75F2">
        <w:rPr>
          <w:rFonts w:cs="Arial"/>
        </w:rPr>
        <w:t>In general, section 7 of the Ministry’s Rationale document details the fate and transport assumptions and equations used in the approved model.</w:t>
      </w:r>
    </w:p>
    <w:p w14:paraId="47CD114C" w14:textId="4D073196" w:rsidR="00434B51" w:rsidRPr="002A75F2" w:rsidRDefault="005E490C" w:rsidP="00434B51">
      <w:pPr>
        <w:rPr>
          <w:rFonts w:cs="Arial"/>
        </w:rPr>
      </w:pPr>
      <w:r w:rsidRPr="002A75F2">
        <w:rPr>
          <w:rFonts w:cs="Arial"/>
        </w:rPr>
        <w:lastRenderedPageBreak/>
        <w:t xml:space="preserve">In </w:t>
      </w:r>
      <w:r w:rsidR="00BA037E" w:rsidRPr="002A75F2">
        <w:rPr>
          <w:rFonts w:cs="Arial"/>
        </w:rPr>
        <w:t xml:space="preserve">a </w:t>
      </w:r>
      <w:r w:rsidRPr="002A75F2">
        <w:rPr>
          <w:rFonts w:cs="Arial"/>
        </w:rPr>
        <w:t xml:space="preserve">Tier 3 </w:t>
      </w:r>
      <w:r w:rsidR="008131C5" w:rsidRPr="002A75F2">
        <w:rPr>
          <w:rFonts w:cs="Arial"/>
        </w:rPr>
        <w:t>risk assessment</w:t>
      </w:r>
      <w:r w:rsidRPr="002A75F2">
        <w:rPr>
          <w:rFonts w:cs="Arial"/>
        </w:rPr>
        <w:t>, t</w:t>
      </w:r>
      <w:r w:rsidR="00434B51" w:rsidRPr="002A75F2">
        <w:rPr>
          <w:rFonts w:cs="Arial"/>
        </w:rPr>
        <w:t>he Ministry’s approved model can be used</w:t>
      </w:r>
      <w:r w:rsidRPr="002A75F2">
        <w:rPr>
          <w:rFonts w:cs="Arial"/>
        </w:rPr>
        <w:t xml:space="preserve"> to assess specific exposure pathways. H</w:t>
      </w:r>
      <w:r w:rsidR="00434B51" w:rsidRPr="002A75F2">
        <w:rPr>
          <w:rFonts w:cs="Arial"/>
        </w:rPr>
        <w:t>owever</w:t>
      </w:r>
      <w:r w:rsidRPr="002A75F2">
        <w:rPr>
          <w:rFonts w:cs="Arial"/>
        </w:rPr>
        <w:t xml:space="preserve">, </w:t>
      </w:r>
      <w:r w:rsidR="00434B51" w:rsidRPr="002A75F2">
        <w:rPr>
          <w:rFonts w:cs="Arial"/>
        </w:rPr>
        <w:t>the QP</w:t>
      </w:r>
      <w:r w:rsidR="00434B51" w:rsidRPr="002A75F2">
        <w:rPr>
          <w:rFonts w:cs="Arial"/>
          <w:vertAlign w:val="subscript"/>
        </w:rPr>
        <w:t>RA</w:t>
      </w:r>
      <w:r w:rsidR="00434B51" w:rsidRPr="002A75F2">
        <w:rPr>
          <w:rFonts w:cs="Arial"/>
        </w:rPr>
        <w:t xml:space="preserve"> and </w:t>
      </w:r>
      <w:r w:rsidR="00B24C01" w:rsidRPr="002A75F2">
        <w:rPr>
          <w:rFonts w:cs="Arial"/>
        </w:rPr>
        <w:t>risk assessment</w:t>
      </w:r>
      <w:r w:rsidR="00434B51" w:rsidRPr="002A75F2">
        <w:rPr>
          <w:rFonts w:cs="Arial"/>
        </w:rPr>
        <w:t xml:space="preserve"> team </w:t>
      </w:r>
      <w:r w:rsidRPr="002A75F2">
        <w:rPr>
          <w:rFonts w:cs="Arial"/>
        </w:rPr>
        <w:t xml:space="preserve">must </w:t>
      </w:r>
      <w:r w:rsidR="00434B51" w:rsidRPr="002A75F2">
        <w:rPr>
          <w:rFonts w:cs="Arial"/>
        </w:rPr>
        <w:t>first confirm that the Ministry’s modelling approach and related limitations and assumptions (including all input parameters used in the model) are appropriate for use at the RA property, based on their understanding of site-specific conditions. When using site-specific input parameters in the approved model as part of the HHRA and/or ERA, the Ministry’s expectation is that the requirements of Table 4 of Schedule E are met (or equivalent rationale provided) when selecting and/or modifying input parameters.</w:t>
      </w:r>
    </w:p>
    <w:p w14:paraId="211D711F" w14:textId="77777777" w:rsidR="00434B51" w:rsidRPr="000C60E1" w:rsidRDefault="00434B51" w:rsidP="00434B51">
      <w:pPr>
        <w:rPr>
          <w:rFonts w:cs="Arial"/>
        </w:rPr>
      </w:pPr>
    </w:p>
    <w:p w14:paraId="018963F1" w14:textId="77777777" w:rsidR="00434B51" w:rsidRPr="000C60E1" w:rsidRDefault="00434B51" w:rsidP="00D501F7">
      <w:pPr>
        <w:rPr>
          <w:rFonts w:cs="Arial"/>
        </w:rPr>
      </w:pPr>
    </w:p>
    <w:p w14:paraId="0ECBD870" w14:textId="77777777" w:rsidR="00B736F9" w:rsidRPr="000C60E1" w:rsidRDefault="00E6354E" w:rsidP="00E6354E">
      <w:pPr>
        <w:pStyle w:val="Heading1"/>
      </w:pPr>
      <w:bookmarkStart w:id="165" w:name="_Toc91393551"/>
      <w:bookmarkStart w:id="166" w:name="_Toc112727414"/>
      <w:bookmarkStart w:id="167" w:name="_Toc41905688"/>
      <w:bookmarkEnd w:id="129"/>
      <w:r w:rsidRPr="000C60E1">
        <w:lastRenderedPageBreak/>
        <w:t>Human Health Risk Assessment</w:t>
      </w:r>
      <w:bookmarkStart w:id="168" w:name="_Toc74119413"/>
      <w:bookmarkStart w:id="169" w:name="_Toc74450893"/>
      <w:bookmarkEnd w:id="130"/>
      <w:bookmarkEnd w:id="131"/>
      <w:bookmarkEnd w:id="165"/>
      <w:bookmarkEnd w:id="166"/>
      <w:bookmarkEnd w:id="167"/>
    </w:p>
    <w:p w14:paraId="3D3B09E5" w14:textId="77777777" w:rsidR="00B736F9" w:rsidRPr="000C60E1" w:rsidRDefault="00B736F9" w:rsidP="00E6354E">
      <w:pPr>
        <w:pStyle w:val="Heading2"/>
        <w:rPr>
          <w:rFonts w:cs="Arial"/>
        </w:rPr>
      </w:pPr>
      <w:bookmarkStart w:id="170" w:name="_Toc91393552"/>
      <w:bookmarkStart w:id="171" w:name="_Toc112727415"/>
      <w:bookmarkStart w:id="172" w:name="_Toc41905689"/>
      <w:r w:rsidRPr="000C60E1">
        <w:rPr>
          <w:rFonts w:cs="Arial"/>
        </w:rPr>
        <w:t>Problem Formulation</w:t>
      </w:r>
      <w:bookmarkEnd w:id="170"/>
      <w:bookmarkEnd w:id="171"/>
      <w:bookmarkEnd w:id="172"/>
    </w:p>
    <w:p w14:paraId="1CF766EE" w14:textId="28061BF0" w:rsidR="00B736F9" w:rsidRPr="000C60E1" w:rsidRDefault="00B736F9" w:rsidP="00840964">
      <w:pPr>
        <w:rPr>
          <w:rFonts w:cs="Arial"/>
        </w:rPr>
      </w:pPr>
      <w:r w:rsidRPr="000C60E1">
        <w:rPr>
          <w:rFonts w:cs="Arial"/>
        </w:rPr>
        <w:t xml:space="preserve">The first component in the HHRA is Problem Formulation. The minimum requirements for the Problem Formulation component of HHRA are provided in Table 1 of </w:t>
      </w:r>
      <w:r w:rsidR="00E54D38" w:rsidRPr="000C60E1">
        <w:rPr>
          <w:rFonts w:cs="Arial"/>
        </w:rPr>
        <w:t xml:space="preserve">Schedule C of </w:t>
      </w:r>
      <w:r w:rsidRPr="000C60E1">
        <w:rPr>
          <w:rFonts w:cs="Arial"/>
        </w:rPr>
        <w:t>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D26AB8" w:rsidRPr="000C0EF2" w14:paraId="324B5F98" w14:textId="77777777" w:rsidTr="005B40DA">
        <w:trPr>
          <w:trHeight w:val="20"/>
          <w:tblHeader/>
        </w:trPr>
        <w:tc>
          <w:tcPr>
            <w:tcW w:w="2468" w:type="dxa"/>
          </w:tcPr>
          <w:p w14:paraId="5A347441" w14:textId="77777777" w:rsidR="00D26AB8" w:rsidRPr="000C0EF2" w:rsidRDefault="00D26A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295CB982" w14:textId="77777777" w:rsidR="00D26AB8" w:rsidRPr="000C0EF2" w:rsidRDefault="00D26A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6545662C" w14:textId="77777777" w:rsidR="00D26AB8" w:rsidRPr="000C0EF2" w:rsidRDefault="00D26A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26D9DCC" w14:textId="77777777" w:rsidR="00D26AB8" w:rsidRPr="000C0EF2" w:rsidRDefault="00D26AB8" w:rsidP="000C0EF2">
            <w:pPr>
              <w:pStyle w:val="table-e"/>
              <w:spacing w:line="240" w:lineRule="auto"/>
              <w:rPr>
                <w:b/>
                <w:sz w:val="24"/>
              </w:rPr>
            </w:pPr>
            <w:r w:rsidRPr="000C0EF2">
              <w:rPr>
                <w:b/>
                <w:sz w:val="24"/>
              </w:rPr>
              <w:t>Column 4</w:t>
            </w:r>
            <w:r w:rsidRPr="000C0EF2">
              <w:rPr>
                <w:b/>
                <w:sz w:val="24"/>
              </w:rPr>
              <w:br/>
              <w:t>Minimum Requirements</w:t>
            </w:r>
          </w:p>
        </w:tc>
      </w:tr>
      <w:tr w:rsidR="00D26AB8" w:rsidRPr="000C0EF2" w14:paraId="303B84DE" w14:textId="77777777" w:rsidTr="005B40DA">
        <w:trPr>
          <w:trHeight w:val="20"/>
        </w:trPr>
        <w:tc>
          <w:tcPr>
            <w:tcW w:w="2468" w:type="dxa"/>
          </w:tcPr>
          <w:p w14:paraId="109F24CF" w14:textId="77777777" w:rsidR="00D26AB8" w:rsidRPr="000C0EF2" w:rsidRDefault="00D26AB8" w:rsidP="000C0EF2">
            <w:pPr>
              <w:pStyle w:val="table-e"/>
              <w:spacing w:line="240" w:lineRule="auto"/>
              <w:rPr>
                <w:sz w:val="24"/>
              </w:rPr>
            </w:pPr>
            <w:r w:rsidRPr="000C0EF2">
              <w:rPr>
                <w:sz w:val="24"/>
              </w:rPr>
              <w:t>4.  Human Health Risk Assessment (HHRA)</w:t>
            </w:r>
          </w:p>
        </w:tc>
        <w:tc>
          <w:tcPr>
            <w:tcW w:w="2014" w:type="dxa"/>
          </w:tcPr>
          <w:p w14:paraId="4453E3D4" w14:textId="77777777" w:rsidR="00D26AB8" w:rsidRPr="000C0EF2" w:rsidRDefault="00D26AB8" w:rsidP="000C0EF2">
            <w:pPr>
              <w:pStyle w:val="table-e"/>
              <w:spacing w:line="240" w:lineRule="auto"/>
              <w:rPr>
                <w:sz w:val="24"/>
              </w:rPr>
            </w:pPr>
            <w:r w:rsidRPr="000C0EF2">
              <w:rPr>
                <w:sz w:val="24"/>
              </w:rPr>
              <w:t xml:space="preserve">(a)  Problem Formulation </w:t>
            </w:r>
          </w:p>
        </w:tc>
        <w:tc>
          <w:tcPr>
            <w:tcW w:w="1839" w:type="dxa"/>
          </w:tcPr>
          <w:p w14:paraId="6158128E" w14:textId="77777777" w:rsidR="00D26AB8" w:rsidRPr="000C0EF2" w:rsidRDefault="00D26AB8"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Human Health Conceptual Site Model</w:t>
            </w:r>
          </w:p>
        </w:tc>
        <w:tc>
          <w:tcPr>
            <w:tcW w:w="3759" w:type="dxa"/>
          </w:tcPr>
          <w:p w14:paraId="0ACCC9ED" w14:textId="77777777" w:rsidR="00D26AB8" w:rsidRPr="000C0EF2" w:rsidRDefault="00D26AB8" w:rsidP="000C0EF2">
            <w:pPr>
              <w:pStyle w:val="table-e"/>
              <w:spacing w:line="240" w:lineRule="auto"/>
              <w:rPr>
                <w:sz w:val="24"/>
              </w:rPr>
            </w:pPr>
            <w:r w:rsidRPr="000C0EF2">
              <w:rPr>
                <w:sz w:val="24"/>
              </w:rPr>
              <w:t>Provide a human health conceptual site model that,</w:t>
            </w:r>
          </w:p>
          <w:p w14:paraId="6D6B31A2" w14:textId="77777777" w:rsidR="00D26AB8" w:rsidRPr="000C0EF2" w:rsidRDefault="00D26AB8" w:rsidP="000C0EF2">
            <w:pPr>
              <w:pStyle w:val="table-e"/>
              <w:spacing w:line="240" w:lineRule="auto"/>
              <w:rPr>
                <w:sz w:val="24"/>
              </w:rPr>
            </w:pPr>
            <w:r w:rsidRPr="000C0EF2">
              <w:rPr>
                <w:sz w:val="24"/>
              </w:rPr>
              <w:t>(a)  satisfies the requirements of clause 3 (8) (b) and is consistent with the information upon which the diagrams referred to in that clause are based;</w:t>
            </w:r>
          </w:p>
          <w:p w14:paraId="445BF7F5" w14:textId="77777777" w:rsidR="00D26AB8" w:rsidRPr="000C0EF2" w:rsidRDefault="00D26AB8" w:rsidP="000C0EF2">
            <w:pPr>
              <w:pStyle w:val="table-e"/>
              <w:spacing w:line="240" w:lineRule="auto"/>
              <w:rPr>
                <w:sz w:val="24"/>
              </w:rPr>
            </w:pPr>
            <w:r w:rsidRPr="000C0EF2">
              <w:rPr>
                <w:sz w:val="24"/>
              </w:rPr>
              <w:t>(b)  explains how the information provided under Report Section 3 (Property Information, Site Plan and Geological Interpretation) was incorporated into and is consistent with the human health conceptual site model; and</w:t>
            </w:r>
          </w:p>
          <w:p w14:paraId="17443F42" w14:textId="77777777" w:rsidR="00D26AB8" w:rsidRPr="000C0EF2" w:rsidRDefault="00D26AB8" w:rsidP="000C0EF2">
            <w:pPr>
              <w:pStyle w:val="table-e"/>
              <w:spacing w:line="240" w:lineRule="auto"/>
              <w:rPr>
                <w:sz w:val="24"/>
              </w:rPr>
            </w:pPr>
            <w:r w:rsidRPr="000C0EF2">
              <w:rPr>
                <w:sz w:val="24"/>
              </w:rPr>
              <w:t>(c)  was relied upon in the preparation of the risk assessment.</w:t>
            </w:r>
          </w:p>
        </w:tc>
      </w:tr>
      <w:tr w:rsidR="00D26AB8" w:rsidRPr="000C0EF2" w14:paraId="751FBE41" w14:textId="77777777" w:rsidTr="005B40DA">
        <w:trPr>
          <w:trHeight w:val="20"/>
        </w:trPr>
        <w:tc>
          <w:tcPr>
            <w:tcW w:w="2468" w:type="dxa"/>
          </w:tcPr>
          <w:p w14:paraId="766513D5" w14:textId="77777777" w:rsidR="00D26AB8" w:rsidRPr="000C0EF2" w:rsidRDefault="00D26AB8" w:rsidP="000C0EF2">
            <w:pPr>
              <w:pStyle w:val="table-e"/>
              <w:spacing w:line="240" w:lineRule="auto"/>
              <w:rPr>
                <w:sz w:val="24"/>
              </w:rPr>
            </w:pPr>
            <w:r w:rsidRPr="000C0EF2">
              <w:rPr>
                <w:sz w:val="24"/>
              </w:rPr>
              <w:t>4.  Human Health Risk Assessment (HHRA)</w:t>
            </w:r>
          </w:p>
        </w:tc>
        <w:tc>
          <w:tcPr>
            <w:tcW w:w="2014" w:type="dxa"/>
          </w:tcPr>
          <w:p w14:paraId="1EB6D4C2" w14:textId="77777777" w:rsidR="00D26AB8" w:rsidRPr="000C0EF2" w:rsidRDefault="00D26AB8" w:rsidP="000C0EF2">
            <w:pPr>
              <w:pStyle w:val="table-e"/>
              <w:spacing w:line="240" w:lineRule="auto"/>
              <w:rPr>
                <w:sz w:val="24"/>
              </w:rPr>
            </w:pPr>
            <w:r w:rsidRPr="000C0EF2">
              <w:rPr>
                <w:sz w:val="24"/>
              </w:rPr>
              <w:t>(a)  Problem Formulation</w:t>
            </w:r>
          </w:p>
        </w:tc>
        <w:tc>
          <w:tcPr>
            <w:tcW w:w="1839" w:type="dxa"/>
          </w:tcPr>
          <w:p w14:paraId="670CCC0C" w14:textId="77777777" w:rsidR="00D26AB8" w:rsidRPr="000C0EF2" w:rsidRDefault="00D26AB8" w:rsidP="000C0EF2">
            <w:pPr>
              <w:pStyle w:val="table-e"/>
              <w:spacing w:line="240" w:lineRule="auto"/>
              <w:rPr>
                <w:sz w:val="24"/>
              </w:rPr>
            </w:pPr>
            <w:r w:rsidRPr="000C0EF2">
              <w:rPr>
                <w:sz w:val="24"/>
              </w:rPr>
              <w:t>(ii)  Risk Assessment Objectives</w:t>
            </w:r>
          </w:p>
        </w:tc>
        <w:tc>
          <w:tcPr>
            <w:tcW w:w="3759" w:type="dxa"/>
          </w:tcPr>
          <w:p w14:paraId="70FCE3B0" w14:textId="77777777" w:rsidR="00D26AB8" w:rsidRPr="000C0EF2" w:rsidRDefault="00D26AB8" w:rsidP="000C0EF2">
            <w:pPr>
              <w:pStyle w:val="table-e"/>
              <w:spacing w:line="240" w:lineRule="auto"/>
              <w:rPr>
                <w:sz w:val="24"/>
              </w:rPr>
            </w:pPr>
            <w:r w:rsidRPr="000C0EF2">
              <w:rPr>
                <w:sz w:val="24"/>
              </w:rPr>
              <w:t>1.  State the objectives of the human health risk assessment and include an indication of,</w:t>
            </w:r>
          </w:p>
          <w:p w14:paraId="30B7D664" w14:textId="77777777" w:rsidR="00D26AB8" w:rsidRPr="000C0EF2" w:rsidRDefault="00D26AB8" w:rsidP="000C0EF2">
            <w:pPr>
              <w:pStyle w:val="table-e"/>
              <w:spacing w:line="240" w:lineRule="auto"/>
              <w:rPr>
                <w:sz w:val="24"/>
              </w:rPr>
            </w:pPr>
            <w:r w:rsidRPr="000C0EF2">
              <w:rPr>
                <w:sz w:val="24"/>
              </w:rPr>
              <w:t>(a)  the proposed use of the RA property;</w:t>
            </w:r>
          </w:p>
          <w:p w14:paraId="17A8931F" w14:textId="77777777" w:rsidR="00D26AB8" w:rsidRPr="000C0EF2" w:rsidRDefault="00D26AB8" w:rsidP="000C0EF2">
            <w:pPr>
              <w:pStyle w:val="table-e"/>
              <w:spacing w:line="240" w:lineRule="auto"/>
              <w:rPr>
                <w:sz w:val="24"/>
              </w:rPr>
            </w:pPr>
            <w:r w:rsidRPr="000C0EF2">
              <w:rPr>
                <w:sz w:val="24"/>
              </w:rPr>
              <w:t>(b)  the receptors and exposure pathways to be assessed by the human health risk assessment;</w:t>
            </w:r>
          </w:p>
          <w:p w14:paraId="3920C91B" w14:textId="77777777" w:rsidR="00D26AB8" w:rsidRPr="000C0EF2" w:rsidRDefault="00D26AB8" w:rsidP="000C0EF2">
            <w:pPr>
              <w:pStyle w:val="table-e"/>
              <w:spacing w:line="240" w:lineRule="auto"/>
              <w:rPr>
                <w:sz w:val="24"/>
              </w:rPr>
            </w:pPr>
            <w:r w:rsidRPr="000C0EF2">
              <w:rPr>
                <w:sz w:val="24"/>
              </w:rPr>
              <w:t>(c)  whether a qualitative or quantitative assessment of risk or both will be used in the human health risk assessment; and</w:t>
            </w:r>
          </w:p>
          <w:p w14:paraId="39CFD72B" w14:textId="77777777" w:rsidR="00D26AB8" w:rsidRPr="000C0EF2" w:rsidRDefault="00D26AB8" w:rsidP="000C0EF2">
            <w:pPr>
              <w:pStyle w:val="table-e"/>
              <w:spacing w:line="240" w:lineRule="auto"/>
              <w:rPr>
                <w:sz w:val="24"/>
              </w:rPr>
            </w:pPr>
            <w:r w:rsidRPr="000C0EF2">
              <w:rPr>
                <w:sz w:val="24"/>
              </w:rPr>
              <w:t>(d)  the type of approach used for the human health risk assessment.</w:t>
            </w:r>
          </w:p>
          <w:p w14:paraId="757E5599" w14:textId="77777777" w:rsidR="00D26AB8" w:rsidRPr="000C0EF2" w:rsidRDefault="00D26AB8" w:rsidP="000C0EF2">
            <w:pPr>
              <w:pStyle w:val="table-e"/>
              <w:spacing w:line="240" w:lineRule="auto"/>
              <w:rPr>
                <w:sz w:val="24"/>
              </w:rPr>
            </w:pPr>
            <w:r w:rsidRPr="000C0EF2">
              <w:rPr>
                <w:sz w:val="24"/>
              </w:rPr>
              <w:t xml:space="preserve">2.  Demonstrate that the data used for the human health risk assessment is sufficient to meet </w:t>
            </w:r>
            <w:r w:rsidRPr="000C0EF2">
              <w:rPr>
                <w:sz w:val="24"/>
              </w:rPr>
              <w:lastRenderedPageBreak/>
              <w:t xml:space="preserve">the objectives of the assessment, having regard to, </w:t>
            </w:r>
          </w:p>
          <w:p w14:paraId="0AA6CBA4" w14:textId="77777777" w:rsidR="00D26AB8" w:rsidRPr="000C0EF2" w:rsidRDefault="00D26AB8" w:rsidP="000C0EF2">
            <w:pPr>
              <w:pStyle w:val="table-e"/>
              <w:spacing w:line="240" w:lineRule="auto"/>
              <w:rPr>
                <w:sz w:val="24"/>
              </w:rPr>
            </w:pPr>
            <w:r w:rsidRPr="000C0EF2">
              <w:rPr>
                <w:sz w:val="24"/>
              </w:rPr>
              <w:t xml:space="preserve">(a)  the data quality objectives specified in the reports on the sampling program </w:t>
            </w:r>
            <w:r w:rsidRPr="000C0EF2">
              <w:rPr>
                <w:sz w:val="24"/>
                <w:lang w:val="en-CA"/>
              </w:rPr>
              <w:t>summarized</w:t>
            </w:r>
            <w:r w:rsidRPr="000C0EF2">
              <w:rPr>
                <w:sz w:val="24"/>
              </w:rPr>
              <w:t xml:space="preserve"> in the appendices to the risk assessment report; and</w:t>
            </w:r>
          </w:p>
          <w:p w14:paraId="3BDF0C33" w14:textId="77777777" w:rsidR="00D26AB8" w:rsidRPr="000C0EF2" w:rsidRDefault="00D26AB8" w:rsidP="000C0EF2">
            <w:pPr>
              <w:pStyle w:val="table-e"/>
              <w:spacing w:line="240" w:lineRule="auto"/>
              <w:rPr>
                <w:sz w:val="24"/>
              </w:rPr>
            </w:pPr>
            <w:r w:rsidRPr="000C0EF2">
              <w:rPr>
                <w:sz w:val="24"/>
              </w:rPr>
              <w:t>(b)  any other relevant information the qualified person has gathered or obtained in conducting the assessment.</w:t>
            </w:r>
          </w:p>
          <w:p w14:paraId="76E3CE26" w14:textId="77777777" w:rsidR="00D26AB8" w:rsidRPr="000C0EF2" w:rsidRDefault="00D26AB8" w:rsidP="000C0EF2">
            <w:pPr>
              <w:pStyle w:val="table-e"/>
              <w:spacing w:line="240" w:lineRule="auto"/>
              <w:rPr>
                <w:sz w:val="24"/>
              </w:rPr>
            </w:pPr>
            <w:r w:rsidRPr="000C0EF2">
              <w:rPr>
                <w:sz w:val="24"/>
              </w:rPr>
              <w:t>3.  State how any uncertainty resulting from variable data, poor data quality or gaps in data in relation to the RA property affected,</w:t>
            </w:r>
          </w:p>
          <w:p w14:paraId="1C688EE7" w14:textId="77777777" w:rsidR="00D26AB8" w:rsidRPr="000C0EF2" w:rsidRDefault="00D26AB8" w:rsidP="000C0EF2">
            <w:pPr>
              <w:pStyle w:val="table-e"/>
              <w:spacing w:line="240" w:lineRule="auto"/>
              <w:rPr>
                <w:sz w:val="24"/>
              </w:rPr>
            </w:pPr>
            <w:r w:rsidRPr="000C0EF2">
              <w:rPr>
                <w:sz w:val="24"/>
              </w:rPr>
              <w:t>(a)  the setting of objectives for the human health risk assessment; and</w:t>
            </w:r>
          </w:p>
          <w:p w14:paraId="723EFA93" w14:textId="77777777" w:rsidR="00D26AB8" w:rsidRPr="000C0EF2" w:rsidRDefault="00D26AB8" w:rsidP="000C0EF2">
            <w:pPr>
              <w:pStyle w:val="table-e"/>
              <w:spacing w:line="240" w:lineRule="auto"/>
              <w:rPr>
                <w:sz w:val="24"/>
              </w:rPr>
            </w:pPr>
            <w:r w:rsidRPr="000C0EF2">
              <w:rPr>
                <w:sz w:val="24"/>
              </w:rPr>
              <w:t>(b)  the ability to meet those objectives.</w:t>
            </w:r>
          </w:p>
        </w:tc>
      </w:tr>
    </w:tbl>
    <w:p w14:paraId="5DD2B055" w14:textId="77777777" w:rsidR="00B736F9" w:rsidRPr="000C60E1" w:rsidRDefault="00B736F9" w:rsidP="00DE496B">
      <w:pPr>
        <w:pStyle w:val="Heading3"/>
        <w:rPr>
          <w:rFonts w:cs="Arial"/>
        </w:rPr>
      </w:pPr>
      <w:bookmarkStart w:id="173" w:name="_Toc91393553"/>
      <w:bookmarkStart w:id="174" w:name="_Toc112727416"/>
      <w:bookmarkStart w:id="175" w:name="_Toc41905690"/>
      <w:r w:rsidRPr="000C60E1">
        <w:rPr>
          <w:rFonts w:cs="Arial"/>
        </w:rPr>
        <w:lastRenderedPageBreak/>
        <w:t>Human Health Conceptual Site Model</w:t>
      </w:r>
      <w:bookmarkEnd w:id="173"/>
      <w:bookmarkEnd w:id="174"/>
      <w:bookmarkEnd w:id="175"/>
    </w:p>
    <w:p w14:paraId="76C39C4B" w14:textId="0D6A94DE" w:rsidR="000A4E3A" w:rsidRPr="000C60E1" w:rsidRDefault="00B736F9" w:rsidP="00840964">
      <w:pPr>
        <w:rPr>
          <w:rFonts w:cs="Arial"/>
        </w:rPr>
      </w:pPr>
      <w:r w:rsidRPr="000C60E1">
        <w:rPr>
          <w:rFonts w:cs="Arial"/>
        </w:rPr>
        <w:t xml:space="preserve">The human health conceptual site model is a </w:t>
      </w:r>
      <w:r w:rsidR="00E458D0" w:rsidRPr="000C60E1">
        <w:rPr>
          <w:rFonts w:cs="Arial"/>
        </w:rPr>
        <w:t xml:space="preserve">physical </w:t>
      </w:r>
      <w:r w:rsidRPr="000C60E1">
        <w:rPr>
          <w:rFonts w:cs="Arial"/>
        </w:rPr>
        <w:t xml:space="preserve">description of the potential contamination problem </w:t>
      </w:r>
      <w:r w:rsidR="00E458D0" w:rsidRPr="000C60E1">
        <w:rPr>
          <w:rFonts w:cs="Arial"/>
        </w:rPr>
        <w:t xml:space="preserve">to be assessed </w:t>
      </w:r>
      <w:r w:rsidRPr="000C60E1">
        <w:rPr>
          <w:rFonts w:cs="Arial"/>
        </w:rPr>
        <w:t xml:space="preserve">from a human exposure and health risk </w:t>
      </w:r>
      <w:r w:rsidR="00FB474A" w:rsidRPr="000C60E1">
        <w:rPr>
          <w:rFonts w:cs="Arial"/>
        </w:rPr>
        <w:t>perspective</w:t>
      </w:r>
      <w:r w:rsidRPr="000C60E1">
        <w:rPr>
          <w:rFonts w:cs="Arial"/>
        </w:rPr>
        <w:t>. The human health conceptual site model must meet the requirements of the Regulation as described in</w:t>
      </w:r>
      <w:r w:rsidR="000A4E3A" w:rsidRPr="000C60E1">
        <w:rPr>
          <w:rFonts w:cs="Arial"/>
        </w:rPr>
        <w:t>:</w:t>
      </w:r>
    </w:p>
    <w:p w14:paraId="494FED45" w14:textId="77777777" w:rsidR="000A4E3A" w:rsidRPr="000C60E1" w:rsidRDefault="001C1D66" w:rsidP="00A47B50">
      <w:pPr>
        <w:numPr>
          <w:ilvl w:val="0"/>
          <w:numId w:val="22"/>
        </w:numPr>
        <w:shd w:val="clear" w:color="auto" w:fill="D9D9D9"/>
        <w:rPr>
          <w:rFonts w:cs="Arial"/>
        </w:rPr>
      </w:pPr>
      <w:r w:rsidRPr="000C60E1">
        <w:rPr>
          <w:rFonts w:cs="Arial"/>
        </w:rPr>
        <w:t>Section</w:t>
      </w:r>
      <w:r w:rsidR="00B736F9" w:rsidRPr="000C60E1">
        <w:rPr>
          <w:rFonts w:cs="Arial"/>
        </w:rPr>
        <w:t xml:space="preserve"> 3</w:t>
      </w:r>
      <w:r w:rsidR="000A4E3A" w:rsidRPr="000C60E1">
        <w:rPr>
          <w:rFonts w:cs="Arial"/>
        </w:rPr>
        <w:t xml:space="preserve"> </w:t>
      </w:r>
      <w:r w:rsidR="00B736F9" w:rsidRPr="000C60E1">
        <w:rPr>
          <w:rFonts w:cs="Arial"/>
        </w:rPr>
        <w:t>(8)(b)</w:t>
      </w:r>
      <w:r w:rsidR="000A4E3A" w:rsidRPr="000C60E1">
        <w:rPr>
          <w:rFonts w:cs="Arial"/>
        </w:rPr>
        <w:t xml:space="preserve"> of Schedule C</w:t>
      </w:r>
    </w:p>
    <w:p w14:paraId="1A4E4C02" w14:textId="77777777" w:rsidR="000A4E3A" w:rsidRPr="000C60E1" w:rsidRDefault="00B736F9" w:rsidP="00A47B50">
      <w:pPr>
        <w:numPr>
          <w:ilvl w:val="0"/>
          <w:numId w:val="22"/>
        </w:numPr>
        <w:shd w:val="clear" w:color="auto" w:fill="D9D9D9"/>
        <w:rPr>
          <w:rFonts w:cs="Arial"/>
        </w:rPr>
      </w:pPr>
      <w:r w:rsidRPr="000C60E1">
        <w:rPr>
          <w:rFonts w:cs="Arial"/>
        </w:rPr>
        <w:t xml:space="preserve">Table 1 </w:t>
      </w:r>
      <w:r w:rsidR="000A4E3A" w:rsidRPr="000C60E1">
        <w:rPr>
          <w:rFonts w:cs="Arial"/>
        </w:rPr>
        <w:t xml:space="preserve">of Schedule C, </w:t>
      </w:r>
      <w:r w:rsidRPr="000C60E1">
        <w:rPr>
          <w:rFonts w:cs="Arial"/>
        </w:rPr>
        <w:t>Report Section 4</w:t>
      </w:r>
      <w:r w:rsidR="000A4E3A" w:rsidRPr="000C60E1">
        <w:rPr>
          <w:rFonts w:cs="Arial"/>
        </w:rPr>
        <w:t xml:space="preserve">. </w:t>
      </w:r>
      <w:r w:rsidRPr="000C60E1">
        <w:rPr>
          <w:rFonts w:cs="Arial"/>
        </w:rPr>
        <w:t>Human Health Risk Assessment</w:t>
      </w:r>
    </w:p>
    <w:p w14:paraId="48C69755" w14:textId="4CDDB17C" w:rsidR="00B736F9" w:rsidRPr="000C60E1" w:rsidRDefault="00B736F9" w:rsidP="00840964">
      <w:pPr>
        <w:rPr>
          <w:rFonts w:cs="Arial"/>
        </w:rPr>
      </w:pPr>
      <w:r w:rsidRPr="000C60E1">
        <w:rPr>
          <w:rFonts w:cs="Arial"/>
        </w:rPr>
        <w:t xml:space="preserve">Potential receptor populations for the proposed property use must be identified along with all associated potential exposure routes and pathways. For each of the sources of COCs for the RA property, the </w:t>
      </w:r>
      <w:r w:rsidR="000767FF" w:rsidRPr="000C60E1">
        <w:rPr>
          <w:rFonts w:cs="Arial"/>
        </w:rPr>
        <w:t>QP</w:t>
      </w:r>
      <w:r w:rsidR="000767FF" w:rsidRPr="000C60E1">
        <w:rPr>
          <w:rFonts w:cs="Arial"/>
          <w:vertAlign w:val="subscript"/>
        </w:rPr>
        <w:t>RA</w:t>
      </w:r>
      <w:r w:rsidRPr="000C60E1">
        <w:rPr>
          <w:rFonts w:cs="Arial"/>
        </w:rPr>
        <w:t xml:space="preserve"> must ensure that the </w:t>
      </w:r>
      <w:r w:rsidR="00A91142" w:rsidRPr="000C60E1">
        <w:rPr>
          <w:rFonts w:cs="Arial"/>
        </w:rPr>
        <w:t>conceptual site model</w:t>
      </w:r>
      <w:r w:rsidRPr="000C60E1">
        <w:rPr>
          <w:rFonts w:cs="Arial"/>
        </w:rPr>
        <w:t xml:space="preserve"> identifies 1) the release mechanisms and transport pathways, 2) all human receptors located both on and off the RA property, as well as exposure points and routes of exposure.</w:t>
      </w:r>
    </w:p>
    <w:p w14:paraId="05A870F9" w14:textId="77777777" w:rsidR="00B736F9" w:rsidRPr="000C60E1" w:rsidRDefault="00B736F9" w:rsidP="00840964">
      <w:pPr>
        <w:rPr>
          <w:rFonts w:cs="Arial"/>
        </w:rPr>
      </w:pPr>
      <w:r w:rsidRPr="000C60E1">
        <w:rPr>
          <w:rFonts w:cs="Arial"/>
        </w:rPr>
        <w:t xml:space="preserve">The human health conceptual site </w:t>
      </w:r>
      <w:r w:rsidRPr="002A75F2">
        <w:rPr>
          <w:rFonts w:cs="Arial"/>
        </w:rPr>
        <w:t xml:space="preserve">model must identify potential exposure pathways for those receptors based on physical/chemical characteristics of the COCs and geological characteristics of the site as identified in the subsurface transport component of the conceptual site model </w:t>
      </w:r>
      <w:r w:rsidR="00287614" w:rsidRPr="002A75F2">
        <w:rPr>
          <w:rFonts w:cs="Arial"/>
        </w:rPr>
        <w:t xml:space="preserve">(i.e. phase two conceptual site model) </w:t>
      </w:r>
      <w:r w:rsidRPr="002A75F2">
        <w:rPr>
          <w:rFonts w:cs="Arial"/>
        </w:rPr>
        <w:t>in</w:t>
      </w:r>
      <w:r w:rsidRPr="000C60E1">
        <w:rPr>
          <w:rFonts w:cs="Arial"/>
        </w:rPr>
        <w:t xml:space="preserve"> Report Section 3. </w:t>
      </w:r>
    </w:p>
    <w:p w14:paraId="2A02B2CF" w14:textId="77777777" w:rsidR="00B736F9" w:rsidRPr="000C60E1" w:rsidRDefault="00B736F9" w:rsidP="00840964">
      <w:pPr>
        <w:rPr>
          <w:rFonts w:cs="Arial"/>
        </w:rPr>
      </w:pPr>
      <w:r w:rsidRPr="000C60E1">
        <w:rPr>
          <w:rFonts w:cs="Arial"/>
        </w:rPr>
        <w:lastRenderedPageBreak/>
        <w:t>The human health conceptual site model must clearly distinguish between pathways which are naturally incomplete and those which may be rendered incomplete through risk management measures.</w:t>
      </w:r>
    </w:p>
    <w:p w14:paraId="44928B70" w14:textId="6FEEBBA9" w:rsidR="00B736F9" w:rsidRPr="000C60E1" w:rsidRDefault="00B736F9" w:rsidP="00840964">
      <w:pPr>
        <w:rPr>
          <w:rFonts w:cs="Arial"/>
        </w:rPr>
      </w:pPr>
      <w:r w:rsidRPr="000C60E1">
        <w:rPr>
          <w:rFonts w:cs="Arial"/>
        </w:rPr>
        <w:t xml:space="preserve">For each applicable receptor, </w:t>
      </w:r>
      <w:r w:rsidR="005960C1" w:rsidRPr="000C60E1">
        <w:rPr>
          <w:rFonts w:cs="Arial"/>
        </w:rPr>
        <w:t xml:space="preserve">the </w:t>
      </w:r>
      <w:r w:rsidR="00B24C01" w:rsidRPr="000C60E1">
        <w:rPr>
          <w:rFonts w:cs="Arial"/>
        </w:rPr>
        <w:t>risk assessment</w:t>
      </w:r>
      <w:r w:rsidR="005960C1" w:rsidRPr="000C60E1">
        <w:rPr>
          <w:rFonts w:cs="Arial"/>
        </w:rPr>
        <w:t xml:space="preserve"> team should </w:t>
      </w:r>
      <w:r w:rsidRPr="000C60E1">
        <w:rPr>
          <w:rFonts w:cs="Arial"/>
        </w:rPr>
        <w:t>identify all potential on-site and off-site exposure pathways (</w:t>
      </w:r>
      <w:r w:rsidR="00047AAB" w:rsidRPr="000C60E1">
        <w:rPr>
          <w:rFonts w:cs="Arial"/>
        </w:rPr>
        <w:t xml:space="preserve">e.g. </w:t>
      </w:r>
      <w:r w:rsidRPr="000C60E1">
        <w:rPr>
          <w:rFonts w:cs="Arial"/>
        </w:rPr>
        <w:t xml:space="preserve">soil ingestion) based on the characteristics and anticipated activities of that receptor and the expected mobility of the COCs under the geological conditions present at the site. For each receptor and exposure pathway, </w:t>
      </w:r>
      <w:r w:rsidR="005960C1" w:rsidRPr="000C60E1">
        <w:rPr>
          <w:rFonts w:cs="Arial"/>
        </w:rPr>
        <w:t xml:space="preserve">the </w:t>
      </w:r>
      <w:r w:rsidR="00B24C01" w:rsidRPr="000C60E1">
        <w:rPr>
          <w:rFonts w:cs="Arial"/>
        </w:rPr>
        <w:t>risk assessment</w:t>
      </w:r>
      <w:r w:rsidR="005960C1" w:rsidRPr="000C60E1">
        <w:rPr>
          <w:rFonts w:cs="Arial"/>
        </w:rPr>
        <w:t xml:space="preserve"> </w:t>
      </w:r>
      <w:r w:rsidR="00C77E79" w:rsidRPr="000C60E1">
        <w:rPr>
          <w:rFonts w:cs="Arial"/>
        </w:rPr>
        <w:t>t</w:t>
      </w:r>
      <w:r w:rsidR="005960C1" w:rsidRPr="000C60E1">
        <w:rPr>
          <w:rFonts w:cs="Arial"/>
        </w:rPr>
        <w:t xml:space="preserve">eam should </w:t>
      </w:r>
      <w:r w:rsidRPr="000C60E1">
        <w:rPr>
          <w:rFonts w:cs="Arial"/>
        </w:rPr>
        <w:t xml:space="preserve">indicate further if a man-made barrier or measure to interrupt this pathway is present or anticipated. </w:t>
      </w:r>
    </w:p>
    <w:p w14:paraId="44FC122B" w14:textId="7ED72E4B" w:rsidR="00B736F9" w:rsidRPr="000C60E1" w:rsidRDefault="00B736F9" w:rsidP="00840964">
      <w:pPr>
        <w:rPr>
          <w:rFonts w:cs="Arial"/>
        </w:rPr>
      </w:pPr>
      <w:r w:rsidRPr="000C60E1">
        <w:rPr>
          <w:rFonts w:cs="Arial"/>
        </w:rPr>
        <w:t xml:space="preserve">Any exposure pathways which can be anticipated based on chemical properties and site geology should be included in the risk assessment. Elimination of these pathways from assessment will require justification in the form of pathway-specific site assessment evidence. Pathways which can be anticipated but which will be mitigated by a barrier or other measure </w:t>
      </w:r>
      <w:r w:rsidR="001278B5" w:rsidRPr="000C60E1">
        <w:rPr>
          <w:rFonts w:cs="Arial"/>
        </w:rPr>
        <w:t xml:space="preserve">(e.g. site restriction) must </w:t>
      </w:r>
      <w:r w:rsidRPr="000C60E1">
        <w:rPr>
          <w:rFonts w:cs="Arial"/>
        </w:rPr>
        <w:t xml:space="preserve">be included </w:t>
      </w:r>
      <w:r w:rsidR="005960C1" w:rsidRPr="000C60E1">
        <w:rPr>
          <w:rFonts w:cs="Arial"/>
        </w:rPr>
        <w:t xml:space="preserve">for the assessment of risk level. The barrier or other measure </w:t>
      </w:r>
      <w:r w:rsidR="00AF0D60" w:rsidRPr="000C60E1">
        <w:rPr>
          <w:rFonts w:cs="Arial"/>
        </w:rPr>
        <w:t xml:space="preserve">can </w:t>
      </w:r>
      <w:r w:rsidR="001278B5" w:rsidRPr="000C60E1">
        <w:rPr>
          <w:rFonts w:cs="Arial"/>
        </w:rPr>
        <w:t xml:space="preserve">then </w:t>
      </w:r>
      <w:r w:rsidR="005960C1" w:rsidRPr="000C60E1">
        <w:rPr>
          <w:rFonts w:cs="Arial"/>
        </w:rPr>
        <w:t xml:space="preserve">be identified </w:t>
      </w:r>
      <w:r w:rsidRPr="000C60E1">
        <w:rPr>
          <w:rFonts w:cs="Arial"/>
        </w:rPr>
        <w:t xml:space="preserve">as </w:t>
      </w:r>
      <w:r w:rsidR="0094316F" w:rsidRPr="000C60E1">
        <w:rPr>
          <w:rFonts w:cs="Arial"/>
        </w:rPr>
        <w:t xml:space="preserve">a </w:t>
      </w:r>
      <w:r w:rsidRPr="000C60E1">
        <w:rPr>
          <w:rFonts w:cs="Arial"/>
        </w:rPr>
        <w:t>risk management measure in the development of</w:t>
      </w:r>
      <w:r w:rsidR="004F4902" w:rsidRPr="000C60E1">
        <w:rPr>
          <w:rFonts w:cs="Arial"/>
        </w:rPr>
        <w:t xml:space="preserve"> the human health standard.</w:t>
      </w:r>
    </w:p>
    <w:p w14:paraId="1551C43B" w14:textId="77777777" w:rsidR="00B736F9" w:rsidRPr="000C60E1" w:rsidRDefault="00B736F9" w:rsidP="00DE496B">
      <w:pPr>
        <w:pStyle w:val="Heading3"/>
        <w:rPr>
          <w:rFonts w:cs="Arial"/>
        </w:rPr>
      </w:pPr>
      <w:bookmarkStart w:id="176" w:name="_Toc91393554"/>
      <w:bookmarkStart w:id="177" w:name="_Toc112727417"/>
      <w:bookmarkStart w:id="178" w:name="_Toc41905691"/>
      <w:r w:rsidRPr="000C60E1">
        <w:rPr>
          <w:rFonts w:cs="Arial"/>
        </w:rPr>
        <w:t>Risk Assessment Objectives</w:t>
      </w:r>
      <w:bookmarkEnd w:id="176"/>
      <w:bookmarkEnd w:id="177"/>
      <w:bookmarkEnd w:id="178"/>
    </w:p>
    <w:p w14:paraId="7CE1BF48" w14:textId="2017EBCF" w:rsidR="00B736F9" w:rsidRPr="000C60E1" w:rsidRDefault="00B736F9" w:rsidP="00840964">
      <w:pPr>
        <w:rPr>
          <w:rFonts w:cs="Arial"/>
        </w:rPr>
      </w:pPr>
      <w:r w:rsidRPr="000C60E1">
        <w:rPr>
          <w:rFonts w:cs="Arial"/>
        </w:rPr>
        <w:t xml:space="preserve">The </w:t>
      </w:r>
      <w:r w:rsidR="000767FF" w:rsidRPr="000C60E1">
        <w:rPr>
          <w:rFonts w:cs="Arial"/>
        </w:rPr>
        <w:t>QP</w:t>
      </w:r>
      <w:r w:rsidR="000767FF" w:rsidRPr="000C60E1">
        <w:rPr>
          <w:rFonts w:cs="Arial"/>
          <w:vertAlign w:val="subscript"/>
        </w:rPr>
        <w:t>RA</w:t>
      </w:r>
      <w:r w:rsidRPr="000C60E1">
        <w:rPr>
          <w:rFonts w:cs="Arial"/>
        </w:rPr>
        <w:t xml:space="preserve"> must provide risk assessment objectives</w:t>
      </w:r>
      <w:r w:rsidR="00E458D0" w:rsidRPr="000C60E1">
        <w:rPr>
          <w:rFonts w:cs="Arial"/>
        </w:rPr>
        <w:t xml:space="preserve"> which describe the approach to studying the potential contamination problem</w:t>
      </w:r>
      <w:r w:rsidRPr="000C60E1">
        <w:rPr>
          <w:rFonts w:cs="Arial"/>
        </w:rPr>
        <w:t xml:space="preserve"> (refer to Section </w:t>
      </w:r>
      <w:r w:rsidR="00FC239E" w:rsidRPr="000C60E1">
        <w:rPr>
          <w:rFonts w:cs="Arial"/>
        </w:rPr>
        <w:t>4</w:t>
      </w:r>
      <w:r w:rsidRPr="000C60E1">
        <w:rPr>
          <w:rFonts w:cs="Arial"/>
        </w:rPr>
        <w:t>.2 of this Procedure</w:t>
      </w:r>
      <w:r w:rsidR="001278B5" w:rsidRPr="000C60E1">
        <w:rPr>
          <w:rFonts w:cs="Arial"/>
        </w:rPr>
        <w:t>s</w:t>
      </w:r>
      <w:r w:rsidRPr="000C60E1">
        <w:rPr>
          <w:rFonts w:cs="Arial"/>
        </w:rPr>
        <w:t xml:space="preserve"> document) with reference to the human health conceptual site model </w:t>
      </w:r>
      <w:r w:rsidR="00606C0F" w:rsidRPr="000C60E1">
        <w:rPr>
          <w:rFonts w:cs="Arial"/>
        </w:rPr>
        <w:t>(</w:t>
      </w:r>
      <w:r w:rsidRPr="000C60E1">
        <w:rPr>
          <w:rFonts w:cs="Arial"/>
        </w:rPr>
        <w:t xml:space="preserve">Section </w:t>
      </w:r>
      <w:r w:rsidR="00FC239E" w:rsidRPr="000C60E1">
        <w:rPr>
          <w:rFonts w:cs="Arial"/>
        </w:rPr>
        <w:t>6</w:t>
      </w:r>
      <w:r w:rsidRPr="000C60E1">
        <w:rPr>
          <w:rFonts w:cs="Arial"/>
        </w:rPr>
        <w:t>.1.1</w:t>
      </w:r>
      <w:r w:rsidR="00606C0F" w:rsidRPr="000C60E1">
        <w:rPr>
          <w:rFonts w:cs="Arial"/>
        </w:rPr>
        <w:t>)</w:t>
      </w:r>
      <w:r w:rsidRPr="000C60E1">
        <w:rPr>
          <w:rFonts w:cs="Arial"/>
        </w:rPr>
        <w:t xml:space="preserve"> and demonstrate that data used in the HHRA are sufficient to meet those objectives.</w:t>
      </w:r>
      <w:bookmarkStart w:id="179" w:name="_Toc74119414"/>
      <w:bookmarkStart w:id="180" w:name="_Toc74450894"/>
      <w:bookmarkEnd w:id="168"/>
      <w:bookmarkEnd w:id="169"/>
      <w:r w:rsidRPr="000C60E1">
        <w:rPr>
          <w:rFonts w:cs="Arial"/>
        </w:rPr>
        <w:t xml:space="preserve"> It is important to state whether the </w:t>
      </w:r>
      <w:r w:rsidR="006C4301" w:rsidRPr="000C60E1">
        <w:rPr>
          <w:rFonts w:cs="Arial"/>
        </w:rPr>
        <w:t>risk assessment</w:t>
      </w:r>
      <w:r w:rsidRPr="000C60E1">
        <w:rPr>
          <w:rFonts w:cs="Arial"/>
        </w:rPr>
        <w:t xml:space="preserve"> is a qualitative or quantitative assessment of risk and the type of approach used for the human health risk assessment.</w:t>
      </w:r>
    </w:p>
    <w:p w14:paraId="7B7421AB" w14:textId="77777777" w:rsidR="00B736F9" w:rsidRPr="000C60E1" w:rsidRDefault="00B736F9" w:rsidP="0036088A">
      <w:pPr>
        <w:rPr>
          <w:rFonts w:cs="Arial"/>
        </w:rPr>
      </w:pPr>
      <w:r w:rsidRPr="000C60E1">
        <w:rPr>
          <w:rFonts w:cs="Arial"/>
        </w:rPr>
        <w:t>Examples of HHRA Objective Statements would be;</w:t>
      </w:r>
    </w:p>
    <w:p w14:paraId="313C8858" w14:textId="567E4A0E" w:rsidR="0014421F" w:rsidRPr="000C60E1" w:rsidRDefault="00656051" w:rsidP="004E05D9">
      <w:pPr>
        <w:ind w:left="720"/>
        <w:rPr>
          <w:rFonts w:cs="Arial"/>
        </w:rPr>
      </w:pPr>
      <w:r w:rsidRPr="000C60E1">
        <w:rPr>
          <w:rFonts w:cs="Arial"/>
        </w:rPr>
        <w:t>The objective of the HHRA is to estimate the potential health risk to human receptors that result from exposure to the COCs identified in soil and groundwater at the RA property without risk management measures in place. The RA property has been designated for mixed residential and commercial land use. As such, the receptors that will be assessed include residents, indoor workers, visitors, landscape workers, construction workers, and utility workers.</w:t>
      </w:r>
      <w:r w:rsidR="008A55C4" w:rsidRPr="000C60E1">
        <w:rPr>
          <w:rFonts w:cs="Arial"/>
        </w:rPr>
        <w:t xml:space="preserve"> </w:t>
      </w:r>
      <w:r w:rsidRPr="000C60E1">
        <w:rPr>
          <w:rFonts w:cs="Arial"/>
        </w:rPr>
        <w:t>The exposure pathways will consist of ingestion, dermal contact, and inhalation</w:t>
      </w:r>
      <w:r w:rsidR="009C452E" w:rsidRPr="000C60E1">
        <w:rPr>
          <w:rFonts w:cs="Arial"/>
        </w:rPr>
        <w:t>,</w:t>
      </w:r>
      <w:r w:rsidRPr="000C60E1">
        <w:rPr>
          <w:rFonts w:cs="Arial"/>
        </w:rPr>
        <w:t xml:space="preserve"> as detailed in the human health conceptual site model.</w:t>
      </w:r>
    </w:p>
    <w:p w14:paraId="7A476F1B" w14:textId="175D7CD7" w:rsidR="00656051" w:rsidRPr="000C60E1" w:rsidRDefault="00656051" w:rsidP="004E05D9">
      <w:pPr>
        <w:ind w:left="720"/>
        <w:rPr>
          <w:rFonts w:cs="Arial"/>
        </w:rPr>
      </w:pPr>
      <w:r w:rsidRPr="000C60E1">
        <w:rPr>
          <w:rFonts w:cs="Arial"/>
        </w:rPr>
        <w:t xml:space="preserve">Risk will be assessed both quantitatively and qualitatively. Quantitative risk characterization is conducted to evaluate the non-cancer hazard and cancer risk posed by exposure to COCs for </w:t>
      </w:r>
      <w:r w:rsidRPr="002A75F2">
        <w:rPr>
          <w:rFonts w:cs="Arial"/>
        </w:rPr>
        <w:t xml:space="preserve">each receptor and for each identified complete exposure pathway. In some instances, risks will be assessed qualitatively based on selected </w:t>
      </w:r>
      <w:r w:rsidR="00B44C56" w:rsidRPr="002A75F2">
        <w:rPr>
          <w:rFonts w:cs="Arial"/>
        </w:rPr>
        <w:t xml:space="preserve">exposure </w:t>
      </w:r>
      <w:r w:rsidRPr="002A75F2">
        <w:rPr>
          <w:rFonts w:cs="Arial"/>
        </w:rPr>
        <w:t xml:space="preserve">pathways being minimal or </w:t>
      </w:r>
      <w:r w:rsidR="00B44C56" w:rsidRPr="002A75F2">
        <w:rPr>
          <w:rFonts w:cs="Arial"/>
        </w:rPr>
        <w:t xml:space="preserve">exposure concentrations being lower than </w:t>
      </w:r>
      <w:r w:rsidR="00D63378" w:rsidRPr="002A75F2">
        <w:rPr>
          <w:rFonts w:cs="Arial"/>
        </w:rPr>
        <w:t xml:space="preserve">their respective  generic </w:t>
      </w:r>
      <w:r w:rsidR="00B44C56" w:rsidRPr="002A75F2">
        <w:rPr>
          <w:rFonts w:cs="Arial"/>
        </w:rPr>
        <w:t xml:space="preserve">human health component values </w:t>
      </w:r>
      <w:r w:rsidR="00D63378" w:rsidRPr="002A75F2">
        <w:rPr>
          <w:rFonts w:cs="Arial"/>
        </w:rPr>
        <w:t>(included in the Ministry’s approved model)</w:t>
      </w:r>
      <w:r w:rsidRPr="002A75F2">
        <w:rPr>
          <w:rFonts w:cs="Arial"/>
        </w:rPr>
        <w:t>. The quantitative determination of risk from exposure to each COC will be used to determine if risk management measures will be required to block specific exposure pathways.</w:t>
      </w:r>
      <w:r w:rsidR="008A55C4" w:rsidRPr="002A75F2">
        <w:rPr>
          <w:rFonts w:cs="Arial"/>
        </w:rPr>
        <w:t xml:space="preserve"> </w:t>
      </w:r>
      <w:r w:rsidR="000617CA" w:rsidRPr="002A75F2">
        <w:rPr>
          <w:rFonts w:cs="Arial"/>
        </w:rPr>
        <w:t xml:space="preserve">The resulting </w:t>
      </w:r>
      <w:r w:rsidRPr="002A75F2">
        <w:rPr>
          <w:rFonts w:cs="Arial"/>
        </w:rPr>
        <w:t xml:space="preserve">human health </w:t>
      </w:r>
      <w:r w:rsidR="00FB3040" w:rsidRPr="002A75F2">
        <w:rPr>
          <w:rFonts w:cs="Arial"/>
        </w:rPr>
        <w:t xml:space="preserve">property specific </w:t>
      </w:r>
      <w:r w:rsidRPr="002A75F2">
        <w:rPr>
          <w:rFonts w:cs="Arial"/>
        </w:rPr>
        <w:t xml:space="preserve">standards </w:t>
      </w:r>
      <w:r w:rsidRPr="002A75F2">
        <w:rPr>
          <w:rFonts w:cs="Arial"/>
        </w:rPr>
        <w:lastRenderedPageBreak/>
        <w:t xml:space="preserve">will be compared to </w:t>
      </w:r>
      <w:r w:rsidR="00FB3040" w:rsidRPr="002A75F2">
        <w:rPr>
          <w:rFonts w:cs="Arial"/>
        </w:rPr>
        <w:t xml:space="preserve">the </w:t>
      </w:r>
      <w:r w:rsidR="00214E23" w:rsidRPr="002A75F2">
        <w:rPr>
          <w:rFonts w:cs="Arial"/>
        </w:rPr>
        <w:t>ecological</w:t>
      </w:r>
      <w:r w:rsidRPr="002A75F2">
        <w:rPr>
          <w:rFonts w:cs="Arial"/>
        </w:rPr>
        <w:t xml:space="preserve"> </w:t>
      </w:r>
      <w:r w:rsidR="00FB3040" w:rsidRPr="002A75F2">
        <w:rPr>
          <w:rFonts w:cs="Arial"/>
        </w:rPr>
        <w:t xml:space="preserve">property specific </w:t>
      </w:r>
      <w:r w:rsidRPr="002A75F2">
        <w:rPr>
          <w:rFonts w:cs="Arial"/>
        </w:rPr>
        <w:t xml:space="preserve">standards </w:t>
      </w:r>
      <w:r w:rsidR="000617CA" w:rsidRPr="002A75F2">
        <w:rPr>
          <w:rFonts w:cs="Arial"/>
        </w:rPr>
        <w:t xml:space="preserve">to </w:t>
      </w:r>
      <w:r w:rsidRPr="002A75F2">
        <w:rPr>
          <w:rFonts w:cs="Arial"/>
        </w:rPr>
        <w:t>determin</w:t>
      </w:r>
      <w:r w:rsidR="000617CA" w:rsidRPr="002A75F2">
        <w:rPr>
          <w:rFonts w:cs="Arial"/>
        </w:rPr>
        <w:t xml:space="preserve">e </w:t>
      </w:r>
      <w:r w:rsidRPr="002A75F2">
        <w:rPr>
          <w:rFonts w:cs="Arial"/>
        </w:rPr>
        <w:t xml:space="preserve">a </w:t>
      </w:r>
      <w:r w:rsidR="00D63378" w:rsidRPr="002A75F2">
        <w:rPr>
          <w:rFonts w:cs="Arial"/>
        </w:rPr>
        <w:t xml:space="preserve">final </w:t>
      </w:r>
      <w:r w:rsidR="00FB3040" w:rsidRPr="002A75F2">
        <w:rPr>
          <w:rFonts w:cs="Arial"/>
        </w:rPr>
        <w:t>property specific standard</w:t>
      </w:r>
      <w:r w:rsidRPr="002A75F2">
        <w:rPr>
          <w:rFonts w:cs="Arial"/>
        </w:rPr>
        <w:t xml:space="preserve"> for each COC.</w:t>
      </w:r>
      <w:r w:rsidRPr="000C60E1">
        <w:rPr>
          <w:rFonts w:cs="Arial"/>
        </w:rPr>
        <w:t xml:space="preserve"> </w:t>
      </w:r>
    </w:p>
    <w:p w14:paraId="217E6887" w14:textId="77777777" w:rsidR="00B736F9" w:rsidRPr="000C60E1" w:rsidRDefault="00B736F9" w:rsidP="00DE496B">
      <w:pPr>
        <w:pStyle w:val="Heading3"/>
        <w:rPr>
          <w:rFonts w:cs="Arial"/>
        </w:rPr>
      </w:pPr>
      <w:bookmarkStart w:id="181" w:name="_Toc91393555"/>
      <w:bookmarkStart w:id="182" w:name="_Toc112727418"/>
      <w:bookmarkStart w:id="183" w:name="_Toc41905692"/>
      <w:r w:rsidRPr="000C60E1">
        <w:rPr>
          <w:rFonts w:cs="Arial"/>
        </w:rPr>
        <w:t>Discussion of Data Quality</w:t>
      </w:r>
      <w:bookmarkEnd w:id="181"/>
      <w:bookmarkEnd w:id="182"/>
      <w:bookmarkEnd w:id="183"/>
    </w:p>
    <w:p w14:paraId="097CD77E" w14:textId="0856E923" w:rsidR="00B736F9" w:rsidRPr="000C60E1" w:rsidRDefault="00B736F9" w:rsidP="00840964">
      <w:pPr>
        <w:rPr>
          <w:rFonts w:cs="Arial"/>
        </w:rPr>
      </w:pPr>
      <w:r w:rsidRPr="000C60E1">
        <w:rPr>
          <w:rFonts w:cs="Arial"/>
        </w:rPr>
        <w:t xml:space="preserve">As indicated in the table above, the Regulation requires that the </w:t>
      </w:r>
      <w:r w:rsidR="000767FF" w:rsidRPr="000C60E1">
        <w:rPr>
          <w:rFonts w:cs="Arial"/>
        </w:rPr>
        <w:t>QP</w:t>
      </w:r>
      <w:r w:rsidR="000767FF" w:rsidRPr="000C60E1">
        <w:rPr>
          <w:rFonts w:cs="Arial"/>
          <w:vertAlign w:val="subscript"/>
        </w:rPr>
        <w:t>RA</w:t>
      </w:r>
      <w:r w:rsidRPr="000C60E1">
        <w:rPr>
          <w:rFonts w:cs="Arial"/>
        </w:rPr>
        <w:t xml:space="preserve"> demonstrate that the data used for the HHRA </w:t>
      </w:r>
      <w:r w:rsidR="008431AD" w:rsidRPr="000C60E1">
        <w:rPr>
          <w:rFonts w:cs="Arial"/>
        </w:rPr>
        <w:t xml:space="preserve">and described in Section 3 of the RA report </w:t>
      </w:r>
      <w:r w:rsidRPr="000C60E1">
        <w:rPr>
          <w:rFonts w:cs="Arial"/>
        </w:rPr>
        <w:t xml:space="preserve">is sufficient to meet the objectives of the assessment. </w:t>
      </w:r>
      <w:r w:rsidR="008431AD" w:rsidRPr="000C60E1">
        <w:rPr>
          <w:rFonts w:cs="Arial"/>
        </w:rPr>
        <w:t xml:space="preserve">Data quality </w:t>
      </w:r>
      <w:r w:rsidR="00631E94" w:rsidRPr="000C60E1">
        <w:rPr>
          <w:rFonts w:cs="Arial"/>
        </w:rPr>
        <w:t xml:space="preserve">or availability </w:t>
      </w:r>
      <w:r w:rsidR="008431AD" w:rsidRPr="000C60E1">
        <w:rPr>
          <w:rFonts w:cs="Arial"/>
        </w:rPr>
        <w:t>may be insufficient for a quantitative assessment, for example, and a qualitative approach may be proposed. Examples of data quality problems which may impact on the risk assessment approach include;</w:t>
      </w:r>
    </w:p>
    <w:p w14:paraId="1563A516" w14:textId="77777777" w:rsidR="008431AD" w:rsidRPr="000C60E1" w:rsidRDefault="00763FD4" w:rsidP="000E72E5">
      <w:pPr>
        <w:pStyle w:val="ListBullet2"/>
        <w:rPr>
          <w:rFonts w:cs="Arial"/>
        </w:rPr>
      </w:pPr>
      <w:r w:rsidRPr="000C60E1">
        <w:rPr>
          <w:rFonts w:cs="Arial"/>
        </w:rPr>
        <w:t>Elevated d</w:t>
      </w:r>
      <w:r w:rsidR="004C616A" w:rsidRPr="000C60E1">
        <w:rPr>
          <w:rFonts w:cs="Arial"/>
        </w:rPr>
        <w:t xml:space="preserve">etection limits </w:t>
      </w:r>
      <w:r w:rsidRPr="000C60E1">
        <w:rPr>
          <w:rFonts w:cs="Arial"/>
        </w:rPr>
        <w:t>(</w:t>
      </w:r>
      <w:r w:rsidR="004C616A" w:rsidRPr="000C60E1">
        <w:rPr>
          <w:rFonts w:cs="Arial"/>
        </w:rPr>
        <w:t>above</w:t>
      </w:r>
      <w:r w:rsidR="00C83C03" w:rsidRPr="000C60E1">
        <w:rPr>
          <w:rFonts w:cs="Arial"/>
        </w:rPr>
        <w:t xml:space="preserve"> the</w:t>
      </w:r>
      <w:r w:rsidRPr="000C60E1">
        <w:rPr>
          <w:rFonts w:cs="Arial"/>
        </w:rPr>
        <w:t xml:space="preserve"> applicable</w:t>
      </w:r>
      <w:r w:rsidR="00C83C03" w:rsidRPr="000C60E1">
        <w:rPr>
          <w:rFonts w:cs="Arial"/>
        </w:rPr>
        <w:t xml:space="preserve"> </w:t>
      </w:r>
      <w:r w:rsidR="005960C1" w:rsidRPr="000C60E1">
        <w:rPr>
          <w:rFonts w:cs="Arial"/>
        </w:rPr>
        <w:t>site condition standard</w:t>
      </w:r>
      <w:r w:rsidRPr="000C60E1">
        <w:rPr>
          <w:rFonts w:cs="Arial"/>
        </w:rPr>
        <w:t>s)</w:t>
      </w:r>
      <w:r w:rsidR="00631E94" w:rsidRPr="000C60E1">
        <w:rPr>
          <w:rFonts w:cs="Arial"/>
        </w:rPr>
        <w:t>,</w:t>
      </w:r>
    </w:p>
    <w:p w14:paraId="2AC10C31" w14:textId="77777777" w:rsidR="00C83C03" w:rsidRPr="000C60E1" w:rsidRDefault="00C83C03" w:rsidP="000E72E5">
      <w:pPr>
        <w:pStyle w:val="ListBullet2"/>
        <w:rPr>
          <w:rFonts w:cs="Arial"/>
        </w:rPr>
      </w:pPr>
      <w:r w:rsidRPr="000C60E1">
        <w:rPr>
          <w:rFonts w:cs="Arial"/>
        </w:rPr>
        <w:t>Low analytical recovery</w:t>
      </w:r>
      <w:r w:rsidR="00631E94" w:rsidRPr="000C60E1">
        <w:rPr>
          <w:rFonts w:cs="Arial"/>
        </w:rPr>
        <w:t>,</w:t>
      </w:r>
    </w:p>
    <w:p w14:paraId="4AFD8D6A" w14:textId="77777777" w:rsidR="00C83C03" w:rsidRPr="000C60E1" w:rsidRDefault="00C83C03" w:rsidP="000E72E5">
      <w:pPr>
        <w:pStyle w:val="ListBullet2"/>
        <w:rPr>
          <w:rFonts w:cs="Arial"/>
        </w:rPr>
      </w:pPr>
      <w:r w:rsidRPr="000C60E1">
        <w:rPr>
          <w:rFonts w:cs="Arial"/>
        </w:rPr>
        <w:t>High relative standard deviation</w:t>
      </w:r>
      <w:r w:rsidR="00631E94" w:rsidRPr="000C60E1">
        <w:rPr>
          <w:rFonts w:cs="Arial"/>
        </w:rPr>
        <w:t>,</w:t>
      </w:r>
    </w:p>
    <w:p w14:paraId="7C26FEA2" w14:textId="77777777" w:rsidR="00756C33" w:rsidRPr="000C60E1" w:rsidRDefault="00756C33" w:rsidP="000E72E5">
      <w:pPr>
        <w:pStyle w:val="ListBullet2"/>
        <w:rPr>
          <w:rFonts w:cs="Arial"/>
        </w:rPr>
      </w:pPr>
      <w:r w:rsidRPr="000C60E1">
        <w:rPr>
          <w:rFonts w:cs="Arial"/>
        </w:rPr>
        <w:t xml:space="preserve">Variable monitoring data, </w:t>
      </w:r>
      <w:r w:rsidR="00631E94" w:rsidRPr="000C60E1">
        <w:rPr>
          <w:rFonts w:cs="Arial"/>
        </w:rPr>
        <w:t>inconsistent year-to-year trend,</w:t>
      </w:r>
    </w:p>
    <w:p w14:paraId="7F0398F7" w14:textId="77777777" w:rsidR="00C83C03" w:rsidRPr="000C60E1" w:rsidRDefault="00C83C03" w:rsidP="000E72E5">
      <w:pPr>
        <w:pStyle w:val="ListBullet2"/>
        <w:rPr>
          <w:rFonts w:cs="Arial"/>
        </w:rPr>
      </w:pPr>
      <w:r w:rsidRPr="000C60E1">
        <w:rPr>
          <w:rFonts w:cs="Arial"/>
        </w:rPr>
        <w:t>Assumption</w:t>
      </w:r>
      <w:r w:rsidR="00763FD4" w:rsidRPr="000C60E1">
        <w:rPr>
          <w:rFonts w:cs="Arial"/>
        </w:rPr>
        <w:t>s made</w:t>
      </w:r>
      <w:r w:rsidRPr="000C60E1">
        <w:rPr>
          <w:rFonts w:cs="Arial"/>
        </w:rPr>
        <w:t xml:space="preserve"> for one or more pathway </w:t>
      </w:r>
      <w:r w:rsidR="00763FD4" w:rsidRPr="000C60E1">
        <w:rPr>
          <w:rFonts w:cs="Arial"/>
        </w:rPr>
        <w:t xml:space="preserve">that rely </w:t>
      </w:r>
      <w:r w:rsidRPr="000C60E1">
        <w:rPr>
          <w:rFonts w:cs="Arial"/>
        </w:rPr>
        <w:t>on old</w:t>
      </w:r>
      <w:r w:rsidR="00763FD4" w:rsidRPr="000C60E1">
        <w:rPr>
          <w:rFonts w:cs="Arial"/>
        </w:rPr>
        <w:t>er/stale</w:t>
      </w:r>
      <w:r w:rsidRPr="000C60E1">
        <w:rPr>
          <w:rFonts w:cs="Arial"/>
        </w:rPr>
        <w:t xml:space="preserve"> data</w:t>
      </w:r>
      <w:r w:rsidR="00756C33" w:rsidRPr="000C60E1">
        <w:rPr>
          <w:rFonts w:cs="Arial"/>
        </w:rPr>
        <w:t>, data</w:t>
      </w:r>
      <w:r w:rsidR="00606C0F" w:rsidRPr="000C60E1">
        <w:rPr>
          <w:rFonts w:cs="Arial"/>
        </w:rPr>
        <w:t xml:space="preserve"> </w:t>
      </w:r>
      <w:r w:rsidR="00756C33" w:rsidRPr="000C60E1">
        <w:rPr>
          <w:rFonts w:cs="Arial"/>
        </w:rPr>
        <w:t>based on analytical method</w:t>
      </w:r>
      <w:r w:rsidR="00606C0F" w:rsidRPr="000C60E1">
        <w:rPr>
          <w:rFonts w:cs="Arial"/>
        </w:rPr>
        <w:t xml:space="preserve"> that does not comply with section 47 of the </w:t>
      </w:r>
      <w:r w:rsidR="00855A6A" w:rsidRPr="000C60E1">
        <w:rPr>
          <w:rFonts w:cs="Arial"/>
        </w:rPr>
        <w:t>R</w:t>
      </w:r>
      <w:r w:rsidR="00606C0F" w:rsidRPr="000C60E1">
        <w:rPr>
          <w:rFonts w:cs="Arial"/>
        </w:rPr>
        <w:t>egulation</w:t>
      </w:r>
      <w:r w:rsidR="00631E94" w:rsidRPr="000C60E1">
        <w:rPr>
          <w:rFonts w:cs="Arial"/>
        </w:rPr>
        <w:t>, insufficient monitoring</w:t>
      </w:r>
      <w:r w:rsidR="00756C33" w:rsidRPr="000C60E1">
        <w:rPr>
          <w:rFonts w:cs="Arial"/>
        </w:rPr>
        <w:t xml:space="preserve"> or no supporting data</w:t>
      </w:r>
      <w:r w:rsidR="00606C0F" w:rsidRPr="000C60E1">
        <w:rPr>
          <w:rFonts w:cs="Arial"/>
        </w:rPr>
        <w:t>.</w:t>
      </w:r>
    </w:p>
    <w:p w14:paraId="48102F58" w14:textId="18B2DBC9" w:rsidR="00400C37" w:rsidRPr="000C60E1" w:rsidRDefault="00B736F9" w:rsidP="005960C1">
      <w:pPr>
        <w:rPr>
          <w:rFonts w:cs="Arial"/>
        </w:rPr>
      </w:pPr>
      <w:r w:rsidRPr="000C60E1">
        <w:rPr>
          <w:rFonts w:cs="Arial"/>
        </w:rPr>
        <w:t>Uncertainty in the data resulting from variable or poor data quality, as well as any data gaps should be discussed</w:t>
      </w:r>
      <w:r w:rsidR="00756C33" w:rsidRPr="000C60E1">
        <w:rPr>
          <w:rFonts w:cs="Arial"/>
        </w:rPr>
        <w:t xml:space="preserve"> in terms of the </w:t>
      </w:r>
      <w:r w:rsidR="006C4301" w:rsidRPr="000C60E1">
        <w:rPr>
          <w:rFonts w:cs="Arial"/>
        </w:rPr>
        <w:t>risk assessment</w:t>
      </w:r>
      <w:r w:rsidR="00756C33" w:rsidRPr="000C60E1">
        <w:rPr>
          <w:rFonts w:cs="Arial"/>
        </w:rPr>
        <w:t xml:space="preserve"> approach used to accommodate them</w:t>
      </w:r>
      <w:r w:rsidRPr="000C60E1">
        <w:rPr>
          <w:rFonts w:cs="Arial"/>
        </w:rPr>
        <w:t xml:space="preserve">. </w:t>
      </w:r>
      <w:r w:rsidR="00606C0F" w:rsidRPr="000C60E1">
        <w:rPr>
          <w:rFonts w:cs="Arial"/>
        </w:rPr>
        <w:t>The QP</w:t>
      </w:r>
      <w:r w:rsidR="00FB0178" w:rsidRPr="000C60E1">
        <w:rPr>
          <w:rFonts w:cs="Arial"/>
          <w:vertAlign w:val="subscript"/>
        </w:rPr>
        <w:t>RA</w:t>
      </w:r>
      <w:r w:rsidR="00606C0F" w:rsidRPr="000C60E1">
        <w:rPr>
          <w:rFonts w:cs="Arial"/>
        </w:rPr>
        <w:t xml:space="preserve"> should explicitly discuss the extent to which suspect data </w:t>
      </w:r>
      <w:r w:rsidR="00631E94" w:rsidRPr="000C60E1">
        <w:rPr>
          <w:rFonts w:cs="Arial"/>
        </w:rPr>
        <w:t xml:space="preserve">can and </w:t>
      </w:r>
      <w:r w:rsidR="00606C0F" w:rsidRPr="000C60E1">
        <w:rPr>
          <w:rFonts w:cs="Arial"/>
        </w:rPr>
        <w:t xml:space="preserve">will be relied upon in the </w:t>
      </w:r>
      <w:r w:rsidR="00D4507B" w:rsidRPr="000C60E1">
        <w:rPr>
          <w:rFonts w:cs="Arial"/>
        </w:rPr>
        <w:t>risk assessment</w:t>
      </w:r>
      <w:r w:rsidR="00606C0F" w:rsidRPr="000C60E1">
        <w:rPr>
          <w:rFonts w:cs="Arial"/>
        </w:rPr>
        <w:t>.</w:t>
      </w:r>
    </w:p>
    <w:p w14:paraId="2FF5274D" w14:textId="55029F1E" w:rsidR="00B736F9" w:rsidRPr="002A75F2" w:rsidRDefault="00B736F9" w:rsidP="00400C37">
      <w:pPr>
        <w:pStyle w:val="Heading2"/>
        <w:rPr>
          <w:rFonts w:cs="Arial"/>
        </w:rPr>
      </w:pPr>
      <w:bookmarkStart w:id="184" w:name="_Toc91393556"/>
      <w:bookmarkStart w:id="185" w:name="_Toc112727419"/>
      <w:bookmarkStart w:id="186" w:name="_Toc41905693"/>
      <w:r w:rsidRPr="002A75F2">
        <w:rPr>
          <w:rFonts w:cs="Arial"/>
        </w:rPr>
        <w:t>Exposure Assessme</w:t>
      </w:r>
      <w:bookmarkEnd w:id="179"/>
      <w:bookmarkEnd w:id="180"/>
      <w:r w:rsidRPr="002A75F2">
        <w:rPr>
          <w:rFonts w:cs="Arial"/>
        </w:rPr>
        <w:t>nt</w:t>
      </w:r>
      <w:bookmarkEnd w:id="184"/>
      <w:bookmarkEnd w:id="185"/>
      <w:bookmarkEnd w:id="186"/>
    </w:p>
    <w:p w14:paraId="6AF170C3" w14:textId="29AFAE7D" w:rsidR="00B736F9" w:rsidRPr="000C60E1" w:rsidRDefault="000617CA" w:rsidP="00840964">
      <w:pPr>
        <w:rPr>
          <w:rFonts w:cs="Arial"/>
          <w:highlight w:val="white"/>
        </w:rPr>
      </w:pPr>
      <w:r w:rsidRPr="002A75F2">
        <w:rPr>
          <w:rFonts w:cs="Arial"/>
        </w:rPr>
        <w:t>The e</w:t>
      </w:r>
      <w:r w:rsidR="00B736F9" w:rsidRPr="002A75F2">
        <w:rPr>
          <w:rFonts w:cs="Arial"/>
        </w:rPr>
        <w:t xml:space="preserve">xposure assessment </w:t>
      </w:r>
      <w:r w:rsidRPr="002A75F2">
        <w:rPr>
          <w:rFonts w:cs="Arial"/>
        </w:rPr>
        <w:t xml:space="preserve">provides an estimate of the daily exposures of receptors to COCs on a contaminated property for each exposure pathway </w:t>
      </w:r>
      <w:r w:rsidR="00B736F9" w:rsidRPr="002A75F2">
        <w:rPr>
          <w:rFonts w:cs="Arial"/>
        </w:rPr>
        <w:t>described in the human health conceptual site model (</w:t>
      </w:r>
      <w:r w:rsidR="00763FD4" w:rsidRPr="002A75F2">
        <w:rPr>
          <w:rFonts w:cs="Arial"/>
        </w:rPr>
        <w:t>S</w:t>
      </w:r>
      <w:r w:rsidR="00B736F9" w:rsidRPr="002A75F2">
        <w:rPr>
          <w:rFonts w:cs="Arial"/>
        </w:rPr>
        <w:t xml:space="preserve">ection </w:t>
      </w:r>
      <w:r w:rsidR="00FC239E" w:rsidRPr="002A75F2">
        <w:rPr>
          <w:rFonts w:cs="Arial"/>
        </w:rPr>
        <w:t>6</w:t>
      </w:r>
      <w:r w:rsidR="00B736F9" w:rsidRPr="002A75F2">
        <w:rPr>
          <w:rFonts w:cs="Arial"/>
        </w:rPr>
        <w:t xml:space="preserve">.1.1 of this </w:t>
      </w:r>
      <w:r w:rsidR="00763FD4" w:rsidRPr="002A75F2">
        <w:rPr>
          <w:rFonts w:cs="Arial"/>
        </w:rPr>
        <w:t>P</w:t>
      </w:r>
      <w:r w:rsidR="00B736F9" w:rsidRPr="002A75F2">
        <w:rPr>
          <w:rFonts w:cs="Arial"/>
        </w:rPr>
        <w:t xml:space="preserve">rocedures document). </w:t>
      </w:r>
      <w:r w:rsidRPr="002A75F2">
        <w:rPr>
          <w:rFonts w:cs="Arial"/>
        </w:rPr>
        <w:t xml:space="preserve">A receptor’s estimated exposure to a COC for each relevant exposure pathway is determined through an </w:t>
      </w:r>
      <w:r w:rsidR="00B736F9" w:rsidRPr="002A75F2">
        <w:rPr>
          <w:rFonts w:cs="Arial"/>
        </w:rPr>
        <w:t>estimation of the</w:t>
      </w:r>
      <w:r w:rsidRPr="002A75F2">
        <w:rPr>
          <w:rFonts w:cs="Arial"/>
        </w:rPr>
        <w:t>ir</w:t>
      </w:r>
      <w:r w:rsidR="00B736F9" w:rsidRPr="002A75F2">
        <w:rPr>
          <w:rFonts w:cs="Arial"/>
        </w:rPr>
        <w:t xml:space="preserve"> </w:t>
      </w:r>
      <w:r w:rsidRPr="002A75F2">
        <w:rPr>
          <w:rFonts w:cs="Arial"/>
        </w:rPr>
        <w:t>exposure</w:t>
      </w:r>
      <w:r w:rsidR="00B736F9" w:rsidRPr="002A75F2">
        <w:rPr>
          <w:rFonts w:cs="Arial"/>
        </w:rPr>
        <w:t xml:space="preserve"> frequency</w:t>
      </w:r>
      <w:r w:rsidRPr="002A75F2">
        <w:rPr>
          <w:rFonts w:cs="Arial"/>
        </w:rPr>
        <w:t xml:space="preserve"> and </w:t>
      </w:r>
      <w:r w:rsidR="00B736F9" w:rsidRPr="002A75F2">
        <w:rPr>
          <w:rFonts w:cs="Arial"/>
        </w:rPr>
        <w:t xml:space="preserve">duration </w:t>
      </w:r>
      <w:r w:rsidR="008F4A2F" w:rsidRPr="002A75F2">
        <w:rPr>
          <w:rFonts w:cs="Arial"/>
        </w:rPr>
        <w:t xml:space="preserve">and </w:t>
      </w:r>
      <w:r w:rsidRPr="002A75F2">
        <w:rPr>
          <w:rFonts w:cs="Arial"/>
        </w:rPr>
        <w:t>medium-specific intake rate</w:t>
      </w:r>
      <w:r w:rsidR="00B736F9" w:rsidRPr="002A75F2">
        <w:rPr>
          <w:rFonts w:cs="Arial"/>
        </w:rPr>
        <w:t xml:space="preserve">, and </w:t>
      </w:r>
      <w:r w:rsidR="008F4A2F" w:rsidRPr="002A75F2">
        <w:rPr>
          <w:rFonts w:cs="Arial"/>
        </w:rPr>
        <w:t xml:space="preserve">an </w:t>
      </w:r>
      <w:r w:rsidR="00B736F9" w:rsidRPr="002A75F2">
        <w:rPr>
          <w:rFonts w:cs="Arial"/>
        </w:rPr>
        <w:t>assessment of the uncertainties associated with th</w:t>
      </w:r>
      <w:r w:rsidR="00E638F9" w:rsidRPr="002A75F2">
        <w:rPr>
          <w:rFonts w:cs="Arial"/>
        </w:rPr>
        <w:t>is estimation</w:t>
      </w:r>
      <w:r w:rsidR="00B736F9" w:rsidRPr="002A75F2">
        <w:rPr>
          <w:rFonts w:cs="Arial"/>
        </w:rPr>
        <w:t xml:space="preserve">. Qualitative or quantitative exposure assessment may be undertaken according to the </w:t>
      </w:r>
      <w:r w:rsidR="006C4301" w:rsidRPr="002A75F2">
        <w:rPr>
          <w:rFonts w:cs="Arial"/>
        </w:rPr>
        <w:t>risk assessment</w:t>
      </w:r>
      <w:r w:rsidR="00B736F9" w:rsidRPr="000C60E1">
        <w:rPr>
          <w:rFonts w:cs="Arial"/>
        </w:rPr>
        <w:t xml:space="preserve"> objectives as described in </w:t>
      </w:r>
      <w:r w:rsidR="00763FD4" w:rsidRPr="000C60E1">
        <w:rPr>
          <w:rFonts w:cs="Arial"/>
        </w:rPr>
        <w:t>S</w:t>
      </w:r>
      <w:r w:rsidR="00B736F9" w:rsidRPr="000C60E1">
        <w:rPr>
          <w:rFonts w:cs="Arial"/>
        </w:rPr>
        <w:t xml:space="preserve">ections </w:t>
      </w:r>
      <w:r w:rsidR="00FC239E" w:rsidRPr="000C60E1">
        <w:rPr>
          <w:rFonts w:cs="Arial"/>
        </w:rPr>
        <w:t>4.3</w:t>
      </w:r>
      <w:r w:rsidR="00B736F9" w:rsidRPr="000C60E1">
        <w:rPr>
          <w:rFonts w:cs="Arial"/>
        </w:rPr>
        <w:t xml:space="preserve"> and </w:t>
      </w:r>
      <w:r w:rsidR="00FC239E" w:rsidRPr="000C60E1">
        <w:rPr>
          <w:rFonts w:cs="Arial"/>
        </w:rPr>
        <w:t>6</w:t>
      </w:r>
      <w:r w:rsidR="00B736F9" w:rsidRPr="000C60E1">
        <w:rPr>
          <w:rFonts w:cs="Arial"/>
        </w:rPr>
        <w:t>.1.2</w:t>
      </w:r>
      <w:r w:rsidR="004548DB" w:rsidRPr="000C60E1">
        <w:rPr>
          <w:rFonts w:cs="Arial"/>
        </w:rPr>
        <w:t xml:space="preserve"> </w:t>
      </w:r>
      <w:r w:rsidR="00B736F9" w:rsidRPr="000C60E1">
        <w:rPr>
          <w:rFonts w:cs="Arial"/>
        </w:rPr>
        <w:t xml:space="preserve">of this </w:t>
      </w:r>
      <w:r w:rsidR="00763FD4" w:rsidRPr="000C60E1">
        <w:rPr>
          <w:rFonts w:cs="Arial"/>
        </w:rPr>
        <w:t>P</w:t>
      </w:r>
      <w:r w:rsidR="00B736F9" w:rsidRPr="000C60E1">
        <w:rPr>
          <w:rFonts w:cs="Arial"/>
        </w:rPr>
        <w:t>rocedures document.</w:t>
      </w:r>
    </w:p>
    <w:p w14:paraId="4B7FE718" w14:textId="77777777" w:rsidR="00B736F9" w:rsidRPr="000C60E1" w:rsidRDefault="00B736F9" w:rsidP="00840964">
      <w:pPr>
        <w:rPr>
          <w:rFonts w:cs="Arial"/>
          <w:highlight w:val="white"/>
        </w:rPr>
      </w:pPr>
      <w:r w:rsidRPr="000C60E1">
        <w:rPr>
          <w:rFonts w:cs="Arial"/>
          <w:highlight w:val="white"/>
        </w:rPr>
        <w:t xml:space="preserve">The HHRA exposure assessment should describe: </w:t>
      </w:r>
    </w:p>
    <w:p w14:paraId="04D1601C" w14:textId="77777777" w:rsidR="00B736F9" w:rsidRPr="000C60E1" w:rsidRDefault="00B736F9" w:rsidP="000E72E5">
      <w:pPr>
        <w:pStyle w:val="ListBullet2"/>
        <w:rPr>
          <w:rFonts w:cs="Arial"/>
          <w:highlight w:val="white"/>
        </w:rPr>
      </w:pPr>
      <w:r w:rsidRPr="000C60E1">
        <w:rPr>
          <w:rFonts w:cs="Arial"/>
          <w:highlight w:val="white"/>
        </w:rPr>
        <w:t xml:space="preserve">All relevant on-site and off-site human receptors that could be </w:t>
      </w:r>
      <w:r w:rsidR="00C52E69" w:rsidRPr="000C60E1">
        <w:rPr>
          <w:rFonts w:cs="Arial"/>
          <w:highlight w:val="white"/>
        </w:rPr>
        <w:t>exposed to the COC</w:t>
      </w:r>
      <w:r w:rsidR="005B1095" w:rsidRPr="000C60E1">
        <w:rPr>
          <w:rFonts w:cs="Arial"/>
          <w:highlight w:val="white"/>
        </w:rPr>
        <w:t>(s)</w:t>
      </w:r>
      <w:r w:rsidR="00C52E69" w:rsidRPr="000C60E1">
        <w:rPr>
          <w:rFonts w:cs="Arial"/>
          <w:highlight w:val="white"/>
        </w:rPr>
        <w:t>.</w:t>
      </w:r>
    </w:p>
    <w:p w14:paraId="6F60C439" w14:textId="77777777" w:rsidR="00B736F9" w:rsidRPr="000C60E1" w:rsidRDefault="00B736F9" w:rsidP="000E72E5">
      <w:pPr>
        <w:pStyle w:val="ListBullet2"/>
        <w:rPr>
          <w:rFonts w:cs="Arial"/>
          <w:highlight w:val="white"/>
        </w:rPr>
      </w:pPr>
      <w:r w:rsidRPr="000C60E1">
        <w:rPr>
          <w:rFonts w:cs="Arial"/>
          <w:highlight w:val="white"/>
        </w:rPr>
        <w:t xml:space="preserve">Receptor characteristics that are clearly articulated in the </w:t>
      </w:r>
      <w:r w:rsidR="0041572E" w:rsidRPr="000C60E1">
        <w:rPr>
          <w:rFonts w:cs="Arial"/>
          <w:highlight w:val="white"/>
        </w:rPr>
        <w:t>RA report</w:t>
      </w:r>
      <w:r w:rsidRPr="000C60E1">
        <w:rPr>
          <w:rFonts w:cs="Arial"/>
        </w:rPr>
        <w:t>, and</w:t>
      </w:r>
    </w:p>
    <w:p w14:paraId="6E54A56E" w14:textId="77777777" w:rsidR="00B736F9" w:rsidRPr="000C60E1" w:rsidRDefault="00B736F9" w:rsidP="000E72E5">
      <w:pPr>
        <w:pStyle w:val="ListBullet2"/>
        <w:rPr>
          <w:rFonts w:cs="Arial"/>
        </w:rPr>
      </w:pPr>
      <w:r w:rsidRPr="000C60E1">
        <w:rPr>
          <w:rFonts w:cs="Arial"/>
        </w:rPr>
        <w:t>Potential exposure routes and pathways.</w:t>
      </w:r>
    </w:p>
    <w:p w14:paraId="405B6E5D" w14:textId="28D4CF60" w:rsidR="00B736F9" w:rsidRPr="000C60E1" w:rsidRDefault="00B736F9" w:rsidP="00840964">
      <w:pPr>
        <w:rPr>
          <w:rFonts w:cs="Arial"/>
        </w:rPr>
      </w:pPr>
      <w:r w:rsidRPr="000C60E1">
        <w:rPr>
          <w:rFonts w:cs="Arial"/>
        </w:rPr>
        <w:t>Minimum requirements for the Exposure Assessment component of the HHRA are provided in Table 1, 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7FBBE2C2" w14:textId="77777777" w:rsidTr="005B40DA">
        <w:trPr>
          <w:trHeight w:val="20"/>
          <w:tblHeader/>
        </w:trPr>
        <w:tc>
          <w:tcPr>
            <w:tcW w:w="2468" w:type="dxa"/>
          </w:tcPr>
          <w:p w14:paraId="0EA5B3F0" w14:textId="77777777" w:rsidR="00C94B3B" w:rsidRPr="000C0EF2" w:rsidRDefault="00C94B3B" w:rsidP="000C0EF2">
            <w:pPr>
              <w:pStyle w:val="table-e"/>
              <w:spacing w:line="240" w:lineRule="auto"/>
              <w:rPr>
                <w:b/>
                <w:sz w:val="24"/>
              </w:rPr>
            </w:pPr>
            <w:r w:rsidRPr="000C0EF2">
              <w:rPr>
                <w:b/>
                <w:sz w:val="24"/>
              </w:rPr>
              <w:lastRenderedPageBreak/>
              <w:t>Column 1</w:t>
            </w:r>
            <w:r w:rsidRPr="000C0EF2">
              <w:rPr>
                <w:b/>
                <w:sz w:val="24"/>
              </w:rPr>
              <w:br/>
              <w:t>Report Section</w:t>
            </w:r>
          </w:p>
        </w:tc>
        <w:tc>
          <w:tcPr>
            <w:tcW w:w="2014" w:type="dxa"/>
          </w:tcPr>
          <w:p w14:paraId="05F4C2FA"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9E89A8F"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0B7E1A19"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7F5BEC0A" w14:textId="77777777" w:rsidTr="005B40DA">
        <w:trPr>
          <w:trHeight w:val="20"/>
        </w:trPr>
        <w:tc>
          <w:tcPr>
            <w:tcW w:w="2468" w:type="dxa"/>
          </w:tcPr>
          <w:p w14:paraId="65F716B9"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532FA6ED" w14:textId="77777777" w:rsidR="00C94B3B" w:rsidRPr="000C0EF2" w:rsidRDefault="00C94B3B" w:rsidP="000C0EF2">
            <w:pPr>
              <w:pStyle w:val="table-e"/>
              <w:spacing w:line="240" w:lineRule="auto"/>
              <w:rPr>
                <w:sz w:val="24"/>
              </w:rPr>
            </w:pPr>
            <w:r w:rsidRPr="000C0EF2">
              <w:rPr>
                <w:sz w:val="24"/>
              </w:rPr>
              <w:t xml:space="preserve">(b)  Exposure Assessment </w:t>
            </w:r>
          </w:p>
        </w:tc>
        <w:tc>
          <w:tcPr>
            <w:tcW w:w="1839" w:type="dxa"/>
          </w:tcPr>
          <w:p w14:paraId="6623A544" w14:textId="77777777" w:rsidR="00C94B3B" w:rsidRPr="000C0EF2" w:rsidRDefault="00C94B3B"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Receptor Characteristics</w:t>
            </w:r>
          </w:p>
        </w:tc>
        <w:tc>
          <w:tcPr>
            <w:tcW w:w="3759" w:type="dxa"/>
          </w:tcPr>
          <w:p w14:paraId="00881360" w14:textId="77777777" w:rsidR="00C94B3B" w:rsidRPr="000C0EF2" w:rsidRDefault="00C94B3B" w:rsidP="000C0EF2">
            <w:pPr>
              <w:pStyle w:val="table-e"/>
              <w:spacing w:line="240" w:lineRule="auto"/>
              <w:rPr>
                <w:sz w:val="24"/>
              </w:rPr>
            </w:pPr>
            <w:r w:rsidRPr="000C0EF2">
              <w:rPr>
                <w:sz w:val="24"/>
              </w:rPr>
              <w:t>Describe in detail the characteristics of every human receptor, both on and off the RA property, identified in the human health conceptual site model.</w:t>
            </w:r>
          </w:p>
        </w:tc>
      </w:tr>
      <w:tr w:rsidR="00C94B3B" w:rsidRPr="000C0EF2" w14:paraId="0BADC95F" w14:textId="77777777" w:rsidTr="005B40DA">
        <w:trPr>
          <w:trHeight w:val="20"/>
        </w:trPr>
        <w:tc>
          <w:tcPr>
            <w:tcW w:w="2468" w:type="dxa"/>
          </w:tcPr>
          <w:p w14:paraId="047B353F"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05B6696A" w14:textId="77777777" w:rsidR="00C94B3B" w:rsidRPr="000C0EF2" w:rsidRDefault="00C94B3B" w:rsidP="000C0EF2">
            <w:pPr>
              <w:pStyle w:val="table-e"/>
              <w:spacing w:line="240" w:lineRule="auto"/>
              <w:rPr>
                <w:sz w:val="24"/>
              </w:rPr>
            </w:pPr>
            <w:r w:rsidRPr="000C0EF2">
              <w:rPr>
                <w:sz w:val="24"/>
              </w:rPr>
              <w:t xml:space="preserve">(b)  Exposure Assessment </w:t>
            </w:r>
          </w:p>
        </w:tc>
        <w:tc>
          <w:tcPr>
            <w:tcW w:w="1839" w:type="dxa"/>
          </w:tcPr>
          <w:p w14:paraId="41F6AB79" w14:textId="77777777" w:rsidR="00C94B3B" w:rsidRPr="000C0EF2" w:rsidRDefault="00C94B3B" w:rsidP="000C0EF2">
            <w:pPr>
              <w:pStyle w:val="table-e"/>
              <w:spacing w:line="240" w:lineRule="auto"/>
              <w:rPr>
                <w:sz w:val="24"/>
              </w:rPr>
            </w:pPr>
            <w:r w:rsidRPr="000C0EF2">
              <w:rPr>
                <w:sz w:val="24"/>
              </w:rPr>
              <w:t>(ii)  Pathway Analysis</w:t>
            </w:r>
          </w:p>
        </w:tc>
        <w:tc>
          <w:tcPr>
            <w:tcW w:w="3759" w:type="dxa"/>
          </w:tcPr>
          <w:p w14:paraId="2F1D21FE" w14:textId="77777777" w:rsidR="00C94B3B" w:rsidRPr="000C0EF2" w:rsidRDefault="00C94B3B" w:rsidP="000C0EF2">
            <w:pPr>
              <w:pStyle w:val="table-e"/>
              <w:spacing w:line="240" w:lineRule="auto"/>
              <w:rPr>
                <w:sz w:val="24"/>
              </w:rPr>
            </w:pPr>
            <w:r w:rsidRPr="000C0EF2">
              <w:rPr>
                <w:sz w:val="24"/>
              </w:rPr>
              <w:t xml:space="preserve">Describe in detail every exposure pathway identified in the human health conceptual site model. Justify which exposure pathways are incomplete. </w:t>
            </w:r>
          </w:p>
        </w:tc>
      </w:tr>
      <w:tr w:rsidR="00C94B3B" w:rsidRPr="000C0EF2" w14:paraId="40644D19" w14:textId="77777777" w:rsidTr="005B40DA">
        <w:trPr>
          <w:trHeight w:val="20"/>
        </w:trPr>
        <w:tc>
          <w:tcPr>
            <w:tcW w:w="2468" w:type="dxa"/>
          </w:tcPr>
          <w:p w14:paraId="2512E88D"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6170350C" w14:textId="77777777" w:rsidR="00C94B3B" w:rsidRPr="000C0EF2" w:rsidRDefault="00C94B3B" w:rsidP="000C0EF2">
            <w:pPr>
              <w:pStyle w:val="table-e"/>
              <w:spacing w:line="240" w:lineRule="auto"/>
              <w:rPr>
                <w:sz w:val="24"/>
              </w:rPr>
            </w:pPr>
            <w:r w:rsidRPr="000C0EF2">
              <w:rPr>
                <w:sz w:val="24"/>
              </w:rPr>
              <w:t>(b)  Exposure Assessment</w:t>
            </w:r>
          </w:p>
          <w:p w14:paraId="28B006AC" w14:textId="77777777" w:rsidR="00C94B3B" w:rsidRPr="000C0EF2" w:rsidRDefault="00C94B3B" w:rsidP="000C0EF2">
            <w:pPr>
              <w:pStyle w:val="table-e"/>
              <w:spacing w:line="240" w:lineRule="auto"/>
              <w:rPr>
                <w:sz w:val="24"/>
              </w:rPr>
            </w:pPr>
          </w:p>
        </w:tc>
        <w:tc>
          <w:tcPr>
            <w:tcW w:w="1839" w:type="dxa"/>
          </w:tcPr>
          <w:p w14:paraId="03FCAAE3" w14:textId="77777777" w:rsidR="00C94B3B" w:rsidRPr="000C0EF2" w:rsidRDefault="00C94B3B" w:rsidP="000C0EF2">
            <w:pPr>
              <w:pStyle w:val="table-e"/>
              <w:spacing w:line="240" w:lineRule="auto"/>
              <w:rPr>
                <w:sz w:val="24"/>
                <w:lang w:val="fr-CA"/>
              </w:rPr>
            </w:pPr>
            <w:r w:rsidRPr="000C0EF2">
              <w:rPr>
                <w:sz w:val="24"/>
                <w:lang w:val="fr-CA"/>
              </w:rPr>
              <w:t xml:space="preserve">(iii)  </w:t>
            </w:r>
            <w:proofErr w:type="spellStart"/>
            <w:r w:rsidRPr="000C0EF2">
              <w:rPr>
                <w:sz w:val="24"/>
                <w:lang w:val="fr-CA"/>
              </w:rPr>
              <w:t>Exposure</w:t>
            </w:r>
            <w:proofErr w:type="spellEnd"/>
            <w:r w:rsidRPr="000C0EF2">
              <w:rPr>
                <w:sz w:val="24"/>
                <w:lang w:val="fr-CA"/>
              </w:rPr>
              <w:t xml:space="preserve"> </w:t>
            </w:r>
            <w:proofErr w:type="spellStart"/>
            <w:r w:rsidRPr="000C0EF2">
              <w:rPr>
                <w:sz w:val="24"/>
                <w:lang w:val="fr-CA"/>
              </w:rPr>
              <w:t>Estimates</w:t>
            </w:r>
            <w:proofErr w:type="spellEnd"/>
          </w:p>
        </w:tc>
        <w:tc>
          <w:tcPr>
            <w:tcW w:w="3759" w:type="dxa"/>
          </w:tcPr>
          <w:p w14:paraId="0F347500" w14:textId="77777777" w:rsidR="00C94B3B" w:rsidRPr="000C0EF2" w:rsidRDefault="00C94B3B" w:rsidP="000C0EF2">
            <w:pPr>
              <w:pStyle w:val="table-e"/>
              <w:spacing w:line="240" w:lineRule="auto"/>
              <w:rPr>
                <w:sz w:val="24"/>
              </w:rPr>
            </w:pPr>
            <w:r w:rsidRPr="000C0EF2">
              <w:rPr>
                <w:sz w:val="24"/>
              </w:rPr>
              <w:t>For every complete exposure pathway state,</w:t>
            </w:r>
          </w:p>
          <w:p w14:paraId="6A792CC2" w14:textId="77777777" w:rsidR="00C94B3B" w:rsidRPr="000C0EF2" w:rsidRDefault="00C94B3B" w:rsidP="000C0EF2">
            <w:pPr>
              <w:pStyle w:val="table-e"/>
              <w:spacing w:line="240" w:lineRule="auto"/>
              <w:rPr>
                <w:sz w:val="24"/>
              </w:rPr>
            </w:pPr>
            <w:r w:rsidRPr="000C0EF2">
              <w:rPr>
                <w:sz w:val="24"/>
              </w:rPr>
              <w:t>(a)  the relative frequency and duration of actual or potential exposures;</w:t>
            </w:r>
          </w:p>
          <w:p w14:paraId="45B6EB50" w14:textId="77777777" w:rsidR="00C94B3B" w:rsidRPr="000C0EF2" w:rsidRDefault="00C94B3B" w:rsidP="000C0EF2">
            <w:pPr>
              <w:pStyle w:val="table-e"/>
              <w:spacing w:line="240" w:lineRule="auto"/>
              <w:rPr>
                <w:sz w:val="24"/>
              </w:rPr>
            </w:pPr>
            <w:r w:rsidRPr="000C0EF2">
              <w:rPr>
                <w:sz w:val="24"/>
              </w:rPr>
              <w:t>(b)  the relative magnitude of exposure to the human receptors, using measured contaminant exposure concentrations or concentrations predicted through fate and transport modelling; and</w:t>
            </w:r>
          </w:p>
          <w:p w14:paraId="156E37ED" w14:textId="77777777" w:rsidR="00C94B3B" w:rsidRPr="000C0EF2" w:rsidRDefault="00C94B3B" w:rsidP="000C0EF2">
            <w:pPr>
              <w:pStyle w:val="table-e"/>
              <w:spacing w:line="240" w:lineRule="auto"/>
              <w:rPr>
                <w:sz w:val="24"/>
              </w:rPr>
            </w:pPr>
            <w:r w:rsidRPr="000C0EF2">
              <w:rPr>
                <w:sz w:val="24"/>
              </w:rPr>
              <w:t>(c)  given the uncertainty described under Heading (a) (Problem Formulation), how does this uncertainty affect the outcomes of the exposure assessments conducted under clauses (a) and (b).</w:t>
            </w:r>
          </w:p>
        </w:tc>
      </w:tr>
    </w:tbl>
    <w:p w14:paraId="62EE954B" w14:textId="77777777" w:rsidR="00BC40D2" w:rsidRPr="000C60E1" w:rsidRDefault="00BC40D2" w:rsidP="00E51A42">
      <w:pPr>
        <w:rPr>
          <w:rFonts w:cs="Arial"/>
        </w:rPr>
      </w:pPr>
      <w:bookmarkStart w:id="187" w:name="_Toc91393557"/>
      <w:bookmarkStart w:id="188" w:name="_Toc112727420"/>
      <w:r w:rsidRPr="000C60E1">
        <w:rPr>
          <w:rFonts w:cs="Arial"/>
        </w:rPr>
        <w:t>Additional guidance is provided in the following sections</w:t>
      </w:r>
      <w:r w:rsidR="00FE4304" w:rsidRPr="000C60E1">
        <w:rPr>
          <w:rFonts w:cs="Arial"/>
        </w:rPr>
        <w:t xml:space="preserve"> of this </w:t>
      </w:r>
      <w:r w:rsidR="00FC239E" w:rsidRPr="000C60E1">
        <w:rPr>
          <w:rFonts w:cs="Arial"/>
        </w:rPr>
        <w:t>P</w:t>
      </w:r>
      <w:r w:rsidR="00FE4304" w:rsidRPr="000C60E1">
        <w:rPr>
          <w:rFonts w:cs="Arial"/>
        </w:rPr>
        <w:t>rocedure</w:t>
      </w:r>
      <w:r w:rsidR="00304CB0" w:rsidRPr="000C60E1">
        <w:rPr>
          <w:rFonts w:cs="Arial"/>
        </w:rPr>
        <w:t>s</w:t>
      </w:r>
      <w:r w:rsidR="00FE4304" w:rsidRPr="000C60E1">
        <w:rPr>
          <w:rFonts w:cs="Arial"/>
        </w:rPr>
        <w:t xml:space="preserve"> document</w:t>
      </w:r>
      <w:r w:rsidRPr="000C60E1">
        <w:rPr>
          <w:rFonts w:cs="Arial"/>
        </w:rPr>
        <w:t>.</w:t>
      </w:r>
    </w:p>
    <w:p w14:paraId="75E23695" w14:textId="01B051B3" w:rsidR="00B736F9" w:rsidRPr="000C60E1" w:rsidRDefault="00B736F9" w:rsidP="00DE496B">
      <w:pPr>
        <w:pStyle w:val="Heading3"/>
        <w:rPr>
          <w:rFonts w:cs="Arial"/>
        </w:rPr>
      </w:pPr>
      <w:bookmarkStart w:id="189" w:name="_Toc41905694"/>
      <w:r w:rsidRPr="000C60E1">
        <w:rPr>
          <w:rFonts w:cs="Arial"/>
        </w:rPr>
        <w:t>Receptor Characteristics</w:t>
      </w:r>
      <w:bookmarkEnd w:id="187"/>
      <w:bookmarkEnd w:id="188"/>
      <w:bookmarkEnd w:id="189"/>
    </w:p>
    <w:p w14:paraId="0254F841" w14:textId="53C5C0C2" w:rsidR="00B736F9" w:rsidRPr="002A75F2" w:rsidRDefault="00B736F9" w:rsidP="00840964">
      <w:pPr>
        <w:rPr>
          <w:rFonts w:cs="Arial"/>
        </w:rPr>
      </w:pPr>
      <w:r w:rsidRPr="000C60E1">
        <w:rPr>
          <w:rFonts w:cs="Arial"/>
        </w:rPr>
        <w:t xml:space="preserve">The </w:t>
      </w:r>
      <w:r w:rsidR="0041572E" w:rsidRPr="000C60E1">
        <w:rPr>
          <w:rFonts w:cs="Arial"/>
        </w:rPr>
        <w:t>RA report</w:t>
      </w:r>
      <w:r w:rsidRPr="000C60E1">
        <w:rPr>
          <w:rFonts w:cs="Arial"/>
        </w:rPr>
        <w:t xml:space="preserve"> should describe the characteristics of all relevant on- and off-site receptors identified in the human health conceptual site model</w:t>
      </w:r>
      <w:r w:rsidR="0031450C" w:rsidRPr="000C60E1">
        <w:rPr>
          <w:rFonts w:cs="Arial"/>
        </w:rPr>
        <w:t>.</w:t>
      </w:r>
      <w:r w:rsidRPr="000C60E1">
        <w:rPr>
          <w:rFonts w:cs="Arial"/>
        </w:rPr>
        <w:t xml:space="preserve"> Receptor characteristics should be defined to include gender, age (including </w:t>
      </w:r>
      <w:r w:rsidRPr="002A75F2">
        <w:rPr>
          <w:rFonts w:cs="Arial"/>
        </w:rPr>
        <w:t>elderly), predisposing physiological and/or medical conditions (</w:t>
      </w:r>
      <w:r w:rsidR="00047AAB" w:rsidRPr="002A75F2">
        <w:rPr>
          <w:rFonts w:cs="Arial"/>
        </w:rPr>
        <w:t>e.g.</w:t>
      </w:r>
      <w:r w:rsidRPr="002A75F2">
        <w:rPr>
          <w:rFonts w:cs="Arial"/>
        </w:rPr>
        <w:t xml:space="preserve"> asthmatics, immunologically impaired, pregnant women, etc.) and </w:t>
      </w:r>
      <w:r w:rsidR="00A72934" w:rsidRPr="002A75F2">
        <w:rPr>
          <w:rFonts w:cs="Arial"/>
        </w:rPr>
        <w:t xml:space="preserve">other </w:t>
      </w:r>
      <w:r w:rsidRPr="002A75F2">
        <w:rPr>
          <w:rFonts w:cs="Arial"/>
        </w:rPr>
        <w:t>exposure variables (</w:t>
      </w:r>
      <w:r w:rsidR="00047AAB" w:rsidRPr="002A75F2">
        <w:rPr>
          <w:rFonts w:cs="Arial"/>
        </w:rPr>
        <w:t xml:space="preserve">e.g. </w:t>
      </w:r>
      <w:r w:rsidR="00A72934" w:rsidRPr="002A75F2">
        <w:rPr>
          <w:rFonts w:cs="Arial"/>
        </w:rPr>
        <w:t>inhalation</w:t>
      </w:r>
      <w:r w:rsidRPr="002A75F2">
        <w:rPr>
          <w:rFonts w:cs="Arial"/>
        </w:rPr>
        <w:t xml:space="preserve"> rate, water</w:t>
      </w:r>
      <w:r w:rsidR="00A72934" w:rsidRPr="002A75F2">
        <w:rPr>
          <w:rFonts w:cs="Arial"/>
        </w:rPr>
        <w:t xml:space="preserve"> ingestion rate</w:t>
      </w:r>
      <w:r w:rsidRPr="002A75F2">
        <w:rPr>
          <w:rFonts w:cs="Arial"/>
        </w:rPr>
        <w:t xml:space="preserve">, </w:t>
      </w:r>
      <w:r w:rsidR="00A72934" w:rsidRPr="002A75F2">
        <w:rPr>
          <w:rFonts w:cs="Arial"/>
        </w:rPr>
        <w:t xml:space="preserve">soil ingestion rate, </w:t>
      </w:r>
      <w:r w:rsidRPr="002A75F2">
        <w:rPr>
          <w:rFonts w:cs="Arial"/>
        </w:rPr>
        <w:t>etc.)</w:t>
      </w:r>
      <w:r w:rsidR="001952F1" w:rsidRPr="002A75F2">
        <w:rPr>
          <w:rFonts w:cs="Arial"/>
        </w:rPr>
        <w:t>.</w:t>
      </w:r>
    </w:p>
    <w:p w14:paraId="10C48E7D" w14:textId="77777777" w:rsidR="00B736F9" w:rsidRPr="000C60E1" w:rsidRDefault="00B736F9" w:rsidP="00840964">
      <w:pPr>
        <w:rPr>
          <w:rFonts w:cs="Arial"/>
        </w:rPr>
      </w:pPr>
      <w:r w:rsidRPr="002A75F2">
        <w:rPr>
          <w:rFonts w:cs="Arial"/>
        </w:rPr>
        <w:t xml:space="preserve">The </w:t>
      </w:r>
      <w:r w:rsidR="000767FF" w:rsidRPr="002A75F2">
        <w:rPr>
          <w:rFonts w:cs="Arial"/>
        </w:rPr>
        <w:t>QP</w:t>
      </w:r>
      <w:r w:rsidR="000767FF" w:rsidRPr="002A75F2">
        <w:rPr>
          <w:rFonts w:cs="Arial"/>
          <w:vertAlign w:val="subscript"/>
        </w:rPr>
        <w:t>RA</w:t>
      </w:r>
      <w:r w:rsidRPr="002A75F2">
        <w:rPr>
          <w:rFonts w:cs="Arial"/>
        </w:rPr>
        <w:t xml:space="preserve"> should identify receptor populations currently present </w:t>
      </w:r>
      <w:r w:rsidRPr="000C60E1">
        <w:rPr>
          <w:rFonts w:cs="Arial"/>
          <w:highlight w:val="white"/>
        </w:rPr>
        <w:t xml:space="preserve">at or near the RA property and those that may be present </w:t>
      </w:r>
      <w:r w:rsidR="0031450C" w:rsidRPr="000C60E1">
        <w:rPr>
          <w:rFonts w:cs="Arial"/>
          <w:highlight w:val="white"/>
        </w:rPr>
        <w:t xml:space="preserve">given the </w:t>
      </w:r>
      <w:r w:rsidRPr="000C60E1">
        <w:rPr>
          <w:rFonts w:cs="Arial"/>
          <w:highlight w:val="white"/>
        </w:rPr>
        <w:t xml:space="preserve">proposed use of the property </w:t>
      </w:r>
      <w:r w:rsidR="0031450C" w:rsidRPr="000C60E1">
        <w:rPr>
          <w:rFonts w:cs="Arial"/>
          <w:highlight w:val="white"/>
        </w:rPr>
        <w:t xml:space="preserve">by </w:t>
      </w:r>
      <w:r w:rsidRPr="000C60E1">
        <w:rPr>
          <w:rFonts w:cs="Arial"/>
          <w:highlight w:val="white"/>
        </w:rPr>
        <w:t xml:space="preserve">considering the following; </w:t>
      </w:r>
      <w:r w:rsidRPr="000C60E1">
        <w:rPr>
          <w:rFonts w:cs="Arial"/>
        </w:rPr>
        <w:t xml:space="preserve"> </w:t>
      </w:r>
    </w:p>
    <w:p w14:paraId="5F9AFFB7" w14:textId="77777777" w:rsidR="00B736F9" w:rsidRPr="000C60E1" w:rsidRDefault="00B736F9" w:rsidP="000E72E5">
      <w:pPr>
        <w:pStyle w:val="ListBullet2"/>
        <w:rPr>
          <w:rFonts w:cs="Arial"/>
        </w:rPr>
      </w:pPr>
      <w:r w:rsidRPr="000C60E1">
        <w:rPr>
          <w:rFonts w:cs="Arial"/>
        </w:rPr>
        <w:lastRenderedPageBreak/>
        <w:t>The proposed use of the RA property, distance to the closest receptor, public accessibility and receptor activities and patterns</w:t>
      </w:r>
      <w:r w:rsidR="00B67194" w:rsidRPr="000C60E1">
        <w:rPr>
          <w:rFonts w:cs="Arial"/>
        </w:rPr>
        <w:t>,</w:t>
      </w:r>
      <w:r w:rsidRPr="000C60E1">
        <w:rPr>
          <w:rFonts w:cs="Arial"/>
        </w:rPr>
        <w:t xml:space="preserve"> including but not limited to the </w:t>
      </w:r>
      <w:r w:rsidR="0008524D" w:rsidRPr="000C60E1">
        <w:rPr>
          <w:rFonts w:cs="Arial"/>
        </w:rPr>
        <w:t xml:space="preserve">amount </w:t>
      </w:r>
      <w:r w:rsidRPr="000C60E1">
        <w:rPr>
          <w:rFonts w:cs="Arial"/>
        </w:rPr>
        <w:t xml:space="preserve">of time the potentially exposed populations spend </w:t>
      </w:r>
      <w:r w:rsidR="0008524D" w:rsidRPr="000C60E1">
        <w:rPr>
          <w:rFonts w:cs="Arial"/>
        </w:rPr>
        <w:t>at the RA property</w:t>
      </w:r>
      <w:r w:rsidRPr="000C60E1">
        <w:rPr>
          <w:rFonts w:cs="Arial"/>
        </w:rPr>
        <w:t xml:space="preserve">; the proportion of time human activities occur primarily indoors or outdoors; </w:t>
      </w:r>
      <w:r w:rsidR="0008524D" w:rsidRPr="000C60E1">
        <w:rPr>
          <w:rFonts w:cs="Arial"/>
        </w:rPr>
        <w:t xml:space="preserve">any </w:t>
      </w:r>
      <w:r w:rsidRPr="000C60E1">
        <w:rPr>
          <w:rFonts w:cs="Arial"/>
        </w:rPr>
        <w:t>variation</w:t>
      </w:r>
      <w:r w:rsidR="0008524D" w:rsidRPr="000C60E1">
        <w:rPr>
          <w:rFonts w:cs="Arial"/>
        </w:rPr>
        <w:t>s</w:t>
      </w:r>
      <w:r w:rsidRPr="000C60E1">
        <w:rPr>
          <w:rFonts w:cs="Arial"/>
        </w:rPr>
        <w:t xml:space="preserve"> due to seasonal changes; </w:t>
      </w:r>
      <w:r w:rsidR="0008524D" w:rsidRPr="000C60E1">
        <w:rPr>
          <w:rFonts w:cs="Arial"/>
        </w:rPr>
        <w:t xml:space="preserve">and </w:t>
      </w:r>
      <w:r w:rsidRPr="000C60E1">
        <w:rPr>
          <w:rFonts w:cs="Arial"/>
        </w:rPr>
        <w:t>any property-specific population characteristics that might influence exposure</w:t>
      </w:r>
      <w:r w:rsidR="0008524D" w:rsidRPr="000C60E1">
        <w:rPr>
          <w:rFonts w:cs="Arial"/>
        </w:rPr>
        <w:t xml:space="preserve"> frequency and/or intensity</w:t>
      </w:r>
      <w:r w:rsidRPr="000C60E1">
        <w:rPr>
          <w:rFonts w:cs="Arial"/>
        </w:rPr>
        <w:t>;</w:t>
      </w:r>
    </w:p>
    <w:p w14:paraId="58510A10" w14:textId="77777777" w:rsidR="00B736F9" w:rsidRPr="000C60E1" w:rsidRDefault="00B736F9" w:rsidP="000E72E5">
      <w:pPr>
        <w:pStyle w:val="ListBullet2"/>
        <w:rPr>
          <w:rFonts w:cs="Arial"/>
        </w:rPr>
      </w:pPr>
      <w:r w:rsidRPr="000C60E1">
        <w:rPr>
          <w:rFonts w:cs="Arial"/>
        </w:rPr>
        <w:t xml:space="preserve">Use of the groundwater for drinking or agricultural purposes under present and future conditions; </w:t>
      </w:r>
    </w:p>
    <w:p w14:paraId="37FBE7F2" w14:textId="77777777" w:rsidR="00B736F9" w:rsidRPr="000C60E1" w:rsidRDefault="00B736F9" w:rsidP="000E72E5">
      <w:pPr>
        <w:pStyle w:val="ListBullet2"/>
        <w:rPr>
          <w:rFonts w:cs="Arial"/>
        </w:rPr>
      </w:pPr>
      <w:r w:rsidRPr="000C60E1">
        <w:rPr>
          <w:rFonts w:cs="Arial"/>
        </w:rPr>
        <w:t xml:space="preserve">The receptor sub-populations of potential concern: any group with increased sensitivity, </w:t>
      </w:r>
      <w:r w:rsidR="004C616A" w:rsidRPr="000C60E1">
        <w:rPr>
          <w:rFonts w:cs="Arial"/>
        </w:rPr>
        <w:t>(</w:t>
      </w:r>
      <w:r w:rsidR="00047AAB" w:rsidRPr="000C60E1">
        <w:rPr>
          <w:rFonts w:cs="Arial"/>
        </w:rPr>
        <w:t>e.g.</w:t>
      </w:r>
      <w:r w:rsidR="004C616A" w:rsidRPr="000C60E1">
        <w:rPr>
          <w:rFonts w:cs="Arial"/>
        </w:rPr>
        <w:t xml:space="preserve"> infants, asthmatics, elderly</w:t>
      </w:r>
      <w:r w:rsidR="000067E1" w:rsidRPr="000C60E1">
        <w:rPr>
          <w:rFonts w:cs="Arial"/>
        </w:rPr>
        <w:t>, pregnant women</w:t>
      </w:r>
      <w:r w:rsidR="004C616A" w:rsidRPr="000C60E1">
        <w:rPr>
          <w:rFonts w:cs="Arial"/>
        </w:rPr>
        <w:t xml:space="preserve">) </w:t>
      </w:r>
      <w:r w:rsidRPr="000C60E1">
        <w:rPr>
          <w:rFonts w:cs="Arial"/>
        </w:rPr>
        <w:t xml:space="preserve">either due to, for example, the </w:t>
      </w:r>
      <w:proofErr w:type="spellStart"/>
      <w:r w:rsidRPr="000C60E1">
        <w:rPr>
          <w:rFonts w:cs="Arial"/>
        </w:rPr>
        <w:t>behaviour</w:t>
      </w:r>
      <w:proofErr w:type="spellEnd"/>
      <w:r w:rsidRPr="000C60E1">
        <w:rPr>
          <w:rFonts w:cs="Arial"/>
        </w:rPr>
        <w:t xml:space="preserve">, activity pattern or health status of the sub-population or to the </w:t>
      </w:r>
      <w:r w:rsidR="0008524D" w:rsidRPr="000C60E1">
        <w:rPr>
          <w:rFonts w:cs="Arial"/>
        </w:rPr>
        <w:t xml:space="preserve">sensitive endpoint(s) </w:t>
      </w:r>
      <w:r w:rsidRPr="000C60E1">
        <w:rPr>
          <w:rFonts w:cs="Arial"/>
        </w:rPr>
        <w:t>of the COC</w:t>
      </w:r>
      <w:r w:rsidR="0008524D" w:rsidRPr="000C60E1">
        <w:rPr>
          <w:rFonts w:cs="Arial"/>
        </w:rPr>
        <w:t>’s toxicity,</w:t>
      </w:r>
      <w:r w:rsidRPr="000C60E1">
        <w:rPr>
          <w:rFonts w:cs="Arial"/>
        </w:rPr>
        <w:t xml:space="preserve"> including, but not limited to, schools, day</w:t>
      </w:r>
      <w:r w:rsidR="000067E1" w:rsidRPr="000C60E1">
        <w:rPr>
          <w:rFonts w:cs="Arial"/>
        </w:rPr>
        <w:t>-</w:t>
      </w:r>
      <w:r w:rsidRPr="000C60E1">
        <w:rPr>
          <w:rFonts w:cs="Arial"/>
        </w:rPr>
        <w:t xml:space="preserve">care </w:t>
      </w:r>
      <w:proofErr w:type="spellStart"/>
      <w:r w:rsidRPr="000C60E1">
        <w:rPr>
          <w:rFonts w:cs="Arial"/>
        </w:rPr>
        <w:t>centres</w:t>
      </w:r>
      <w:proofErr w:type="spellEnd"/>
      <w:r w:rsidRPr="000C60E1">
        <w:rPr>
          <w:rFonts w:cs="Arial"/>
        </w:rPr>
        <w:t>, hospitals, retirement communities, nearby residential areas with children, and hunters/gatherers at or near the property;</w:t>
      </w:r>
    </w:p>
    <w:p w14:paraId="55FE0A7A" w14:textId="6480BA07" w:rsidR="00B736F9" w:rsidRPr="000C60E1" w:rsidRDefault="0008524D" w:rsidP="000E72E5">
      <w:pPr>
        <w:pStyle w:val="ListBullet2"/>
        <w:rPr>
          <w:rFonts w:cs="Arial"/>
          <w:highlight w:val="white"/>
        </w:rPr>
      </w:pPr>
      <w:r w:rsidRPr="000C60E1">
        <w:rPr>
          <w:rFonts w:cs="Arial"/>
        </w:rPr>
        <w:t>The u</w:t>
      </w:r>
      <w:r w:rsidR="00B736F9" w:rsidRPr="000C60E1">
        <w:rPr>
          <w:rFonts w:cs="Arial"/>
        </w:rPr>
        <w:t xml:space="preserve">ncertainty that exists in terms of </w:t>
      </w:r>
      <w:r w:rsidRPr="000C60E1">
        <w:rPr>
          <w:rFonts w:cs="Arial"/>
        </w:rPr>
        <w:t>the characteristics of the exposed receptors via the identified</w:t>
      </w:r>
      <w:r w:rsidR="00B736F9" w:rsidRPr="000C60E1">
        <w:rPr>
          <w:rFonts w:cs="Arial"/>
        </w:rPr>
        <w:t xml:space="preserve"> exposure pathways</w:t>
      </w:r>
      <w:r w:rsidR="00480A45" w:rsidRPr="000C60E1">
        <w:rPr>
          <w:rFonts w:cs="Arial"/>
        </w:rPr>
        <w:t>.</w:t>
      </w:r>
      <w:r w:rsidR="00B375D7" w:rsidRPr="000C60E1">
        <w:rPr>
          <w:rFonts w:cs="Arial"/>
        </w:rPr>
        <w:t xml:space="preserve"> This should include the uncertainty associated with the</w:t>
      </w:r>
      <w:r w:rsidR="00214E23" w:rsidRPr="000C60E1">
        <w:rPr>
          <w:rFonts w:cs="Arial"/>
        </w:rPr>
        <w:t xml:space="preserve"> </w:t>
      </w:r>
      <w:r w:rsidR="001E15FC" w:rsidRPr="000C60E1">
        <w:rPr>
          <w:rFonts w:cs="Arial"/>
        </w:rPr>
        <w:t xml:space="preserve">quality of supporting </w:t>
      </w:r>
      <w:r w:rsidR="001E15FC" w:rsidRPr="002A75F2">
        <w:rPr>
          <w:rFonts w:cs="Arial"/>
        </w:rPr>
        <w:t>site</w:t>
      </w:r>
      <w:r w:rsidR="001A5A5F" w:rsidRPr="002A75F2">
        <w:rPr>
          <w:rFonts w:cs="Arial"/>
        </w:rPr>
        <w:t>-specific</w:t>
      </w:r>
      <w:r w:rsidR="001E15FC" w:rsidRPr="002A75F2">
        <w:rPr>
          <w:rFonts w:cs="Arial"/>
        </w:rPr>
        <w:t xml:space="preserve"> data</w:t>
      </w:r>
      <w:r w:rsidR="001E15FC" w:rsidRPr="000C60E1">
        <w:rPr>
          <w:rFonts w:cs="Arial"/>
        </w:rPr>
        <w:t xml:space="preserve">, </w:t>
      </w:r>
      <w:r w:rsidR="00B375D7" w:rsidRPr="000C60E1">
        <w:rPr>
          <w:rFonts w:cs="Arial"/>
        </w:rPr>
        <w:t xml:space="preserve">the </w:t>
      </w:r>
      <w:r w:rsidR="001E15FC" w:rsidRPr="000C60E1">
        <w:rPr>
          <w:rFonts w:cs="Arial"/>
        </w:rPr>
        <w:t>understanding of proposed land use and knowledge of uses and likely uses of adjacent or potentially impacted sites</w:t>
      </w:r>
      <w:r w:rsidR="00B736F9" w:rsidRPr="000C60E1">
        <w:rPr>
          <w:rFonts w:cs="Arial"/>
        </w:rPr>
        <w:t>.</w:t>
      </w:r>
    </w:p>
    <w:p w14:paraId="0DE4C2D0" w14:textId="37D85777" w:rsidR="00400C37" w:rsidRPr="000C60E1" w:rsidRDefault="00B736F9" w:rsidP="00400C37">
      <w:pPr>
        <w:rPr>
          <w:rFonts w:cs="Arial"/>
        </w:rPr>
      </w:pPr>
      <w:r w:rsidRPr="000C60E1">
        <w:rPr>
          <w:rFonts w:cs="Arial"/>
        </w:rPr>
        <w:t>Receptors should include those who may be exposed during the proposed property use</w:t>
      </w:r>
      <w:r w:rsidR="000067E1" w:rsidRPr="000C60E1">
        <w:rPr>
          <w:rFonts w:cs="Arial"/>
        </w:rPr>
        <w:t xml:space="preserve"> </w:t>
      </w:r>
      <w:r w:rsidRPr="000C60E1">
        <w:rPr>
          <w:rFonts w:cs="Arial"/>
        </w:rPr>
        <w:t xml:space="preserve">while giving consideration to the property surroundings. This also includes </w:t>
      </w:r>
      <w:r w:rsidR="001E15FC" w:rsidRPr="000C60E1">
        <w:rPr>
          <w:rFonts w:cs="Arial"/>
        </w:rPr>
        <w:t xml:space="preserve">consideration of </w:t>
      </w:r>
      <w:r w:rsidRPr="000C60E1">
        <w:rPr>
          <w:rFonts w:cs="Arial"/>
        </w:rPr>
        <w:t xml:space="preserve">occasional receptors, including but not limited to visitors and utility workers. </w:t>
      </w:r>
      <w:r w:rsidR="001E15FC" w:rsidRPr="000C60E1">
        <w:rPr>
          <w:rFonts w:cs="Arial"/>
        </w:rPr>
        <w:t xml:space="preserve">Each receptor should be considered to the level of detail appropriate to meet the objectives of the HHRA (refer to Section </w:t>
      </w:r>
      <w:r w:rsidR="00FC239E" w:rsidRPr="000C60E1">
        <w:rPr>
          <w:rFonts w:cs="Arial"/>
        </w:rPr>
        <w:t>6</w:t>
      </w:r>
      <w:r w:rsidR="001E15FC" w:rsidRPr="000C60E1">
        <w:rPr>
          <w:rFonts w:cs="Arial"/>
        </w:rPr>
        <w:t xml:space="preserve">.1.2 of this </w:t>
      </w:r>
      <w:r w:rsidR="000067E1" w:rsidRPr="000C60E1">
        <w:rPr>
          <w:rFonts w:cs="Arial"/>
        </w:rPr>
        <w:t>P</w:t>
      </w:r>
      <w:r w:rsidR="001E15FC" w:rsidRPr="000C60E1">
        <w:rPr>
          <w:rFonts w:cs="Arial"/>
        </w:rPr>
        <w:t>rocedure</w:t>
      </w:r>
      <w:r w:rsidR="000067E1" w:rsidRPr="000C60E1">
        <w:rPr>
          <w:rFonts w:cs="Arial"/>
        </w:rPr>
        <w:t>s</w:t>
      </w:r>
      <w:r w:rsidR="001E15FC" w:rsidRPr="000C60E1">
        <w:rPr>
          <w:rFonts w:cs="Arial"/>
        </w:rPr>
        <w:t xml:space="preserve"> document).</w:t>
      </w:r>
    </w:p>
    <w:p w14:paraId="1C126CE6" w14:textId="02B2F624" w:rsidR="00B736F9" w:rsidRPr="000C60E1" w:rsidRDefault="00B736F9" w:rsidP="00DE496B">
      <w:pPr>
        <w:pStyle w:val="Heading3"/>
        <w:rPr>
          <w:rFonts w:cs="Arial"/>
        </w:rPr>
      </w:pPr>
      <w:bookmarkStart w:id="190" w:name="_Toc91393558"/>
      <w:bookmarkStart w:id="191" w:name="_Toc112727421"/>
      <w:bookmarkStart w:id="192" w:name="_Toc41905695"/>
      <w:r w:rsidRPr="000C60E1">
        <w:rPr>
          <w:rFonts w:cs="Arial"/>
        </w:rPr>
        <w:t>Pathway Analysis</w:t>
      </w:r>
      <w:bookmarkEnd w:id="190"/>
      <w:bookmarkEnd w:id="191"/>
      <w:bookmarkEnd w:id="192"/>
    </w:p>
    <w:p w14:paraId="09E86409" w14:textId="191D77EF" w:rsidR="00B736F9" w:rsidRPr="002A75F2" w:rsidRDefault="00B736F9" w:rsidP="00840964">
      <w:pPr>
        <w:rPr>
          <w:rFonts w:cs="Arial"/>
        </w:rPr>
      </w:pPr>
      <w:r w:rsidRPr="000C60E1">
        <w:rPr>
          <w:rFonts w:cs="Arial"/>
          <w:highlight w:val="white"/>
        </w:rPr>
        <w:t xml:space="preserve">In the </w:t>
      </w:r>
      <w:r w:rsidR="0041572E" w:rsidRPr="000C60E1">
        <w:rPr>
          <w:rFonts w:cs="Arial"/>
          <w:highlight w:val="white"/>
        </w:rPr>
        <w:t>RA report</w:t>
      </w:r>
      <w:r w:rsidRPr="000C60E1">
        <w:rPr>
          <w:rFonts w:cs="Arial"/>
          <w:highlight w:val="white"/>
        </w:rPr>
        <w:t xml:space="preserve"> the pathway analysis must identify the exposure routes and pathways considered potentially complete or complete without risk management measures</w:t>
      </w:r>
      <w:r w:rsidRPr="000C60E1">
        <w:rPr>
          <w:rFonts w:cs="Arial"/>
        </w:rPr>
        <w:t xml:space="preserve">. Any exposure pathways which can be anticipated based on chemical properties and site geology should be included in the exposure assessment. Elimination of these pathways from assessment will require justification in the form of pathway-specific site assessment evidence. Pathways which </w:t>
      </w:r>
      <w:r w:rsidRPr="002A75F2">
        <w:rPr>
          <w:rFonts w:cs="Arial"/>
        </w:rPr>
        <w:t xml:space="preserve">can be anticipated but which will be mitigated by a barrier or other measure </w:t>
      </w:r>
      <w:r w:rsidR="00AF0D60" w:rsidRPr="002A75F2">
        <w:rPr>
          <w:rFonts w:cs="Arial"/>
        </w:rPr>
        <w:t xml:space="preserve">must </w:t>
      </w:r>
      <w:r w:rsidR="00E51A42" w:rsidRPr="002A75F2">
        <w:rPr>
          <w:rFonts w:cs="Arial"/>
        </w:rPr>
        <w:t xml:space="preserve">still </w:t>
      </w:r>
      <w:r w:rsidRPr="002A75F2">
        <w:rPr>
          <w:rFonts w:cs="Arial"/>
        </w:rPr>
        <w:t xml:space="preserve">be included </w:t>
      </w:r>
      <w:r w:rsidR="007E0EA5" w:rsidRPr="002A75F2">
        <w:rPr>
          <w:rFonts w:cs="Arial"/>
        </w:rPr>
        <w:t xml:space="preserve">in the </w:t>
      </w:r>
      <w:r w:rsidR="004C6C50" w:rsidRPr="002A75F2">
        <w:rPr>
          <w:rFonts w:cs="Arial"/>
        </w:rPr>
        <w:t>risk assessment.</w:t>
      </w:r>
      <w:r w:rsidR="00B67194" w:rsidRPr="002A75F2">
        <w:rPr>
          <w:rFonts w:cs="Arial"/>
        </w:rPr>
        <w:t xml:space="preserve"> The barrier or other measure </w:t>
      </w:r>
      <w:r w:rsidR="00AF0D60" w:rsidRPr="002A75F2">
        <w:rPr>
          <w:rFonts w:cs="Arial"/>
        </w:rPr>
        <w:t>(e.g. site restrictions)</w:t>
      </w:r>
      <w:r w:rsidR="00E51A42" w:rsidRPr="002A75F2">
        <w:rPr>
          <w:rFonts w:cs="Arial"/>
        </w:rPr>
        <w:t xml:space="preserve"> </w:t>
      </w:r>
      <w:r w:rsidR="00AF0D60" w:rsidRPr="002A75F2">
        <w:rPr>
          <w:rFonts w:cs="Arial"/>
        </w:rPr>
        <w:t xml:space="preserve">can then </w:t>
      </w:r>
      <w:r w:rsidR="00B67194" w:rsidRPr="002A75F2">
        <w:rPr>
          <w:rFonts w:cs="Arial"/>
        </w:rPr>
        <w:t xml:space="preserve">be identified </w:t>
      </w:r>
      <w:r w:rsidRPr="002A75F2">
        <w:rPr>
          <w:rFonts w:cs="Arial"/>
        </w:rPr>
        <w:t>as</w:t>
      </w:r>
      <w:r w:rsidR="004C6C50" w:rsidRPr="002A75F2">
        <w:rPr>
          <w:rFonts w:cs="Arial"/>
        </w:rPr>
        <w:t xml:space="preserve"> a</w:t>
      </w:r>
      <w:r w:rsidRPr="002A75F2">
        <w:rPr>
          <w:rFonts w:cs="Arial"/>
        </w:rPr>
        <w:t xml:space="preserve"> risk management measure in the development of </w:t>
      </w:r>
      <w:r w:rsidR="004C6C50" w:rsidRPr="002A75F2">
        <w:rPr>
          <w:rFonts w:cs="Arial"/>
        </w:rPr>
        <w:t>the</w:t>
      </w:r>
      <w:r w:rsidR="007E0EA5" w:rsidRPr="002A75F2">
        <w:rPr>
          <w:rFonts w:cs="Arial"/>
        </w:rPr>
        <w:t xml:space="preserve"> human health standards</w:t>
      </w:r>
      <w:r w:rsidRPr="002A75F2">
        <w:rPr>
          <w:rFonts w:cs="Arial"/>
        </w:rPr>
        <w:t xml:space="preserve">. The </w:t>
      </w:r>
      <w:r w:rsidR="001A5A5F" w:rsidRPr="002A75F2">
        <w:rPr>
          <w:rFonts w:cs="Arial"/>
        </w:rPr>
        <w:t xml:space="preserve">pathway </w:t>
      </w:r>
      <w:r w:rsidRPr="002A75F2">
        <w:rPr>
          <w:rFonts w:cs="Arial"/>
        </w:rPr>
        <w:t xml:space="preserve">analysis should </w:t>
      </w:r>
      <w:r w:rsidR="00177FD6" w:rsidRPr="002A75F2">
        <w:rPr>
          <w:rFonts w:cs="Arial"/>
        </w:rPr>
        <w:t xml:space="preserve">include </w:t>
      </w:r>
      <w:r w:rsidR="001A5A5F" w:rsidRPr="002A75F2">
        <w:rPr>
          <w:rFonts w:cs="Arial"/>
        </w:rPr>
        <w:t xml:space="preserve">the </w:t>
      </w:r>
      <w:r w:rsidRPr="002A75F2">
        <w:rPr>
          <w:rFonts w:cs="Arial"/>
        </w:rPr>
        <w:t>following:</w:t>
      </w:r>
    </w:p>
    <w:p w14:paraId="335274C1" w14:textId="77777777" w:rsidR="00B736F9" w:rsidRPr="002A75F2" w:rsidRDefault="00B736F9" w:rsidP="000E72E5">
      <w:pPr>
        <w:pStyle w:val="ListBullet2"/>
        <w:rPr>
          <w:rFonts w:cs="Arial"/>
        </w:rPr>
      </w:pPr>
      <w:r w:rsidRPr="002A75F2">
        <w:rPr>
          <w:rFonts w:cs="Arial"/>
        </w:rPr>
        <w:t xml:space="preserve">Exposure pathways of concern </w:t>
      </w:r>
      <w:r w:rsidR="001E15FC" w:rsidRPr="002A75F2">
        <w:rPr>
          <w:rFonts w:cs="Arial"/>
        </w:rPr>
        <w:t xml:space="preserve">according to the human health </w:t>
      </w:r>
      <w:r w:rsidR="00A91142" w:rsidRPr="002A75F2">
        <w:rPr>
          <w:rFonts w:cs="Arial"/>
        </w:rPr>
        <w:t>conceptual site model</w:t>
      </w:r>
      <w:r w:rsidR="001A5A5F" w:rsidRPr="002A75F2">
        <w:rPr>
          <w:rFonts w:cs="Arial"/>
        </w:rPr>
        <w:t>, including exposures via all potential media, and considering the current and/or future condition of the RA property without risk mitigation measures (refer to Section 6.1.1 of this Procedures document);</w:t>
      </w:r>
    </w:p>
    <w:p w14:paraId="7D55CE86" w14:textId="77777777" w:rsidR="001E15FC" w:rsidRPr="002A75F2" w:rsidRDefault="00B736F9" w:rsidP="000E72E5">
      <w:pPr>
        <w:pStyle w:val="ListBullet2"/>
        <w:rPr>
          <w:rFonts w:cs="Arial"/>
        </w:rPr>
      </w:pPr>
      <w:r w:rsidRPr="002A75F2">
        <w:rPr>
          <w:rFonts w:cs="Arial"/>
        </w:rPr>
        <w:t>The sources for all potential relea</w:t>
      </w:r>
      <w:r w:rsidR="00D739A6" w:rsidRPr="002A75F2">
        <w:rPr>
          <w:rFonts w:cs="Arial"/>
        </w:rPr>
        <w:t>ses (past, present and future);</w:t>
      </w:r>
      <w:r w:rsidRPr="002A75F2">
        <w:rPr>
          <w:rFonts w:cs="Arial"/>
        </w:rPr>
        <w:t xml:space="preserve"> </w:t>
      </w:r>
    </w:p>
    <w:p w14:paraId="5FE0F6A5" w14:textId="77777777" w:rsidR="001E15FC" w:rsidRPr="002A75F2" w:rsidRDefault="00FC223E" w:rsidP="000E72E5">
      <w:pPr>
        <w:pStyle w:val="ListBullet2"/>
        <w:rPr>
          <w:rFonts w:cs="Arial"/>
        </w:rPr>
      </w:pPr>
      <w:r w:rsidRPr="002A75F2">
        <w:rPr>
          <w:rFonts w:cs="Arial"/>
        </w:rPr>
        <w:t>T</w:t>
      </w:r>
      <w:r w:rsidR="00B736F9" w:rsidRPr="002A75F2">
        <w:rPr>
          <w:rFonts w:cs="Arial"/>
        </w:rPr>
        <w:t>he potential receiving media (</w:t>
      </w:r>
      <w:r w:rsidR="00AF0D60" w:rsidRPr="002A75F2">
        <w:rPr>
          <w:rFonts w:cs="Arial"/>
        </w:rPr>
        <w:t xml:space="preserve">e.g. indoor </w:t>
      </w:r>
      <w:r w:rsidR="00B736F9" w:rsidRPr="002A75F2">
        <w:rPr>
          <w:rFonts w:cs="Arial"/>
        </w:rPr>
        <w:t>air, surface water, ground</w:t>
      </w:r>
      <w:r w:rsidR="00D739A6" w:rsidRPr="002A75F2">
        <w:rPr>
          <w:rFonts w:cs="Arial"/>
        </w:rPr>
        <w:t>water, soil, sediment, biota</w:t>
      </w:r>
      <w:r w:rsidR="00C51664" w:rsidRPr="002A75F2">
        <w:rPr>
          <w:rFonts w:cs="Arial"/>
        </w:rPr>
        <w:t>, etc.</w:t>
      </w:r>
      <w:r w:rsidR="00D739A6" w:rsidRPr="002A75F2">
        <w:rPr>
          <w:rFonts w:cs="Arial"/>
        </w:rPr>
        <w:t>);</w:t>
      </w:r>
    </w:p>
    <w:p w14:paraId="5462FD78" w14:textId="77777777" w:rsidR="00B736F9" w:rsidRPr="002A75F2" w:rsidRDefault="007E0EA5" w:rsidP="000E72E5">
      <w:pPr>
        <w:pStyle w:val="ListBullet2"/>
        <w:rPr>
          <w:rFonts w:cs="Arial"/>
        </w:rPr>
      </w:pPr>
      <w:r w:rsidRPr="000C60E1">
        <w:rPr>
          <w:rFonts w:cs="Arial"/>
        </w:rPr>
        <w:lastRenderedPageBreak/>
        <w:t>The</w:t>
      </w:r>
      <w:r w:rsidR="00B736F9" w:rsidRPr="000C60E1">
        <w:rPr>
          <w:rFonts w:cs="Arial"/>
        </w:rPr>
        <w:t xml:space="preserve"> physical and chemical fate and transport properties of </w:t>
      </w:r>
      <w:r w:rsidRPr="000C60E1">
        <w:rPr>
          <w:rFonts w:cs="Arial"/>
        </w:rPr>
        <w:t>all</w:t>
      </w:r>
      <w:r w:rsidR="00B736F9" w:rsidRPr="000C60E1">
        <w:rPr>
          <w:rFonts w:cs="Arial"/>
        </w:rPr>
        <w:t xml:space="preserve"> COC</w:t>
      </w:r>
      <w:r w:rsidRPr="000C60E1">
        <w:rPr>
          <w:rFonts w:cs="Arial"/>
        </w:rPr>
        <w:t>s</w:t>
      </w:r>
      <w:r w:rsidR="00B736F9" w:rsidRPr="000C60E1">
        <w:rPr>
          <w:rFonts w:cs="Arial"/>
        </w:rPr>
        <w:t xml:space="preserve"> to identify the </w:t>
      </w:r>
      <w:r w:rsidR="00B736F9" w:rsidRPr="002A75F2">
        <w:rPr>
          <w:rFonts w:cs="Arial"/>
        </w:rPr>
        <w:t>media that are receiving or may receive the property-related contaminant;</w:t>
      </w:r>
    </w:p>
    <w:p w14:paraId="74A2C326" w14:textId="77777777" w:rsidR="00B736F9" w:rsidRPr="002A75F2" w:rsidRDefault="00B736F9" w:rsidP="000E72E5">
      <w:pPr>
        <w:pStyle w:val="ListBullet2"/>
        <w:rPr>
          <w:rFonts w:cs="Arial"/>
        </w:rPr>
      </w:pPr>
      <w:r w:rsidRPr="002A75F2">
        <w:rPr>
          <w:rFonts w:cs="Arial"/>
        </w:rPr>
        <w:t xml:space="preserve">The exposure points (i.e. where the potentially exposed population can contact the </w:t>
      </w:r>
      <w:smartTag w:uri="urn:schemas-microsoft-com:office:smarttags" w:element="stockticker">
        <w:r w:rsidRPr="002A75F2">
          <w:rPr>
            <w:rFonts w:cs="Arial"/>
          </w:rPr>
          <w:t>COC</w:t>
        </w:r>
      </w:smartTag>
      <w:r w:rsidRPr="002A75F2">
        <w:rPr>
          <w:rFonts w:cs="Arial"/>
        </w:rPr>
        <w:t>);</w:t>
      </w:r>
      <w:r w:rsidR="00D739A6" w:rsidRPr="002A75F2">
        <w:rPr>
          <w:rFonts w:cs="Arial"/>
        </w:rPr>
        <w:t xml:space="preserve"> and</w:t>
      </w:r>
      <w:r w:rsidR="007E0EA5" w:rsidRPr="002A75F2">
        <w:rPr>
          <w:rFonts w:cs="Arial"/>
        </w:rPr>
        <w:t>,</w:t>
      </w:r>
    </w:p>
    <w:p w14:paraId="232591DA" w14:textId="77777777" w:rsidR="00B736F9" w:rsidRPr="002A75F2" w:rsidRDefault="00B736F9" w:rsidP="000E72E5">
      <w:pPr>
        <w:pStyle w:val="ListBullet2"/>
        <w:rPr>
          <w:rFonts w:cs="Arial"/>
        </w:rPr>
      </w:pPr>
      <w:r w:rsidRPr="002A75F2">
        <w:rPr>
          <w:rFonts w:cs="Arial"/>
        </w:rPr>
        <w:t>The exposure routes</w:t>
      </w:r>
      <w:r w:rsidR="00483858" w:rsidRPr="002A75F2">
        <w:rPr>
          <w:rFonts w:cs="Arial"/>
        </w:rPr>
        <w:t xml:space="preserve"> (e.g.</w:t>
      </w:r>
      <w:r w:rsidR="002863E7" w:rsidRPr="002A75F2">
        <w:rPr>
          <w:rFonts w:cs="Arial"/>
        </w:rPr>
        <w:t xml:space="preserve"> incidental ingestion</w:t>
      </w:r>
      <w:r w:rsidR="00477F62" w:rsidRPr="002A75F2">
        <w:rPr>
          <w:rFonts w:cs="Arial"/>
        </w:rPr>
        <w:t xml:space="preserve"> of soil</w:t>
      </w:r>
      <w:r w:rsidR="002863E7" w:rsidRPr="002A75F2">
        <w:rPr>
          <w:rFonts w:cs="Arial"/>
        </w:rPr>
        <w:t xml:space="preserve">, </w:t>
      </w:r>
      <w:r w:rsidRPr="002A75F2">
        <w:rPr>
          <w:rFonts w:cs="Arial"/>
        </w:rPr>
        <w:t xml:space="preserve">ingestion of </w:t>
      </w:r>
      <w:r w:rsidR="00477F62" w:rsidRPr="002A75F2">
        <w:rPr>
          <w:rFonts w:cs="Arial"/>
        </w:rPr>
        <w:t>ground</w:t>
      </w:r>
      <w:r w:rsidRPr="002A75F2">
        <w:rPr>
          <w:rFonts w:cs="Arial"/>
        </w:rPr>
        <w:t>water</w:t>
      </w:r>
      <w:r w:rsidR="00477F62" w:rsidRPr="002A75F2">
        <w:rPr>
          <w:rFonts w:cs="Arial"/>
        </w:rPr>
        <w:t xml:space="preserve">, ingestion of </w:t>
      </w:r>
      <w:r w:rsidRPr="002A75F2">
        <w:rPr>
          <w:rFonts w:cs="Arial"/>
        </w:rPr>
        <w:t xml:space="preserve">garden produce, inhalation of </w:t>
      </w:r>
      <w:proofErr w:type="spellStart"/>
      <w:r w:rsidRPr="002A75F2">
        <w:rPr>
          <w:rFonts w:cs="Arial"/>
        </w:rPr>
        <w:t>vapour</w:t>
      </w:r>
      <w:r w:rsidR="00477F62" w:rsidRPr="002A75F2">
        <w:rPr>
          <w:rFonts w:cs="Arial"/>
        </w:rPr>
        <w:t>s</w:t>
      </w:r>
      <w:proofErr w:type="spellEnd"/>
      <w:r w:rsidRPr="002A75F2">
        <w:rPr>
          <w:rFonts w:cs="Arial"/>
        </w:rPr>
        <w:t xml:space="preserve">, </w:t>
      </w:r>
      <w:r w:rsidR="00477F62" w:rsidRPr="002A75F2">
        <w:rPr>
          <w:rFonts w:cs="Arial"/>
        </w:rPr>
        <w:t xml:space="preserve">etc.) </w:t>
      </w:r>
      <w:r w:rsidRPr="002A75F2">
        <w:rPr>
          <w:rFonts w:cs="Arial"/>
        </w:rPr>
        <w:t xml:space="preserve">that may be associated with the </w:t>
      </w:r>
      <w:r w:rsidR="007E0EA5" w:rsidRPr="002A75F2">
        <w:rPr>
          <w:rFonts w:cs="Arial"/>
        </w:rPr>
        <w:t>COCs</w:t>
      </w:r>
      <w:r w:rsidRPr="002A75F2">
        <w:rPr>
          <w:rFonts w:cs="Arial"/>
        </w:rPr>
        <w:t>.</w:t>
      </w:r>
    </w:p>
    <w:p w14:paraId="73591436" w14:textId="77777777" w:rsidR="001E15FC" w:rsidRPr="000C60E1" w:rsidRDefault="00FC223E" w:rsidP="001E15FC">
      <w:pPr>
        <w:rPr>
          <w:rFonts w:cs="Arial"/>
        </w:rPr>
      </w:pPr>
      <w:r w:rsidRPr="000C60E1">
        <w:rPr>
          <w:rFonts w:cs="Arial"/>
        </w:rPr>
        <w:t>The following points should be considered when evaluating exposure pathways</w:t>
      </w:r>
      <w:r w:rsidR="00800C89" w:rsidRPr="000C60E1">
        <w:rPr>
          <w:rFonts w:cs="Arial"/>
        </w:rPr>
        <w:t>:</w:t>
      </w:r>
    </w:p>
    <w:p w14:paraId="3B69486A" w14:textId="1A8EDD6C" w:rsidR="00B736F9" w:rsidRPr="000C60E1" w:rsidRDefault="00B736F9" w:rsidP="000E72E5">
      <w:pPr>
        <w:pStyle w:val="ListBullet2"/>
        <w:rPr>
          <w:rFonts w:cs="Arial"/>
        </w:rPr>
      </w:pPr>
      <w:r w:rsidRPr="000C60E1">
        <w:rPr>
          <w:rFonts w:cs="Arial"/>
        </w:rPr>
        <w:t>Discuss the environmental fate of the contaminants including possible degradation. When sufficient laboratory and field evidence indicates that a contaminant could be degraded/biodegraded (transformed/</w:t>
      </w:r>
      <w:proofErr w:type="spellStart"/>
      <w:r w:rsidRPr="000C60E1">
        <w:rPr>
          <w:rFonts w:cs="Arial"/>
        </w:rPr>
        <w:t>biotransformed</w:t>
      </w:r>
      <w:proofErr w:type="spellEnd"/>
      <w:r w:rsidRPr="000C60E1">
        <w:rPr>
          <w:rFonts w:cs="Arial"/>
        </w:rPr>
        <w:t>) to a relatively more toxic and persistent intermediate/product, the future concentration of the potential degradation product/intermediate should be estimated from the present concentration of its precursors, if possible (</w:t>
      </w:r>
      <w:r w:rsidR="00E53B82" w:rsidRPr="000C60E1">
        <w:rPr>
          <w:rFonts w:cs="Arial"/>
        </w:rPr>
        <w:t xml:space="preserve">e.g. </w:t>
      </w:r>
      <w:r w:rsidRPr="000C60E1">
        <w:rPr>
          <w:rFonts w:cs="Arial"/>
        </w:rPr>
        <w:t xml:space="preserve">the anaerobic biodegradation of chlorinated </w:t>
      </w:r>
      <w:proofErr w:type="spellStart"/>
      <w:r w:rsidRPr="000C60E1">
        <w:rPr>
          <w:rFonts w:cs="Arial"/>
        </w:rPr>
        <w:t>aliphatics</w:t>
      </w:r>
      <w:proofErr w:type="spellEnd"/>
      <w:r w:rsidRPr="000C60E1">
        <w:rPr>
          <w:rFonts w:cs="Arial"/>
        </w:rPr>
        <w:t xml:space="preserve"> in groundwater)</w:t>
      </w:r>
      <w:r w:rsidR="00D01E4B" w:rsidRPr="000C60E1">
        <w:rPr>
          <w:rFonts w:cs="Arial"/>
        </w:rPr>
        <w:t>.</w:t>
      </w:r>
    </w:p>
    <w:p w14:paraId="510BDA75" w14:textId="77777777" w:rsidR="00B736F9" w:rsidRPr="000C60E1" w:rsidRDefault="00B736F9" w:rsidP="000E72E5">
      <w:pPr>
        <w:pStyle w:val="ListBullet2"/>
        <w:rPr>
          <w:rFonts w:cs="Arial"/>
        </w:rPr>
      </w:pPr>
      <w:r w:rsidRPr="000C60E1">
        <w:rPr>
          <w:rFonts w:cs="Arial"/>
        </w:rPr>
        <w:t xml:space="preserve">Identify direct and indirect routes </w:t>
      </w:r>
      <w:r w:rsidR="00474CFD" w:rsidRPr="000C60E1">
        <w:rPr>
          <w:rFonts w:cs="Arial"/>
        </w:rPr>
        <w:t>(via intermediate receptors such as garden produce)</w:t>
      </w:r>
      <w:r w:rsidR="002A0821" w:rsidRPr="000C60E1">
        <w:rPr>
          <w:rFonts w:cs="Arial"/>
        </w:rPr>
        <w:t xml:space="preserve"> </w:t>
      </w:r>
      <w:r w:rsidRPr="000C60E1">
        <w:rPr>
          <w:rFonts w:cs="Arial"/>
        </w:rPr>
        <w:t>and pathways of exposure for each receptor.</w:t>
      </w:r>
    </w:p>
    <w:p w14:paraId="4EC88D13" w14:textId="77777777" w:rsidR="00B736F9" w:rsidRPr="000C60E1" w:rsidRDefault="00B736F9" w:rsidP="000E72E5">
      <w:pPr>
        <w:pStyle w:val="ListBullet2"/>
        <w:rPr>
          <w:rFonts w:cs="Arial"/>
        </w:rPr>
      </w:pPr>
      <w:r w:rsidRPr="000C60E1">
        <w:rPr>
          <w:rFonts w:cs="Arial"/>
        </w:rPr>
        <w:t>Taking into account the proposed property use, plans for construction and the fate and transport of the contaminant in the environment, identify and document relevant exposure scenarios and exposure route/pathways to on-site and off-site human receptors.</w:t>
      </w:r>
    </w:p>
    <w:p w14:paraId="7ED8F22F" w14:textId="322114EB" w:rsidR="00B736F9" w:rsidRPr="000C60E1" w:rsidRDefault="00B736F9" w:rsidP="000E72E5">
      <w:pPr>
        <w:pStyle w:val="ListBullet2"/>
        <w:rPr>
          <w:rFonts w:cs="Arial"/>
        </w:rPr>
      </w:pPr>
      <w:r w:rsidRPr="000C60E1">
        <w:rPr>
          <w:rFonts w:cs="Arial"/>
        </w:rPr>
        <w:t xml:space="preserve">Justify the </w:t>
      </w:r>
      <w:r w:rsidRPr="002A75F2">
        <w:rPr>
          <w:rFonts w:cs="Arial"/>
        </w:rPr>
        <w:t xml:space="preserve">exclusion </w:t>
      </w:r>
      <w:r w:rsidR="008F2F46" w:rsidRPr="002A75F2">
        <w:rPr>
          <w:rFonts w:cs="Arial"/>
        </w:rPr>
        <w:t xml:space="preserve">(if any) </w:t>
      </w:r>
      <w:r w:rsidRPr="002A75F2">
        <w:rPr>
          <w:rFonts w:cs="Arial"/>
        </w:rPr>
        <w:t>of receptors and exposure route</w:t>
      </w:r>
      <w:r w:rsidR="009A01AD" w:rsidRPr="002A75F2">
        <w:rPr>
          <w:rFonts w:cs="Arial"/>
        </w:rPr>
        <w:t>s</w:t>
      </w:r>
      <w:r w:rsidRPr="002A75F2">
        <w:rPr>
          <w:rFonts w:cs="Arial"/>
        </w:rPr>
        <w:t>/pathways</w:t>
      </w:r>
      <w:r w:rsidR="009A01AD" w:rsidRPr="002A75F2">
        <w:rPr>
          <w:rFonts w:cs="Arial"/>
        </w:rPr>
        <w:t xml:space="preserve"> identified in the human health </w:t>
      </w:r>
      <w:r w:rsidR="00B53C3B" w:rsidRPr="002A75F2">
        <w:rPr>
          <w:rFonts w:cs="Arial"/>
        </w:rPr>
        <w:t>conceptual site model</w:t>
      </w:r>
      <w:r w:rsidR="007875A2" w:rsidRPr="002A75F2">
        <w:rPr>
          <w:rFonts w:cs="Arial"/>
        </w:rPr>
        <w:t>.</w:t>
      </w:r>
    </w:p>
    <w:p w14:paraId="63CFDE92" w14:textId="0656EE12" w:rsidR="00AE51E9" w:rsidRPr="000C60E1" w:rsidRDefault="009A01AD" w:rsidP="000E72E5">
      <w:pPr>
        <w:pStyle w:val="ListBullet2"/>
        <w:numPr>
          <w:ilvl w:val="0"/>
          <w:numId w:val="0"/>
        </w:numPr>
        <w:rPr>
          <w:rFonts w:cs="Arial"/>
        </w:rPr>
      </w:pPr>
      <w:r w:rsidRPr="000C60E1">
        <w:rPr>
          <w:rFonts w:cs="Arial"/>
        </w:rPr>
        <w:t xml:space="preserve">Numerous exposure pathways that were not considered in the setting of generic </w:t>
      </w:r>
      <w:r w:rsidR="005B614D" w:rsidRPr="000C60E1">
        <w:rPr>
          <w:rFonts w:cs="Arial"/>
        </w:rPr>
        <w:t>site condition standards</w:t>
      </w:r>
      <w:r w:rsidRPr="000C60E1">
        <w:rPr>
          <w:rFonts w:cs="Arial"/>
        </w:rPr>
        <w:t xml:space="preserve"> should be considered on a site-specific basis, based on the nature of the COC present on the RA property, the physical characteristics of the RA property, and </w:t>
      </w:r>
      <w:r w:rsidR="00D714B3" w:rsidRPr="000C60E1">
        <w:rPr>
          <w:rFonts w:cs="Arial"/>
        </w:rPr>
        <w:t xml:space="preserve">proposed future </w:t>
      </w:r>
      <w:r w:rsidRPr="000C60E1">
        <w:rPr>
          <w:rFonts w:cs="Arial"/>
        </w:rPr>
        <w:t>site uses. Some of these exposure pathways are listed below</w:t>
      </w:r>
      <w:r w:rsidR="00D714B3" w:rsidRPr="000C60E1">
        <w:rPr>
          <w:rFonts w:cs="Arial"/>
        </w:rPr>
        <w:t>, as examples</w:t>
      </w:r>
      <w:r w:rsidRPr="000C60E1">
        <w:rPr>
          <w:rFonts w:cs="Arial"/>
        </w:rPr>
        <w:t>:</w:t>
      </w:r>
    </w:p>
    <w:p w14:paraId="389A7DA7" w14:textId="77777777" w:rsidR="00AE51E9" w:rsidRPr="000C60E1" w:rsidRDefault="00D714B3" w:rsidP="000E72E5">
      <w:pPr>
        <w:pStyle w:val="ListBullet2"/>
        <w:rPr>
          <w:rFonts w:cs="Arial"/>
        </w:rPr>
      </w:pPr>
      <w:r w:rsidRPr="000C60E1">
        <w:rPr>
          <w:rFonts w:cs="Arial"/>
        </w:rPr>
        <w:t>Dermal contact with groundwater.</w:t>
      </w:r>
    </w:p>
    <w:p w14:paraId="19D337C0" w14:textId="77777777" w:rsidR="00AE51E9" w:rsidRPr="000C60E1" w:rsidRDefault="00D714B3" w:rsidP="000E72E5">
      <w:pPr>
        <w:pStyle w:val="ListBullet2"/>
        <w:rPr>
          <w:rFonts w:cs="Arial"/>
        </w:rPr>
      </w:pPr>
      <w:r w:rsidRPr="000C60E1">
        <w:rPr>
          <w:rFonts w:cs="Arial"/>
        </w:rPr>
        <w:t>Incidental ingestion of surface water while swimming and/or wading.</w:t>
      </w:r>
    </w:p>
    <w:p w14:paraId="570E908C" w14:textId="77777777" w:rsidR="00AE51E9" w:rsidRPr="000C60E1" w:rsidRDefault="009A01AD" w:rsidP="000E72E5">
      <w:pPr>
        <w:pStyle w:val="ListBullet2"/>
        <w:rPr>
          <w:rFonts w:cs="Arial"/>
        </w:rPr>
      </w:pPr>
      <w:r w:rsidRPr="000C60E1">
        <w:rPr>
          <w:rFonts w:cs="Arial"/>
        </w:rPr>
        <w:t>Consumption of fish and/or wild game</w:t>
      </w:r>
      <w:r w:rsidR="00D714B3" w:rsidRPr="000C60E1">
        <w:rPr>
          <w:rFonts w:cs="Arial"/>
        </w:rPr>
        <w:t>.</w:t>
      </w:r>
    </w:p>
    <w:p w14:paraId="64CC35DB" w14:textId="77777777" w:rsidR="00AE51E9" w:rsidRPr="000C60E1" w:rsidRDefault="009A01AD" w:rsidP="000E72E5">
      <w:pPr>
        <w:pStyle w:val="ListBullet2"/>
        <w:rPr>
          <w:rFonts w:cs="Arial"/>
        </w:rPr>
      </w:pPr>
      <w:r w:rsidRPr="000C60E1">
        <w:rPr>
          <w:rFonts w:cs="Arial"/>
        </w:rPr>
        <w:t>Consumption of locally grown fruits/vegetables</w:t>
      </w:r>
      <w:r w:rsidR="00D714B3" w:rsidRPr="000C60E1">
        <w:rPr>
          <w:rFonts w:cs="Arial"/>
        </w:rPr>
        <w:t>.</w:t>
      </w:r>
    </w:p>
    <w:p w14:paraId="093AFB16" w14:textId="77777777" w:rsidR="00AE51E9" w:rsidRPr="000C60E1" w:rsidRDefault="009A01AD" w:rsidP="000E72E5">
      <w:pPr>
        <w:pStyle w:val="ListBullet2"/>
        <w:rPr>
          <w:rFonts w:cs="Arial"/>
        </w:rPr>
      </w:pPr>
      <w:r w:rsidRPr="000C60E1">
        <w:rPr>
          <w:rFonts w:cs="Arial"/>
        </w:rPr>
        <w:t>Consumption of breast milk</w:t>
      </w:r>
      <w:r w:rsidR="00D714B3" w:rsidRPr="000C60E1">
        <w:rPr>
          <w:rFonts w:cs="Arial"/>
        </w:rPr>
        <w:t>.</w:t>
      </w:r>
    </w:p>
    <w:p w14:paraId="36BF3D61" w14:textId="77777777" w:rsidR="009A01AD" w:rsidRPr="000C60E1" w:rsidRDefault="00637054" w:rsidP="000E72E5">
      <w:pPr>
        <w:pStyle w:val="ListBullet2"/>
        <w:rPr>
          <w:rFonts w:cs="Arial"/>
        </w:rPr>
      </w:pPr>
      <w:r w:rsidRPr="000C60E1">
        <w:rPr>
          <w:rFonts w:cs="Arial"/>
        </w:rPr>
        <w:t>I</w:t>
      </w:r>
      <w:r w:rsidR="009A01AD" w:rsidRPr="000C60E1">
        <w:rPr>
          <w:rFonts w:cs="Arial"/>
        </w:rPr>
        <w:t xml:space="preserve">nhalation </w:t>
      </w:r>
      <w:r w:rsidRPr="000C60E1">
        <w:rPr>
          <w:rFonts w:cs="Arial"/>
        </w:rPr>
        <w:t xml:space="preserve">(e.g. of soil particulate) </w:t>
      </w:r>
      <w:r w:rsidR="009A01AD" w:rsidRPr="000C60E1">
        <w:rPr>
          <w:rFonts w:cs="Arial"/>
        </w:rPr>
        <w:t>for receptors with high physical activity levels</w:t>
      </w:r>
      <w:r w:rsidR="00D714B3" w:rsidRPr="000C60E1">
        <w:rPr>
          <w:rFonts w:cs="Arial"/>
        </w:rPr>
        <w:t xml:space="preserve"> (e.g. </w:t>
      </w:r>
      <w:r w:rsidR="001F7F60" w:rsidRPr="000C60E1">
        <w:rPr>
          <w:rFonts w:cs="Arial"/>
        </w:rPr>
        <w:t>athletes</w:t>
      </w:r>
      <w:r w:rsidR="009A01AD" w:rsidRPr="000C60E1">
        <w:rPr>
          <w:rFonts w:cs="Arial"/>
        </w:rPr>
        <w:t>)</w:t>
      </w:r>
      <w:r w:rsidR="00D714B3" w:rsidRPr="000C60E1">
        <w:rPr>
          <w:rFonts w:cs="Arial"/>
        </w:rPr>
        <w:t>.</w:t>
      </w:r>
    </w:p>
    <w:p w14:paraId="61A28987" w14:textId="77777777" w:rsidR="009A01AD" w:rsidRPr="000C60E1" w:rsidRDefault="009A01AD" w:rsidP="000E72E5">
      <w:pPr>
        <w:pStyle w:val="ListBullet2"/>
        <w:numPr>
          <w:ilvl w:val="0"/>
          <w:numId w:val="0"/>
        </w:numPr>
        <w:rPr>
          <w:rFonts w:cs="Arial"/>
        </w:rPr>
      </w:pPr>
      <w:r w:rsidRPr="000C60E1">
        <w:rPr>
          <w:rFonts w:cs="Arial"/>
        </w:rPr>
        <w:t>Various credible agencies can be consulted for suitable exposure parameters and general exposure equations for determining pathway-specific exposure estimates (Health Canada Contaminated Sites Program guidance documents, U</w:t>
      </w:r>
      <w:r w:rsidR="007D2E71" w:rsidRPr="000C60E1">
        <w:rPr>
          <w:rFonts w:cs="Arial"/>
        </w:rPr>
        <w:t>S</w:t>
      </w:r>
      <w:r w:rsidRPr="000C60E1">
        <w:rPr>
          <w:rFonts w:cs="Arial"/>
        </w:rPr>
        <w:t xml:space="preserve"> EPA </w:t>
      </w:r>
      <w:r w:rsidR="007D2E71" w:rsidRPr="000C60E1">
        <w:rPr>
          <w:rFonts w:cs="Arial"/>
        </w:rPr>
        <w:t>Risk Assessment Guidance for Superfund (</w:t>
      </w:r>
      <w:r w:rsidRPr="000C60E1">
        <w:rPr>
          <w:rFonts w:cs="Arial"/>
        </w:rPr>
        <w:t>RAGS</w:t>
      </w:r>
      <w:r w:rsidR="007D2E71" w:rsidRPr="000C60E1">
        <w:rPr>
          <w:rFonts w:cs="Arial"/>
        </w:rPr>
        <w:t>)</w:t>
      </w:r>
      <w:r w:rsidRPr="000C60E1">
        <w:rPr>
          <w:rFonts w:cs="Arial"/>
        </w:rPr>
        <w:t>, US EPA Exposure Factors Handbook, etc.)</w:t>
      </w:r>
      <w:r w:rsidR="00323648" w:rsidRPr="000C60E1">
        <w:rPr>
          <w:rFonts w:cs="Arial"/>
        </w:rPr>
        <w:t>.</w:t>
      </w:r>
    </w:p>
    <w:p w14:paraId="3382F156" w14:textId="57EED28E" w:rsidR="00B736F9" w:rsidRPr="000C60E1" w:rsidRDefault="00B736F9" w:rsidP="00DE496B">
      <w:pPr>
        <w:pStyle w:val="Heading3"/>
        <w:rPr>
          <w:rFonts w:cs="Arial"/>
        </w:rPr>
      </w:pPr>
      <w:bookmarkStart w:id="193" w:name="_Toc91393559"/>
      <w:bookmarkStart w:id="194" w:name="_Toc112727422"/>
      <w:bookmarkStart w:id="195" w:name="_Toc41905696"/>
      <w:r w:rsidRPr="000C60E1">
        <w:rPr>
          <w:rFonts w:cs="Arial"/>
        </w:rPr>
        <w:lastRenderedPageBreak/>
        <w:t>Exposure Estimates</w:t>
      </w:r>
      <w:bookmarkEnd w:id="193"/>
      <w:bookmarkEnd w:id="194"/>
      <w:bookmarkEnd w:id="195"/>
    </w:p>
    <w:p w14:paraId="41713C4B" w14:textId="56B811B1" w:rsidR="00B736F9" w:rsidRPr="000C60E1" w:rsidRDefault="00B736F9" w:rsidP="00840964">
      <w:pPr>
        <w:rPr>
          <w:rFonts w:cs="Arial"/>
        </w:rPr>
      </w:pPr>
      <w:r w:rsidRPr="000C60E1">
        <w:rPr>
          <w:rFonts w:cs="Arial"/>
        </w:rPr>
        <w:t xml:space="preserve">In most cases, quantification of exposure estimates will be required to meet the risk assessment objectives. Quantification of </w:t>
      </w:r>
      <w:r w:rsidR="00E71F4E" w:rsidRPr="000C60E1">
        <w:rPr>
          <w:rFonts w:cs="Arial"/>
        </w:rPr>
        <w:t xml:space="preserve">a receptor’s exposure to a specific COC </w:t>
      </w:r>
      <w:r w:rsidRPr="000C60E1">
        <w:rPr>
          <w:rFonts w:cs="Arial"/>
        </w:rPr>
        <w:t>refers to the calculation of intake or uptake rates or delivered target dose for each exposure pathway and</w:t>
      </w:r>
      <w:r w:rsidR="00E71F4E" w:rsidRPr="000C60E1">
        <w:rPr>
          <w:rFonts w:cs="Arial"/>
        </w:rPr>
        <w:t>/or</w:t>
      </w:r>
      <w:r w:rsidRPr="000C60E1">
        <w:rPr>
          <w:rFonts w:cs="Arial"/>
        </w:rPr>
        <w:t xml:space="preserve"> the exposure </w:t>
      </w:r>
      <w:r w:rsidR="00E71F4E" w:rsidRPr="000C60E1">
        <w:rPr>
          <w:rFonts w:cs="Arial"/>
        </w:rPr>
        <w:t>from several exposure pathways</w:t>
      </w:r>
      <w:r w:rsidR="00467AB4" w:rsidRPr="000C60E1">
        <w:rPr>
          <w:rFonts w:cs="Arial"/>
        </w:rPr>
        <w:t>,</w:t>
      </w:r>
      <w:r w:rsidR="00214E23" w:rsidRPr="000C60E1">
        <w:rPr>
          <w:rFonts w:cs="Arial"/>
        </w:rPr>
        <w:t xml:space="preserve"> </w:t>
      </w:r>
      <w:r w:rsidRPr="000C60E1">
        <w:rPr>
          <w:rFonts w:cs="Arial"/>
        </w:rPr>
        <w:t>if relevant.</w:t>
      </w:r>
      <w:r w:rsidR="00C76455" w:rsidRPr="000C60E1">
        <w:rPr>
          <w:rFonts w:cs="Arial"/>
        </w:rPr>
        <w:t xml:space="preserve"> </w:t>
      </w:r>
      <w:r w:rsidRPr="000C60E1">
        <w:rPr>
          <w:rFonts w:cs="Arial"/>
        </w:rPr>
        <w:t>Quantification of the contaminant intake and uptake should be done for each potentially complete exposure pathway. Quantification should include the following information:</w:t>
      </w:r>
    </w:p>
    <w:p w14:paraId="3022F119" w14:textId="77777777" w:rsidR="00B736F9" w:rsidRPr="000C60E1" w:rsidRDefault="00B736F9" w:rsidP="000E72E5">
      <w:pPr>
        <w:pStyle w:val="ListBullet2"/>
        <w:rPr>
          <w:rFonts w:cs="Arial"/>
        </w:rPr>
      </w:pPr>
      <w:r w:rsidRPr="000C60E1">
        <w:rPr>
          <w:rFonts w:cs="Arial"/>
        </w:rPr>
        <w:t xml:space="preserve">Exposure concentration (concentration that is </w:t>
      </w:r>
      <w:r w:rsidR="00DF7615" w:rsidRPr="000C60E1">
        <w:rPr>
          <w:rFonts w:cs="Arial"/>
        </w:rPr>
        <w:t xml:space="preserve">or may be present at the site </w:t>
      </w:r>
      <w:r w:rsidRPr="000C60E1">
        <w:rPr>
          <w:rFonts w:cs="Arial"/>
        </w:rPr>
        <w:t>over the exposure period),</w:t>
      </w:r>
    </w:p>
    <w:p w14:paraId="47881C7B" w14:textId="77777777" w:rsidR="00B736F9" w:rsidRPr="000C60E1" w:rsidRDefault="00B736F9" w:rsidP="000E72E5">
      <w:pPr>
        <w:pStyle w:val="ListBullet2"/>
        <w:rPr>
          <w:rFonts w:cs="Arial"/>
        </w:rPr>
      </w:pPr>
      <w:r w:rsidRPr="000C60E1">
        <w:rPr>
          <w:rFonts w:cs="Arial"/>
        </w:rPr>
        <w:t>Contact rate (amount of contaminated medium contacted per unit time or event) and absorption rate, and</w:t>
      </w:r>
    </w:p>
    <w:p w14:paraId="4BB970B3" w14:textId="77777777" w:rsidR="00B736F9" w:rsidRPr="000C60E1" w:rsidRDefault="00B736F9" w:rsidP="000E72E5">
      <w:pPr>
        <w:pStyle w:val="ListBullet2"/>
        <w:rPr>
          <w:rFonts w:cs="Arial"/>
        </w:rPr>
      </w:pPr>
      <w:r w:rsidRPr="000C60E1">
        <w:rPr>
          <w:rFonts w:cs="Arial"/>
        </w:rPr>
        <w:t>Total time of exposure (estimated from exposure frequency and duration).</w:t>
      </w:r>
    </w:p>
    <w:p w14:paraId="242570F3" w14:textId="77777777" w:rsidR="00B736F9" w:rsidRPr="000C60E1" w:rsidRDefault="00B736F9" w:rsidP="00840964">
      <w:pPr>
        <w:rPr>
          <w:rFonts w:cs="Arial"/>
        </w:rPr>
      </w:pPr>
      <w:r w:rsidRPr="000C60E1">
        <w:rPr>
          <w:rFonts w:cs="Arial"/>
        </w:rPr>
        <w:t xml:space="preserve">Reasonable maximum </w:t>
      </w:r>
      <w:r w:rsidR="00916657" w:rsidRPr="000C60E1">
        <w:rPr>
          <w:rFonts w:cs="Arial"/>
        </w:rPr>
        <w:t>and/or</w:t>
      </w:r>
      <w:r w:rsidRPr="000C60E1">
        <w:rPr>
          <w:rFonts w:cs="Arial"/>
        </w:rPr>
        <w:t xml:space="preserve"> average estimates of exposure for relevant </w:t>
      </w:r>
      <w:r w:rsidR="00916657" w:rsidRPr="000C60E1">
        <w:rPr>
          <w:rFonts w:cs="Arial"/>
        </w:rPr>
        <w:t>site-specific receptors</w:t>
      </w:r>
      <w:r w:rsidRPr="000C60E1">
        <w:rPr>
          <w:rFonts w:cs="Arial"/>
        </w:rPr>
        <w:t xml:space="preserve"> should be developed based on both current and future property use assumptions, and measured concentrations </w:t>
      </w:r>
      <w:r w:rsidR="00DF7615" w:rsidRPr="000C60E1">
        <w:rPr>
          <w:rFonts w:cs="Arial"/>
        </w:rPr>
        <w:t xml:space="preserve">at </w:t>
      </w:r>
      <w:r w:rsidRPr="000C60E1">
        <w:rPr>
          <w:rFonts w:cs="Arial"/>
        </w:rPr>
        <w:t>the property.</w:t>
      </w:r>
    </w:p>
    <w:p w14:paraId="4B6ADFA9" w14:textId="365BBF1A" w:rsidR="00B736F9" w:rsidRPr="000C60E1" w:rsidRDefault="00474CFD" w:rsidP="00840964">
      <w:pPr>
        <w:rPr>
          <w:rFonts w:cs="Arial"/>
        </w:rPr>
      </w:pPr>
      <w:r w:rsidRPr="000C60E1">
        <w:rPr>
          <w:rFonts w:cs="Arial"/>
        </w:rPr>
        <w:t xml:space="preserve">Fate and transport models are frequently used to predict the likely current extent of contamination as well as to assess the </w:t>
      </w:r>
      <w:proofErr w:type="spellStart"/>
      <w:r w:rsidRPr="000C60E1">
        <w:rPr>
          <w:rFonts w:cs="Arial"/>
        </w:rPr>
        <w:t>behaviour</w:t>
      </w:r>
      <w:proofErr w:type="spellEnd"/>
      <w:r w:rsidRPr="000C60E1">
        <w:rPr>
          <w:rFonts w:cs="Arial"/>
        </w:rPr>
        <w:t xml:space="preserve"> of contaminants under potential future scenarios. Such model</w:t>
      </w:r>
      <w:r w:rsidR="001630AE" w:rsidRPr="000C60E1">
        <w:rPr>
          <w:rFonts w:cs="Arial"/>
        </w:rPr>
        <w:t>l</w:t>
      </w:r>
      <w:r w:rsidRPr="000C60E1">
        <w:rPr>
          <w:rFonts w:cs="Arial"/>
        </w:rPr>
        <w:t xml:space="preserve">ing can be useful to direct sampling programs and draw conclusions regarding </w:t>
      </w:r>
      <w:r w:rsidR="00DF7615" w:rsidRPr="000C60E1">
        <w:rPr>
          <w:rFonts w:cs="Arial"/>
        </w:rPr>
        <w:t xml:space="preserve">potential </w:t>
      </w:r>
      <w:r w:rsidRPr="000C60E1">
        <w:rPr>
          <w:rFonts w:cs="Arial"/>
        </w:rPr>
        <w:t>off</w:t>
      </w:r>
      <w:r w:rsidR="00DF7615" w:rsidRPr="000C60E1">
        <w:rPr>
          <w:rFonts w:cs="Arial"/>
        </w:rPr>
        <w:t>-</w:t>
      </w:r>
      <w:r w:rsidRPr="000C60E1">
        <w:rPr>
          <w:rFonts w:cs="Arial"/>
        </w:rPr>
        <w:t xml:space="preserve">site migration of contaminants. </w:t>
      </w:r>
      <w:r w:rsidR="00B736F9" w:rsidRPr="000C60E1">
        <w:rPr>
          <w:rFonts w:cs="Arial"/>
        </w:rPr>
        <w:t xml:space="preserve">When a fate/transport model is utilized in the </w:t>
      </w:r>
      <w:r w:rsidR="006C4301" w:rsidRPr="000C60E1">
        <w:rPr>
          <w:rFonts w:cs="Arial"/>
        </w:rPr>
        <w:t>risk assessment</w:t>
      </w:r>
      <w:r w:rsidR="00B736F9" w:rsidRPr="000C60E1">
        <w:rPr>
          <w:rFonts w:cs="Arial"/>
        </w:rPr>
        <w:t xml:space="preserve"> to predict contaminant concentrations in soil or groundwater, the predicted concentrations should be verified through field sampling wherever possible.</w:t>
      </w:r>
      <w:r w:rsidRPr="000C60E1">
        <w:rPr>
          <w:rFonts w:cs="Arial"/>
        </w:rPr>
        <w:t xml:space="preserve"> </w:t>
      </w:r>
      <w:r w:rsidR="00B736F9" w:rsidRPr="000C60E1">
        <w:rPr>
          <w:rFonts w:cs="Arial"/>
        </w:rPr>
        <w:t xml:space="preserve">For </w:t>
      </w:r>
      <w:r w:rsidR="00DF7615" w:rsidRPr="000C60E1">
        <w:rPr>
          <w:rFonts w:cs="Arial"/>
        </w:rPr>
        <w:t>example</w:t>
      </w:r>
      <w:r w:rsidR="00541710" w:rsidRPr="000C60E1">
        <w:rPr>
          <w:rFonts w:cs="Arial"/>
        </w:rPr>
        <w:t>,</w:t>
      </w:r>
      <w:r w:rsidR="00DF7615" w:rsidRPr="000C60E1">
        <w:rPr>
          <w:rFonts w:cs="Arial"/>
        </w:rPr>
        <w:t xml:space="preserve"> when </w:t>
      </w:r>
      <w:r w:rsidR="00B736F9" w:rsidRPr="000C60E1">
        <w:rPr>
          <w:rFonts w:cs="Arial"/>
        </w:rPr>
        <w:t>mode</w:t>
      </w:r>
      <w:r w:rsidR="00C15535" w:rsidRPr="000C60E1">
        <w:rPr>
          <w:rFonts w:cs="Arial"/>
        </w:rPr>
        <w:t>l</w:t>
      </w:r>
      <w:r w:rsidR="00B736F9" w:rsidRPr="000C60E1">
        <w:rPr>
          <w:rFonts w:cs="Arial"/>
        </w:rPr>
        <w:t xml:space="preserve">ling indoor air concentrations, </w:t>
      </w:r>
      <w:r w:rsidR="00DF7615" w:rsidRPr="000C60E1">
        <w:rPr>
          <w:rFonts w:cs="Arial"/>
        </w:rPr>
        <w:t xml:space="preserve">the collection of </w:t>
      </w:r>
      <w:r w:rsidR="00B736F9" w:rsidRPr="000C60E1">
        <w:rPr>
          <w:rFonts w:cs="Arial"/>
        </w:rPr>
        <w:t xml:space="preserve">soil </w:t>
      </w:r>
      <w:proofErr w:type="spellStart"/>
      <w:r w:rsidR="00541710" w:rsidRPr="000C60E1">
        <w:rPr>
          <w:rFonts w:cs="Arial"/>
        </w:rPr>
        <w:t>vapour</w:t>
      </w:r>
      <w:proofErr w:type="spellEnd"/>
      <w:r w:rsidR="00DF7615" w:rsidRPr="000C60E1">
        <w:rPr>
          <w:rFonts w:cs="Arial"/>
        </w:rPr>
        <w:t xml:space="preserve">, sub-slab and indoor air data </w:t>
      </w:r>
      <w:r w:rsidRPr="000C60E1">
        <w:rPr>
          <w:rFonts w:cs="Arial"/>
        </w:rPr>
        <w:t xml:space="preserve">may </w:t>
      </w:r>
      <w:r w:rsidR="006D5792" w:rsidRPr="000C60E1">
        <w:rPr>
          <w:rFonts w:cs="Arial"/>
        </w:rPr>
        <w:t xml:space="preserve">also </w:t>
      </w:r>
      <w:r w:rsidRPr="000C60E1">
        <w:rPr>
          <w:rFonts w:cs="Arial"/>
        </w:rPr>
        <w:t xml:space="preserve">be </w:t>
      </w:r>
      <w:r w:rsidR="00B736F9" w:rsidRPr="000C60E1">
        <w:rPr>
          <w:rFonts w:cs="Arial"/>
        </w:rPr>
        <w:t>warranted.</w:t>
      </w:r>
    </w:p>
    <w:p w14:paraId="5E1337E0" w14:textId="77777777" w:rsidR="00B736F9" w:rsidRPr="000C60E1" w:rsidRDefault="00C15535" w:rsidP="00840964">
      <w:pPr>
        <w:rPr>
          <w:rFonts w:cs="Arial"/>
        </w:rPr>
      </w:pPr>
      <w:r w:rsidRPr="000C60E1">
        <w:rPr>
          <w:rFonts w:cs="Arial"/>
        </w:rPr>
        <w:t>In some cases, q</w:t>
      </w:r>
      <w:r w:rsidR="00B736F9" w:rsidRPr="000C60E1">
        <w:rPr>
          <w:rFonts w:cs="Arial"/>
        </w:rPr>
        <w:t>uantification may also include exposure from other sources/pathways/routes not specifically associated with the RA property, such as food ingestion, water supply and ambient air (i.e. typical background exposures) if sufficient information is available.</w:t>
      </w:r>
    </w:p>
    <w:p w14:paraId="22537248" w14:textId="77777777" w:rsidR="00B736F9" w:rsidRPr="000C60E1" w:rsidRDefault="00B736F9" w:rsidP="00840964">
      <w:pPr>
        <w:rPr>
          <w:rFonts w:cs="Arial"/>
        </w:rPr>
      </w:pPr>
      <w:r w:rsidRPr="000C60E1">
        <w:rPr>
          <w:rFonts w:cs="Arial"/>
        </w:rPr>
        <w:t>In conducting quantitative exposure assessment</w:t>
      </w:r>
      <w:r w:rsidR="001E50BF" w:rsidRPr="000C60E1">
        <w:rPr>
          <w:rFonts w:cs="Arial"/>
        </w:rPr>
        <w:t>,</w:t>
      </w:r>
      <w:r w:rsidRPr="000C60E1">
        <w:rPr>
          <w:rFonts w:cs="Arial"/>
        </w:rPr>
        <w:t xml:space="preserve"> the following should be considered;</w:t>
      </w:r>
    </w:p>
    <w:p w14:paraId="7653E8D4" w14:textId="77777777" w:rsidR="00B736F9" w:rsidRPr="000C60E1" w:rsidRDefault="00B736F9" w:rsidP="000E72E5">
      <w:pPr>
        <w:pStyle w:val="ListBullet2"/>
        <w:rPr>
          <w:rFonts w:cs="Arial"/>
        </w:rPr>
      </w:pPr>
      <w:r w:rsidRPr="000C60E1">
        <w:rPr>
          <w:rFonts w:cs="Arial"/>
        </w:rPr>
        <w:t>Document the exposure models, model assumptions and ch</w:t>
      </w:r>
      <w:r w:rsidR="00B24462" w:rsidRPr="000C60E1">
        <w:rPr>
          <w:rFonts w:cs="Arial"/>
        </w:rPr>
        <w:t xml:space="preserve">aracteristics of the receptors </w:t>
      </w:r>
      <w:r w:rsidRPr="000C60E1">
        <w:rPr>
          <w:rFonts w:cs="Arial"/>
        </w:rPr>
        <w:t>used for evaluation of exposures.</w:t>
      </w:r>
    </w:p>
    <w:p w14:paraId="0C180175" w14:textId="77777777" w:rsidR="00B736F9" w:rsidRPr="000C60E1" w:rsidRDefault="00B736F9" w:rsidP="000E72E5">
      <w:pPr>
        <w:pStyle w:val="ListBullet2"/>
        <w:rPr>
          <w:rFonts w:cs="Arial"/>
        </w:rPr>
      </w:pPr>
      <w:r w:rsidRPr="000C60E1">
        <w:rPr>
          <w:rFonts w:cs="Arial"/>
        </w:rPr>
        <w:t xml:space="preserve">Provide </w:t>
      </w:r>
      <w:r w:rsidR="006222B1" w:rsidRPr="000C60E1">
        <w:rPr>
          <w:rFonts w:cs="Arial"/>
        </w:rPr>
        <w:t>the</w:t>
      </w:r>
      <w:r w:rsidRPr="000C60E1">
        <w:rPr>
          <w:rFonts w:cs="Arial"/>
        </w:rPr>
        <w:t xml:space="preserve"> equations and sample calculations for evaluating human exposure for the various pathways.</w:t>
      </w:r>
    </w:p>
    <w:p w14:paraId="0FFCA379" w14:textId="77777777" w:rsidR="00B736F9" w:rsidRPr="000C60E1" w:rsidRDefault="00B736F9" w:rsidP="000E72E5">
      <w:pPr>
        <w:pStyle w:val="ListBullet2"/>
        <w:rPr>
          <w:rFonts w:cs="Arial"/>
        </w:rPr>
      </w:pPr>
      <w:r w:rsidRPr="000C60E1">
        <w:rPr>
          <w:rFonts w:cs="Arial"/>
        </w:rPr>
        <w:t>Calculate exposures to the different receptors from various pathways identified for different contaminants.</w:t>
      </w:r>
    </w:p>
    <w:p w14:paraId="6A1814BF" w14:textId="77777777" w:rsidR="00B736F9" w:rsidRPr="000C60E1" w:rsidRDefault="00B736F9" w:rsidP="000E72E5">
      <w:pPr>
        <w:pStyle w:val="ListBullet2"/>
        <w:rPr>
          <w:rFonts w:cs="Arial"/>
        </w:rPr>
      </w:pPr>
      <w:r w:rsidRPr="000C60E1">
        <w:rPr>
          <w:rFonts w:cs="Arial"/>
        </w:rPr>
        <w:t>A contaminant source, for the purpose of a HHRA</w:t>
      </w:r>
      <w:r w:rsidR="00B4678F" w:rsidRPr="000C60E1">
        <w:rPr>
          <w:rFonts w:cs="Arial"/>
        </w:rPr>
        <w:t>,</w:t>
      </w:r>
      <w:r w:rsidRPr="000C60E1">
        <w:rPr>
          <w:rFonts w:cs="Arial"/>
        </w:rPr>
        <w:t xml:space="preserve"> is an environmental medi</w:t>
      </w:r>
      <w:r w:rsidR="006222B1" w:rsidRPr="000C60E1">
        <w:rPr>
          <w:rFonts w:cs="Arial"/>
        </w:rPr>
        <w:t>um</w:t>
      </w:r>
      <w:r w:rsidRPr="000C60E1">
        <w:rPr>
          <w:rFonts w:cs="Arial"/>
        </w:rPr>
        <w:t xml:space="preserve"> </w:t>
      </w:r>
      <w:r w:rsidR="006222B1" w:rsidRPr="000C60E1">
        <w:rPr>
          <w:rFonts w:cs="Arial"/>
        </w:rPr>
        <w:t xml:space="preserve">which can include, but is </w:t>
      </w:r>
      <w:r w:rsidRPr="000C60E1">
        <w:rPr>
          <w:rFonts w:cs="Arial"/>
        </w:rPr>
        <w:t>not limited to soil, groundwater, air and garden produce</w:t>
      </w:r>
      <w:r w:rsidR="00C15535" w:rsidRPr="000C60E1">
        <w:rPr>
          <w:rFonts w:cs="Arial"/>
        </w:rPr>
        <w:t>.</w:t>
      </w:r>
    </w:p>
    <w:p w14:paraId="38E0E1A4" w14:textId="77777777" w:rsidR="006222B1" w:rsidRPr="000C60E1" w:rsidRDefault="006222B1" w:rsidP="000E72E5">
      <w:pPr>
        <w:pStyle w:val="ListBullet2"/>
        <w:rPr>
          <w:rFonts w:cs="Arial"/>
        </w:rPr>
      </w:pPr>
      <w:r w:rsidRPr="000C60E1">
        <w:rPr>
          <w:rFonts w:cs="Arial"/>
        </w:rPr>
        <w:t>Determine exposures for all relevant receptor life-stages, and consider composite receptors for non-</w:t>
      </w:r>
      <w:r w:rsidR="001E50BF" w:rsidRPr="000C60E1">
        <w:rPr>
          <w:rFonts w:cs="Arial"/>
        </w:rPr>
        <w:t>threshold</w:t>
      </w:r>
      <w:r w:rsidRPr="000C60E1">
        <w:rPr>
          <w:rFonts w:cs="Arial"/>
        </w:rPr>
        <w:t xml:space="preserve"> carcinogens.</w:t>
      </w:r>
    </w:p>
    <w:p w14:paraId="263D2CE4" w14:textId="77777777" w:rsidR="006222B1" w:rsidRPr="000C60E1" w:rsidRDefault="006222B1" w:rsidP="000E72E5">
      <w:pPr>
        <w:pStyle w:val="ListBullet2"/>
        <w:rPr>
          <w:rFonts w:cs="Arial"/>
        </w:rPr>
      </w:pPr>
      <w:r w:rsidRPr="000C60E1">
        <w:rPr>
          <w:rFonts w:cs="Arial"/>
        </w:rPr>
        <w:lastRenderedPageBreak/>
        <w:t>Consider the adult female receptor (e.g. female outdoor worker), and exposure assumptions relevant to the adult female receptor, for all COCs for which developmental effects have been identified as a critical effect.</w:t>
      </w:r>
    </w:p>
    <w:p w14:paraId="13EFF847" w14:textId="46D7C8A6" w:rsidR="00B736F9" w:rsidRPr="002A75F2" w:rsidRDefault="00B736F9" w:rsidP="000E72E5">
      <w:pPr>
        <w:pStyle w:val="ListBullet2"/>
        <w:rPr>
          <w:rFonts w:cs="Arial"/>
        </w:rPr>
      </w:pPr>
      <w:r w:rsidRPr="000C60E1">
        <w:rPr>
          <w:rFonts w:cs="Arial"/>
        </w:rPr>
        <w:t xml:space="preserve">In the calculation of </w:t>
      </w:r>
      <w:r w:rsidR="001E50BF" w:rsidRPr="000C60E1">
        <w:rPr>
          <w:rFonts w:cs="Arial"/>
        </w:rPr>
        <w:t>uptake,</w:t>
      </w:r>
      <w:r w:rsidRPr="000C60E1">
        <w:rPr>
          <w:rFonts w:cs="Arial"/>
        </w:rPr>
        <w:t xml:space="preserve"> the </w:t>
      </w:r>
      <w:smartTag w:uri="urn:schemas-microsoft-com:office:smarttags" w:element="stockticker">
        <w:r w:rsidRPr="000C60E1">
          <w:rPr>
            <w:rFonts w:cs="Arial"/>
          </w:rPr>
          <w:t>COC</w:t>
        </w:r>
      </w:smartTag>
      <w:r w:rsidRPr="000C60E1">
        <w:rPr>
          <w:rFonts w:cs="Arial"/>
        </w:rPr>
        <w:t xml:space="preserve"> concentrations should be characterized with an estimate of the average and the upper range of the data, for example using the mean </w:t>
      </w:r>
      <w:r w:rsidRPr="002A75F2">
        <w:rPr>
          <w:rFonts w:cs="Arial"/>
        </w:rPr>
        <w:t xml:space="preserve">and </w:t>
      </w:r>
      <w:r w:rsidR="00C15535" w:rsidRPr="002A75F2">
        <w:rPr>
          <w:rFonts w:cs="Arial"/>
        </w:rPr>
        <w:t xml:space="preserve">maximum or </w:t>
      </w:r>
      <w:r w:rsidRPr="002A75F2">
        <w:rPr>
          <w:rFonts w:cs="Arial"/>
        </w:rPr>
        <w:t>95</w:t>
      </w:r>
      <w:r w:rsidRPr="002A75F2">
        <w:rPr>
          <w:rFonts w:cs="Arial"/>
          <w:vertAlign w:val="superscript"/>
        </w:rPr>
        <w:t>th</w:t>
      </w:r>
      <w:r w:rsidRPr="002A75F2">
        <w:rPr>
          <w:rFonts w:cs="Arial"/>
        </w:rPr>
        <w:t xml:space="preserve"> percentile.</w:t>
      </w:r>
      <w:r w:rsidR="00C76455" w:rsidRPr="002A75F2">
        <w:rPr>
          <w:rFonts w:cs="Arial"/>
        </w:rPr>
        <w:t xml:space="preserve"> </w:t>
      </w:r>
      <w:r w:rsidRPr="002A75F2">
        <w:rPr>
          <w:rFonts w:cs="Arial"/>
        </w:rPr>
        <w:t>The US EPA</w:t>
      </w:r>
      <w:r w:rsidR="00B24462" w:rsidRPr="002A75F2">
        <w:rPr>
          <w:rFonts w:cs="Arial"/>
        </w:rPr>
        <w:t>’</w:t>
      </w:r>
      <w:r w:rsidRPr="002A75F2">
        <w:rPr>
          <w:rFonts w:cs="Arial"/>
        </w:rPr>
        <w:t xml:space="preserve">s Superfund program has traditionally used </w:t>
      </w:r>
      <w:r w:rsidR="002B42DD" w:rsidRPr="002A75F2">
        <w:rPr>
          <w:rFonts w:cs="Arial"/>
        </w:rPr>
        <w:t>the</w:t>
      </w:r>
      <w:r w:rsidRPr="002A75F2">
        <w:rPr>
          <w:rFonts w:cs="Arial"/>
        </w:rPr>
        <w:t xml:space="preserve"> 95</w:t>
      </w:r>
      <w:r w:rsidR="002B42DD" w:rsidRPr="002A75F2">
        <w:rPr>
          <w:rFonts w:cs="Arial"/>
        </w:rPr>
        <w:t>%</w:t>
      </w:r>
      <w:r w:rsidRPr="002A75F2">
        <w:rPr>
          <w:rFonts w:cs="Arial"/>
        </w:rPr>
        <w:t xml:space="preserve"> </w:t>
      </w:r>
      <w:smartTag w:uri="urn:schemas-microsoft-com:office:smarttags" w:element="stockticker">
        <w:r w:rsidRPr="002A75F2">
          <w:rPr>
            <w:rFonts w:cs="Arial"/>
          </w:rPr>
          <w:t>UCL</w:t>
        </w:r>
      </w:smartTag>
      <w:r w:rsidRPr="002A75F2">
        <w:rPr>
          <w:rFonts w:cs="Arial"/>
        </w:rPr>
        <w:t xml:space="preserve"> </w:t>
      </w:r>
      <w:r w:rsidR="00654E2B" w:rsidRPr="002A75F2">
        <w:rPr>
          <w:rFonts w:cs="Arial"/>
        </w:rPr>
        <w:t>of</w:t>
      </w:r>
      <w:r w:rsidRPr="002A75F2">
        <w:rPr>
          <w:rFonts w:cs="Arial"/>
        </w:rPr>
        <w:t xml:space="preserve"> the mean as the concentration in point estimates of reasonable maximum exposure for human health risk assessment (US EPA, 1992; 1997). It is recommended that the </w:t>
      </w:r>
      <w:r w:rsidR="00B24C01" w:rsidRPr="002A75F2">
        <w:rPr>
          <w:rFonts w:cs="Arial"/>
        </w:rPr>
        <w:t>risk assessment</w:t>
      </w:r>
      <w:r w:rsidRPr="002A75F2">
        <w:rPr>
          <w:rFonts w:cs="Arial"/>
        </w:rPr>
        <w:t xml:space="preserve"> </w:t>
      </w:r>
      <w:r w:rsidR="0011653B" w:rsidRPr="002A75F2">
        <w:rPr>
          <w:rFonts w:cs="Arial"/>
        </w:rPr>
        <w:t>t</w:t>
      </w:r>
      <w:r w:rsidRPr="002A75F2">
        <w:rPr>
          <w:rFonts w:cs="Arial"/>
        </w:rPr>
        <w:t>eam consider the US EPA’s RAGS as a starting point for the most appropriate estimate of reasonable maximum exposure (RME), and to consider other options that are available.</w:t>
      </w:r>
      <w:r w:rsidR="0010654B" w:rsidRPr="002A75F2">
        <w:rPr>
          <w:rFonts w:cs="Arial"/>
        </w:rPr>
        <w:t xml:space="preserve"> </w:t>
      </w:r>
      <w:r w:rsidRPr="002A75F2">
        <w:rPr>
          <w:rFonts w:cs="Arial"/>
        </w:rPr>
        <w:t xml:space="preserve">It should be noted that any methods chosen for use in the development of an exposure point concentration will be driven by the quality and quantity of data available. </w:t>
      </w:r>
      <w:r w:rsidR="00654E2B" w:rsidRPr="002A75F2">
        <w:rPr>
          <w:rFonts w:cs="Arial"/>
        </w:rPr>
        <w:t>See</w:t>
      </w:r>
      <w:r w:rsidR="00A13C55" w:rsidRPr="002A75F2">
        <w:rPr>
          <w:rFonts w:cs="Arial"/>
        </w:rPr>
        <w:t xml:space="preserve"> </w:t>
      </w:r>
      <w:r w:rsidR="00654E2B" w:rsidRPr="002A75F2">
        <w:rPr>
          <w:rFonts w:cs="Arial"/>
        </w:rPr>
        <w:t>S</w:t>
      </w:r>
      <w:r w:rsidR="00A13C55" w:rsidRPr="002A75F2">
        <w:rPr>
          <w:rFonts w:cs="Arial"/>
        </w:rPr>
        <w:t xml:space="preserve">ection </w:t>
      </w:r>
      <w:r w:rsidR="00654E2B" w:rsidRPr="002A75F2">
        <w:rPr>
          <w:rFonts w:cs="Arial"/>
        </w:rPr>
        <w:t xml:space="preserve">6.2.5 </w:t>
      </w:r>
      <w:r w:rsidR="00FB3E27" w:rsidRPr="002A75F2">
        <w:rPr>
          <w:rFonts w:cs="Arial"/>
        </w:rPr>
        <w:t>of this Procedures document regarding</w:t>
      </w:r>
      <w:r w:rsidR="00654E2B" w:rsidRPr="002A75F2">
        <w:rPr>
          <w:rFonts w:cs="Arial"/>
        </w:rPr>
        <w:t xml:space="preserve"> the </w:t>
      </w:r>
      <w:r w:rsidR="00A13C55" w:rsidRPr="002A75F2">
        <w:rPr>
          <w:rFonts w:cs="Arial"/>
        </w:rPr>
        <w:t xml:space="preserve">selection of exposure point concentrations </w:t>
      </w:r>
      <w:r w:rsidR="00FB3E27" w:rsidRPr="002A75F2">
        <w:rPr>
          <w:rFonts w:cs="Arial"/>
        </w:rPr>
        <w:t>for</w:t>
      </w:r>
      <w:r w:rsidR="00A13C55" w:rsidRPr="002A75F2">
        <w:rPr>
          <w:rFonts w:cs="Arial"/>
        </w:rPr>
        <w:t xml:space="preserve"> soil and groundwater. </w:t>
      </w:r>
    </w:p>
    <w:p w14:paraId="78148046" w14:textId="77777777" w:rsidR="00B736F9" w:rsidRPr="000C60E1" w:rsidRDefault="00B736F9" w:rsidP="000E72E5">
      <w:pPr>
        <w:pStyle w:val="ListBullet2"/>
        <w:rPr>
          <w:rFonts w:cs="Arial"/>
        </w:rPr>
      </w:pPr>
      <w:r w:rsidRPr="002A75F2">
        <w:rPr>
          <w:rFonts w:cs="Arial"/>
        </w:rPr>
        <w:t>Consideration of background exposures other</w:t>
      </w:r>
      <w:r w:rsidRPr="000C60E1">
        <w:rPr>
          <w:rFonts w:cs="Arial"/>
        </w:rPr>
        <w:t xml:space="preserve"> than exposure to on-site contamination (soil, air, water, etc.)</w:t>
      </w:r>
      <w:r w:rsidR="00EA2287" w:rsidRPr="000C60E1">
        <w:rPr>
          <w:rFonts w:cs="Arial"/>
        </w:rPr>
        <w:t>,</w:t>
      </w:r>
      <w:r w:rsidRPr="000C60E1">
        <w:rPr>
          <w:rFonts w:cs="Arial"/>
        </w:rPr>
        <w:t xml:space="preserve"> </w:t>
      </w:r>
      <w:r w:rsidR="00EA2287" w:rsidRPr="000C60E1">
        <w:rPr>
          <w:rFonts w:cs="Arial"/>
        </w:rPr>
        <w:t xml:space="preserve">if included, </w:t>
      </w:r>
      <w:r w:rsidRPr="000C60E1">
        <w:rPr>
          <w:rFonts w:cs="Arial"/>
        </w:rPr>
        <w:t>should also be discussed with reference to the property specific exposure.</w:t>
      </w:r>
    </w:p>
    <w:p w14:paraId="4589FE62" w14:textId="5F3955B4" w:rsidR="00B736F9" w:rsidRPr="000C60E1" w:rsidRDefault="00B736F9" w:rsidP="000E72E5">
      <w:pPr>
        <w:pStyle w:val="ListBullet2"/>
        <w:rPr>
          <w:rFonts w:cs="Arial"/>
        </w:rPr>
      </w:pPr>
      <w:r w:rsidRPr="000C60E1">
        <w:rPr>
          <w:rFonts w:cs="Arial"/>
        </w:rPr>
        <w:t>Analysis of the major sources of uncertainty and how they affect the exposure estimates.</w:t>
      </w:r>
      <w:r w:rsidR="00FE54E3" w:rsidRPr="000C60E1">
        <w:rPr>
          <w:rFonts w:cs="Arial"/>
        </w:rPr>
        <w:t xml:space="preserve"> Uncertainty in the pathway analysis, for example, should be discussed in terms of the dependency of the exposure estimates on pathway assumptions that are unconfirmed or beyond the knowledge and control of the proponent.</w:t>
      </w:r>
    </w:p>
    <w:p w14:paraId="59F0C04E" w14:textId="41F01438" w:rsidR="00B736F9" w:rsidRPr="000C60E1" w:rsidRDefault="00B736F9" w:rsidP="0010654B">
      <w:pPr>
        <w:rPr>
          <w:rFonts w:cs="Arial"/>
        </w:rPr>
      </w:pPr>
      <w:r w:rsidRPr="000C60E1">
        <w:rPr>
          <w:rFonts w:cs="Arial"/>
        </w:rPr>
        <w:t>If computer models are utilized, ensure the models have been validated and/or are considered acceptable based on scientific principles.</w:t>
      </w:r>
      <w:r w:rsidR="00C76455" w:rsidRPr="000C60E1">
        <w:rPr>
          <w:rFonts w:cs="Arial"/>
        </w:rPr>
        <w:t xml:space="preserve"> </w:t>
      </w:r>
      <w:r w:rsidRPr="000C60E1">
        <w:rPr>
          <w:rFonts w:cs="Arial"/>
        </w:rPr>
        <w:t>These models should also be available in the public domain.</w:t>
      </w:r>
      <w:r w:rsidR="00C76455" w:rsidRPr="000C60E1">
        <w:rPr>
          <w:rFonts w:cs="Arial"/>
        </w:rPr>
        <w:t xml:space="preserve"> </w:t>
      </w:r>
      <w:r w:rsidRPr="000C60E1">
        <w:rPr>
          <w:rFonts w:cs="Arial"/>
        </w:rPr>
        <w:t xml:space="preserve">Use of proprietary models may be considered only when sufficient documentation of the modelling is provided. </w:t>
      </w:r>
      <w:r w:rsidR="00F01C2F" w:rsidRPr="000C60E1">
        <w:rPr>
          <w:rFonts w:cs="Arial"/>
        </w:rPr>
        <w:t xml:space="preserve">Use of proprietary models will require additional </w:t>
      </w:r>
      <w:r w:rsidR="00657FDB" w:rsidRPr="000C60E1">
        <w:rPr>
          <w:rFonts w:cs="Arial"/>
        </w:rPr>
        <w:t>M</w:t>
      </w:r>
      <w:r w:rsidR="00F01C2F" w:rsidRPr="000C60E1">
        <w:rPr>
          <w:rFonts w:cs="Arial"/>
        </w:rPr>
        <w:t xml:space="preserve">inistry review as provided by the </w:t>
      </w:r>
      <w:r w:rsidR="00855A6A" w:rsidRPr="000C60E1">
        <w:rPr>
          <w:rFonts w:cs="Arial"/>
        </w:rPr>
        <w:t>R</w:t>
      </w:r>
      <w:r w:rsidR="00F01C2F" w:rsidRPr="000C60E1">
        <w:rPr>
          <w:rFonts w:cs="Arial"/>
        </w:rPr>
        <w:t xml:space="preserve">egulation (refer to </w:t>
      </w:r>
      <w:r w:rsidR="00E54D38" w:rsidRPr="000C60E1">
        <w:rPr>
          <w:rFonts w:cs="Arial"/>
        </w:rPr>
        <w:t xml:space="preserve">section 9 of </w:t>
      </w:r>
      <w:r w:rsidR="00F01C2F" w:rsidRPr="000C60E1">
        <w:rPr>
          <w:rFonts w:cs="Arial"/>
        </w:rPr>
        <w:t xml:space="preserve">Schedule C of the </w:t>
      </w:r>
      <w:r w:rsidR="00855A6A" w:rsidRPr="000C60E1">
        <w:rPr>
          <w:rFonts w:cs="Arial"/>
        </w:rPr>
        <w:t>R</w:t>
      </w:r>
      <w:r w:rsidR="00F01C2F" w:rsidRPr="000C60E1">
        <w:rPr>
          <w:rFonts w:cs="Arial"/>
        </w:rPr>
        <w:t xml:space="preserve">egulation). </w:t>
      </w:r>
      <w:r w:rsidRPr="000C60E1">
        <w:rPr>
          <w:rFonts w:cs="Arial"/>
        </w:rPr>
        <w:t xml:space="preserve">Such models (validated and/or accepted) should be </w:t>
      </w:r>
      <w:r w:rsidR="006222B1" w:rsidRPr="000C60E1">
        <w:rPr>
          <w:rFonts w:cs="Arial"/>
        </w:rPr>
        <w:t xml:space="preserve">provided to the Ministry and </w:t>
      </w:r>
      <w:r w:rsidRPr="000C60E1">
        <w:rPr>
          <w:rFonts w:cs="Arial"/>
        </w:rPr>
        <w:t xml:space="preserve">accompanied by available technical support documentation of basic principles, user instructions, etc. The documentation should include all mathematical expressions and assumptions used in the model(s). </w:t>
      </w:r>
      <w:r w:rsidR="00106BDD" w:rsidRPr="000C60E1">
        <w:rPr>
          <w:rFonts w:cs="Arial"/>
        </w:rPr>
        <w:t>A comprehensive sensitivity analysis should also be conducted and included with the RA report.</w:t>
      </w:r>
    </w:p>
    <w:p w14:paraId="040E4DDA" w14:textId="0990B342" w:rsidR="00B736F9" w:rsidRPr="000C60E1" w:rsidRDefault="00B736F9" w:rsidP="0010654B">
      <w:pPr>
        <w:rPr>
          <w:rFonts w:cs="Arial"/>
        </w:rPr>
      </w:pPr>
      <w:r w:rsidRPr="000C60E1">
        <w:rPr>
          <w:rFonts w:cs="Arial"/>
        </w:rPr>
        <w:t>If proprietary models and any supporting documentation are considered confidential, such material should be clearly marked confidential. In either case, review of a</w:t>
      </w:r>
      <w:r w:rsidR="00957F70" w:rsidRPr="000C60E1">
        <w:rPr>
          <w:rFonts w:cs="Arial"/>
        </w:rPr>
        <w:t>n</w:t>
      </w:r>
      <w:r w:rsidRPr="000C60E1">
        <w:rPr>
          <w:rFonts w:cs="Arial"/>
        </w:rPr>
        <w:t xml:space="preserve"> </w:t>
      </w:r>
      <w:r w:rsidR="0041572E" w:rsidRPr="000C60E1">
        <w:rPr>
          <w:rFonts w:cs="Arial"/>
        </w:rPr>
        <w:t>RA report</w:t>
      </w:r>
      <w:r w:rsidRPr="000C60E1">
        <w:rPr>
          <w:rFonts w:cs="Arial"/>
        </w:rPr>
        <w:t xml:space="preserve"> will be facilitated by provision of any computer software being utilized for the exposure calculations. The </w:t>
      </w:r>
      <w:r w:rsidR="00657FDB" w:rsidRPr="000C60E1">
        <w:rPr>
          <w:rFonts w:cs="Arial"/>
        </w:rPr>
        <w:t>M</w:t>
      </w:r>
      <w:r w:rsidR="002A6EE0" w:rsidRPr="000C60E1">
        <w:rPr>
          <w:rFonts w:cs="Arial"/>
        </w:rPr>
        <w:t>inistry</w:t>
      </w:r>
      <w:r w:rsidRPr="000C60E1">
        <w:rPr>
          <w:rFonts w:cs="Arial"/>
        </w:rPr>
        <w:t xml:space="preserve"> will </w:t>
      </w:r>
      <w:r w:rsidRPr="002A75F2">
        <w:rPr>
          <w:rFonts w:cs="Arial"/>
        </w:rPr>
        <w:t xml:space="preserve">require evidence that such software models are provided in a manner that will not infringe any third </w:t>
      </w:r>
      <w:r w:rsidR="00273E26" w:rsidRPr="002A75F2">
        <w:rPr>
          <w:rFonts w:cs="Arial"/>
        </w:rPr>
        <w:t>party’s</w:t>
      </w:r>
      <w:r w:rsidRPr="002A75F2">
        <w:rPr>
          <w:rFonts w:cs="Arial"/>
        </w:rPr>
        <w:t xml:space="preserve"> copyright</w:t>
      </w:r>
      <w:r w:rsidRPr="000C60E1">
        <w:rPr>
          <w:rFonts w:cs="Arial"/>
        </w:rPr>
        <w:t>. The rationale for the suitability of any chosen model to the</w:t>
      </w:r>
      <w:r w:rsidR="001E50BF" w:rsidRPr="000C60E1">
        <w:rPr>
          <w:rFonts w:cs="Arial"/>
        </w:rPr>
        <w:t xml:space="preserve"> </w:t>
      </w:r>
      <w:r w:rsidR="00D615B4" w:rsidRPr="000C60E1">
        <w:rPr>
          <w:rFonts w:cs="Arial"/>
        </w:rPr>
        <w:t xml:space="preserve">RA </w:t>
      </w:r>
      <w:r w:rsidRPr="000C60E1">
        <w:rPr>
          <w:rFonts w:cs="Arial"/>
        </w:rPr>
        <w:t xml:space="preserve">property should also be documented (refer to Section </w:t>
      </w:r>
      <w:r w:rsidR="008E72B7" w:rsidRPr="000C60E1">
        <w:rPr>
          <w:rFonts w:cs="Arial"/>
        </w:rPr>
        <w:t>9</w:t>
      </w:r>
      <w:r w:rsidRPr="000C60E1">
        <w:rPr>
          <w:rFonts w:cs="Arial"/>
        </w:rPr>
        <w:t xml:space="preserve">.3.2 of this </w:t>
      </w:r>
      <w:r w:rsidR="00292E15" w:rsidRPr="000C60E1">
        <w:rPr>
          <w:rFonts w:cs="Arial"/>
        </w:rPr>
        <w:t>P</w:t>
      </w:r>
      <w:r w:rsidRPr="000C60E1">
        <w:rPr>
          <w:rFonts w:cs="Arial"/>
        </w:rPr>
        <w:t>rocedure</w:t>
      </w:r>
      <w:r w:rsidR="00292E15" w:rsidRPr="000C60E1">
        <w:rPr>
          <w:rFonts w:cs="Arial"/>
        </w:rPr>
        <w:t>s</w:t>
      </w:r>
      <w:r w:rsidRPr="000C60E1">
        <w:rPr>
          <w:rFonts w:cs="Arial"/>
        </w:rPr>
        <w:t xml:space="preserve"> document).</w:t>
      </w:r>
    </w:p>
    <w:p w14:paraId="33CD4BAF" w14:textId="0F39A1D4" w:rsidR="00B736F9" w:rsidRPr="002A75F2" w:rsidRDefault="00106BDD" w:rsidP="0010654B">
      <w:pPr>
        <w:rPr>
          <w:rFonts w:cs="Arial"/>
        </w:rPr>
      </w:pPr>
      <w:r w:rsidRPr="000C60E1">
        <w:rPr>
          <w:rFonts w:cs="Arial"/>
        </w:rPr>
        <w:t xml:space="preserve">If </w:t>
      </w:r>
      <w:r w:rsidR="00B736F9" w:rsidRPr="000C60E1">
        <w:rPr>
          <w:rFonts w:cs="Arial"/>
        </w:rPr>
        <w:t xml:space="preserve">conducting probabilistic modelling, statistical distributions developed from site-specific data or obtained from published peer reviewed scientific literature applicable to the </w:t>
      </w:r>
      <w:r w:rsidR="00DE33E0" w:rsidRPr="000C60E1">
        <w:rPr>
          <w:rFonts w:cs="Arial"/>
        </w:rPr>
        <w:t>RA property</w:t>
      </w:r>
      <w:r w:rsidR="00B736F9" w:rsidRPr="000C60E1">
        <w:rPr>
          <w:rFonts w:cs="Arial"/>
        </w:rPr>
        <w:t xml:space="preserve"> should be used for </w:t>
      </w:r>
      <w:r w:rsidRPr="000C60E1">
        <w:rPr>
          <w:rFonts w:cs="Arial"/>
        </w:rPr>
        <w:t xml:space="preserve">input </w:t>
      </w:r>
      <w:r w:rsidR="00B736F9" w:rsidRPr="000C60E1">
        <w:rPr>
          <w:rFonts w:cs="Arial"/>
        </w:rPr>
        <w:t>parameters associated with receptor characteristics</w:t>
      </w:r>
      <w:r w:rsidR="00B736F9" w:rsidRPr="000C60E1">
        <w:rPr>
          <w:rFonts w:cs="Arial"/>
          <w:highlight w:val="white"/>
        </w:rPr>
        <w:t xml:space="preserve"> (refer to Section </w:t>
      </w:r>
      <w:r w:rsidR="008E72B7" w:rsidRPr="000C60E1">
        <w:rPr>
          <w:rFonts w:cs="Arial"/>
          <w:highlight w:val="white"/>
        </w:rPr>
        <w:t>9</w:t>
      </w:r>
      <w:r w:rsidR="00B736F9" w:rsidRPr="000C60E1">
        <w:rPr>
          <w:rFonts w:cs="Arial"/>
          <w:highlight w:val="white"/>
        </w:rPr>
        <w:t xml:space="preserve">.3.3 of this </w:t>
      </w:r>
      <w:r w:rsidR="00292E15" w:rsidRPr="000C60E1">
        <w:rPr>
          <w:rFonts w:cs="Arial"/>
          <w:highlight w:val="white"/>
        </w:rPr>
        <w:t>P</w:t>
      </w:r>
      <w:r w:rsidR="00B736F9" w:rsidRPr="000C60E1">
        <w:rPr>
          <w:rFonts w:cs="Arial"/>
          <w:highlight w:val="white"/>
        </w:rPr>
        <w:t>rocedure</w:t>
      </w:r>
      <w:r w:rsidR="00292E15" w:rsidRPr="000C60E1">
        <w:rPr>
          <w:rFonts w:cs="Arial"/>
          <w:highlight w:val="white"/>
        </w:rPr>
        <w:t>s</w:t>
      </w:r>
      <w:r w:rsidR="00B736F9" w:rsidRPr="000C60E1">
        <w:rPr>
          <w:rFonts w:cs="Arial"/>
          <w:highlight w:val="white"/>
        </w:rPr>
        <w:t xml:space="preserve"> document)</w:t>
      </w:r>
      <w:r w:rsidR="00B736F9" w:rsidRPr="000C60E1">
        <w:rPr>
          <w:rFonts w:cs="Arial"/>
        </w:rPr>
        <w:t>.</w:t>
      </w:r>
      <w:r w:rsidR="00C21BC1" w:rsidRPr="000C60E1">
        <w:rPr>
          <w:rFonts w:cs="Arial"/>
        </w:rPr>
        <w:t xml:space="preserve"> The statistical distributions used in probabilistic model</w:t>
      </w:r>
      <w:r w:rsidR="001630AE" w:rsidRPr="000C60E1">
        <w:rPr>
          <w:rFonts w:cs="Arial"/>
        </w:rPr>
        <w:t>l</w:t>
      </w:r>
      <w:r w:rsidR="00C21BC1" w:rsidRPr="000C60E1">
        <w:rPr>
          <w:rFonts w:cs="Arial"/>
        </w:rPr>
        <w:t xml:space="preserve">ing </w:t>
      </w:r>
      <w:r w:rsidR="00C21BC1" w:rsidRPr="000C60E1">
        <w:rPr>
          <w:rFonts w:cs="Arial"/>
        </w:rPr>
        <w:lastRenderedPageBreak/>
        <w:t xml:space="preserve">may </w:t>
      </w:r>
      <w:r w:rsidR="00C21BC1" w:rsidRPr="002A75F2">
        <w:rPr>
          <w:rFonts w:cs="Arial"/>
        </w:rPr>
        <w:t xml:space="preserve">require additional time for </w:t>
      </w:r>
      <w:r w:rsidR="00657FDB" w:rsidRPr="002A75F2">
        <w:rPr>
          <w:rFonts w:cs="Arial"/>
        </w:rPr>
        <w:t>M</w:t>
      </w:r>
      <w:r w:rsidR="00C21BC1" w:rsidRPr="002A75F2">
        <w:rPr>
          <w:rFonts w:cs="Arial"/>
        </w:rPr>
        <w:t xml:space="preserve">inistry review, as provided by the </w:t>
      </w:r>
      <w:r w:rsidR="003B1BDA" w:rsidRPr="002A75F2">
        <w:rPr>
          <w:rFonts w:cs="Arial"/>
        </w:rPr>
        <w:t>R</w:t>
      </w:r>
      <w:r w:rsidR="00C21BC1" w:rsidRPr="002A75F2">
        <w:rPr>
          <w:rFonts w:cs="Arial"/>
        </w:rPr>
        <w:t xml:space="preserve">egulation (refer to </w:t>
      </w:r>
      <w:r w:rsidR="00273E26" w:rsidRPr="002A75F2">
        <w:rPr>
          <w:rFonts w:cs="Arial"/>
        </w:rPr>
        <w:t xml:space="preserve">section 9 of </w:t>
      </w:r>
      <w:r w:rsidR="00C21BC1" w:rsidRPr="002A75F2">
        <w:rPr>
          <w:rFonts w:cs="Arial"/>
        </w:rPr>
        <w:t xml:space="preserve">Schedule C of the </w:t>
      </w:r>
      <w:r w:rsidR="00855A6A" w:rsidRPr="002A75F2">
        <w:rPr>
          <w:rFonts w:cs="Arial"/>
        </w:rPr>
        <w:t>R</w:t>
      </w:r>
      <w:r w:rsidR="00C21BC1" w:rsidRPr="002A75F2">
        <w:rPr>
          <w:rFonts w:cs="Arial"/>
        </w:rPr>
        <w:t>egulation).</w:t>
      </w:r>
    </w:p>
    <w:p w14:paraId="65DD47D9" w14:textId="2134E494" w:rsidR="00D615B4" w:rsidRPr="002A75F2" w:rsidRDefault="00D615B4" w:rsidP="00DE496B">
      <w:pPr>
        <w:pStyle w:val="Heading3"/>
        <w:rPr>
          <w:rFonts w:cs="Arial"/>
        </w:rPr>
      </w:pPr>
      <w:bookmarkStart w:id="196" w:name="_Toc41905697"/>
      <w:r w:rsidRPr="002A75F2">
        <w:rPr>
          <w:rFonts w:cs="Arial"/>
        </w:rPr>
        <w:t>Site-Specific Deviations from Generic Exposure Parameters</w:t>
      </w:r>
      <w:bookmarkEnd w:id="196"/>
    </w:p>
    <w:p w14:paraId="751A3069" w14:textId="77777777" w:rsidR="00FA569C" w:rsidRPr="002A75F2" w:rsidRDefault="00FA569C" w:rsidP="00083882">
      <w:pPr>
        <w:rPr>
          <w:rFonts w:cs="Arial"/>
        </w:rPr>
      </w:pPr>
      <w:r w:rsidRPr="002A75F2">
        <w:rPr>
          <w:rFonts w:cs="Arial"/>
        </w:rPr>
        <w:t xml:space="preserve">In specific cases, due to the intrinsic </w:t>
      </w:r>
      <w:r w:rsidR="004535E7" w:rsidRPr="002A75F2">
        <w:rPr>
          <w:rFonts w:cs="Arial"/>
        </w:rPr>
        <w:t>characteristics</w:t>
      </w:r>
      <w:r w:rsidRPr="002A75F2">
        <w:rPr>
          <w:rFonts w:cs="Arial"/>
        </w:rPr>
        <w:t xml:space="preserve"> of the site, receptor behavior and exposures may be significantly different that those generically assumed by the Ministry. </w:t>
      </w:r>
    </w:p>
    <w:p w14:paraId="08C03185" w14:textId="26E29930" w:rsidR="00083882" w:rsidRPr="002A75F2" w:rsidRDefault="00D615B4" w:rsidP="00083882">
      <w:pPr>
        <w:rPr>
          <w:rFonts w:cs="Arial"/>
        </w:rPr>
      </w:pPr>
      <w:r w:rsidRPr="002A75F2">
        <w:rPr>
          <w:rFonts w:cs="Arial"/>
          <w:u w:val="single"/>
        </w:rPr>
        <w:t>Soil Ingestion Rate (SIR)</w:t>
      </w:r>
      <w:r w:rsidR="00DE33E0" w:rsidRPr="002A75F2">
        <w:rPr>
          <w:rFonts w:cs="Arial"/>
          <w:u w:val="single"/>
        </w:rPr>
        <w:t>:</w:t>
      </w:r>
      <w:r w:rsidR="00DE33E0" w:rsidRPr="002A75F2">
        <w:rPr>
          <w:rFonts w:cs="Arial"/>
        </w:rPr>
        <w:t xml:space="preserve"> </w:t>
      </w:r>
      <w:r w:rsidRPr="002A75F2">
        <w:rPr>
          <w:rFonts w:cs="Arial"/>
        </w:rPr>
        <w:t>The generic SIRs are recommended for site-specific</w:t>
      </w:r>
      <w:r w:rsidR="00B33B57" w:rsidRPr="002A75F2">
        <w:rPr>
          <w:rFonts w:cs="Arial"/>
        </w:rPr>
        <w:t xml:space="preserve"> </w:t>
      </w:r>
      <w:r w:rsidRPr="002A75F2">
        <w:rPr>
          <w:rFonts w:cs="Arial"/>
        </w:rPr>
        <w:t xml:space="preserve">HHRAs as the default value because </w:t>
      </w:r>
      <w:r w:rsidR="001F7F60" w:rsidRPr="002A75F2">
        <w:rPr>
          <w:rFonts w:cs="Arial"/>
        </w:rPr>
        <w:t>these</w:t>
      </w:r>
      <w:r w:rsidRPr="002A75F2">
        <w:rPr>
          <w:rFonts w:cs="Arial"/>
        </w:rPr>
        <w:t xml:space="preserve"> value</w:t>
      </w:r>
      <w:r w:rsidR="00FA569C" w:rsidRPr="002A75F2">
        <w:rPr>
          <w:rFonts w:cs="Arial"/>
        </w:rPr>
        <w:t>s</w:t>
      </w:r>
      <w:r w:rsidRPr="002A75F2">
        <w:rPr>
          <w:rFonts w:cs="Arial"/>
        </w:rPr>
        <w:t xml:space="preserve"> offer the same level of protection as the generic soil standards. Alternately, the selection of a different SIR value should be sufficiently justified within a</w:t>
      </w:r>
      <w:r w:rsidR="00DE33E0" w:rsidRPr="002A75F2">
        <w:rPr>
          <w:rFonts w:cs="Arial"/>
        </w:rPr>
        <w:t>n</w:t>
      </w:r>
      <w:r w:rsidRPr="002A75F2">
        <w:rPr>
          <w:rFonts w:cs="Arial"/>
        </w:rPr>
        <w:t xml:space="preserve"> HHRA and </w:t>
      </w:r>
      <w:r w:rsidR="00FB7EB2" w:rsidRPr="002A75F2">
        <w:rPr>
          <w:rFonts w:cs="Arial"/>
        </w:rPr>
        <w:t>will</w:t>
      </w:r>
      <w:r w:rsidRPr="002A75F2">
        <w:rPr>
          <w:rFonts w:cs="Arial"/>
        </w:rPr>
        <w:t xml:space="preserve"> be reviewed on a case-by-case basis. </w:t>
      </w:r>
    </w:p>
    <w:p w14:paraId="50387B14" w14:textId="176234D2" w:rsidR="00654E2B" w:rsidRPr="002A75F2" w:rsidRDefault="00D615B4" w:rsidP="00083882">
      <w:pPr>
        <w:rPr>
          <w:rFonts w:cs="Arial"/>
        </w:rPr>
      </w:pPr>
      <w:r w:rsidRPr="002A75F2">
        <w:rPr>
          <w:rFonts w:cs="Arial"/>
        </w:rPr>
        <w:t xml:space="preserve">As an event-driven parameter, the SIR is dependent on human </w:t>
      </w:r>
      <w:proofErr w:type="spellStart"/>
      <w:r w:rsidRPr="002A75F2">
        <w:rPr>
          <w:rFonts w:cs="Arial"/>
        </w:rPr>
        <w:t>behaviour</w:t>
      </w:r>
      <w:proofErr w:type="spellEnd"/>
      <w:r w:rsidRPr="002A75F2">
        <w:rPr>
          <w:rFonts w:cs="Arial"/>
        </w:rPr>
        <w:t xml:space="preserve"> and human activity throughout the day.</w:t>
      </w:r>
      <w:r w:rsidR="00C76455" w:rsidRPr="002A75F2">
        <w:rPr>
          <w:rFonts w:cs="Arial"/>
        </w:rPr>
        <w:t xml:space="preserve"> </w:t>
      </w:r>
      <w:r w:rsidRPr="002A75F2">
        <w:rPr>
          <w:rFonts w:cs="Arial"/>
        </w:rPr>
        <w:t>Therefore, the selection of a SIR should be based on</w:t>
      </w:r>
      <w:r w:rsidR="00DE33E0" w:rsidRPr="002A75F2">
        <w:rPr>
          <w:rFonts w:cs="Arial"/>
        </w:rPr>
        <w:t>:</w:t>
      </w:r>
      <w:r w:rsidRPr="002A75F2">
        <w:rPr>
          <w:rFonts w:cs="Arial"/>
        </w:rPr>
        <w:t xml:space="preserve"> 1) site-specific conditions and</w:t>
      </w:r>
      <w:r w:rsidR="00DE33E0" w:rsidRPr="002A75F2">
        <w:rPr>
          <w:rFonts w:cs="Arial"/>
        </w:rPr>
        <w:t>,</w:t>
      </w:r>
      <w:r w:rsidRPr="002A75F2">
        <w:rPr>
          <w:rFonts w:cs="Arial"/>
        </w:rPr>
        <w:t xml:space="preserve"> 2) site-specific receptor activity.</w:t>
      </w:r>
      <w:r w:rsidR="00C76455" w:rsidRPr="002A75F2">
        <w:rPr>
          <w:rFonts w:cs="Arial"/>
        </w:rPr>
        <w:t xml:space="preserve"> </w:t>
      </w:r>
      <w:r w:rsidRPr="002A75F2">
        <w:rPr>
          <w:rFonts w:cs="Arial"/>
        </w:rPr>
        <w:t xml:space="preserve">For example, the exposure scenarios considered for the S1 receptor (in the development of the </w:t>
      </w:r>
      <w:r w:rsidR="00FA569C" w:rsidRPr="002A75F2">
        <w:rPr>
          <w:rFonts w:cs="Arial"/>
        </w:rPr>
        <w:t>Ministry’s</w:t>
      </w:r>
      <w:r w:rsidRPr="002A75F2">
        <w:rPr>
          <w:rFonts w:cs="Arial"/>
        </w:rPr>
        <w:t xml:space="preserve"> generic soil standards) are for residential properties. The generic SIR is intended to represent estimated ingestion of both soil and dust</w:t>
      </w:r>
      <w:r w:rsidR="00FA569C" w:rsidRPr="002A75F2">
        <w:rPr>
          <w:rFonts w:cs="Arial"/>
        </w:rPr>
        <w:t>.</w:t>
      </w:r>
    </w:p>
    <w:p w14:paraId="21D69E36" w14:textId="1AF484B6" w:rsidR="00D615B4" w:rsidRPr="002A75F2" w:rsidRDefault="00654E2B" w:rsidP="00083882">
      <w:pPr>
        <w:rPr>
          <w:rFonts w:cs="Arial"/>
        </w:rPr>
      </w:pPr>
      <w:r w:rsidRPr="002A75F2">
        <w:rPr>
          <w:rFonts w:cs="Arial"/>
        </w:rPr>
        <w:t xml:space="preserve">Some site-specific exposure scenarios may warrant the use of site-specific SIRs which deviate from generic assumptions if (1) exposure to soil is considerably blocked or, if (2) the expected possible </w:t>
      </w:r>
      <w:proofErr w:type="spellStart"/>
      <w:r w:rsidRPr="002A75F2">
        <w:rPr>
          <w:rFonts w:cs="Arial"/>
        </w:rPr>
        <w:t>behaviour</w:t>
      </w:r>
      <w:proofErr w:type="spellEnd"/>
      <w:r w:rsidRPr="002A75F2">
        <w:rPr>
          <w:rFonts w:cs="Arial"/>
        </w:rPr>
        <w:t xml:space="preserve">(s) on the site are considerably different from the </w:t>
      </w:r>
      <w:proofErr w:type="spellStart"/>
      <w:r w:rsidRPr="002A75F2">
        <w:rPr>
          <w:rFonts w:cs="Arial"/>
        </w:rPr>
        <w:t>behaviour</w:t>
      </w:r>
      <w:proofErr w:type="spellEnd"/>
      <w:r w:rsidRPr="002A75F2">
        <w:rPr>
          <w:rFonts w:cs="Arial"/>
        </w:rPr>
        <w:t xml:space="preserve">(s) considered in the key studies used for the derivation of the generic SIRs. </w:t>
      </w:r>
      <w:r w:rsidR="00FA569C" w:rsidRPr="002A75F2">
        <w:rPr>
          <w:rFonts w:cs="Arial"/>
        </w:rPr>
        <w:t>For example, u</w:t>
      </w:r>
      <w:r w:rsidR="00083882" w:rsidRPr="002A75F2">
        <w:rPr>
          <w:rFonts w:cs="Arial"/>
        </w:rPr>
        <w:t xml:space="preserve">sing site-specific </w:t>
      </w:r>
      <w:r w:rsidR="00D615B4" w:rsidRPr="002A75F2">
        <w:rPr>
          <w:rFonts w:cs="Arial"/>
        </w:rPr>
        <w:t>SIRs</w:t>
      </w:r>
      <w:r w:rsidR="00FA569C" w:rsidRPr="002A75F2">
        <w:rPr>
          <w:rFonts w:cs="Arial"/>
        </w:rPr>
        <w:t xml:space="preserve"> </w:t>
      </w:r>
      <w:r w:rsidR="00F90DE0" w:rsidRPr="002A75F2">
        <w:rPr>
          <w:rFonts w:cs="Arial"/>
        </w:rPr>
        <w:t>may</w:t>
      </w:r>
      <w:r w:rsidR="00FA569C" w:rsidRPr="002A75F2">
        <w:rPr>
          <w:rFonts w:cs="Arial"/>
        </w:rPr>
        <w:t xml:space="preserve"> be appropriate under the following scenario: </w:t>
      </w:r>
      <w:r w:rsidR="00083882" w:rsidRPr="002A75F2">
        <w:rPr>
          <w:rFonts w:cs="Arial"/>
        </w:rPr>
        <w:t xml:space="preserve"> </w:t>
      </w:r>
    </w:p>
    <w:p w14:paraId="41803F54" w14:textId="319409B1" w:rsidR="00FA3ACD" w:rsidRPr="002A75F2" w:rsidRDefault="00C47111" w:rsidP="000E72E5">
      <w:pPr>
        <w:pStyle w:val="ListBullet2"/>
        <w:rPr>
          <w:rFonts w:cs="Arial"/>
        </w:rPr>
      </w:pPr>
      <w:r w:rsidRPr="002A75F2">
        <w:rPr>
          <w:rFonts w:cs="Arial"/>
        </w:rPr>
        <w:t>RA property</w:t>
      </w:r>
      <w:r w:rsidR="00FA3ACD" w:rsidRPr="002A75F2">
        <w:rPr>
          <w:rFonts w:cs="Arial"/>
        </w:rPr>
        <w:t xml:space="preserve"> that has dense vegetation cover (forested) or saturated soil (wetland, swamp) and is not easily accessible to the general population, but might have occasional </w:t>
      </w:r>
      <w:r w:rsidR="00083882" w:rsidRPr="002A75F2">
        <w:rPr>
          <w:rFonts w:cs="Arial"/>
        </w:rPr>
        <w:t>site users/</w:t>
      </w:r>
      <w:r w:rsidR="00FA3ACD" w:rsidRPr="002A75F2">
        <w:rPr>
          <w:rFonts w:cs="Arial"/>
        </w:rPr>
        <w:t xml:space="preserve">trespassers. </w:t>
      </w:r>
      <w:r w:rsidRPr="002A75F2">
        <w:rPr>
          <w:rFonts w:cs="Arial"/>
        </w:rPr>
        <w:t>Future use of the property would need to remain consistent with this assumption and further documentation of this may be required in the risk management plan</w:t>
      </w:r>
      <w:r w:rsidR="00971820" w:rsidRPr="002A75F2">
        <w:rPr>
          <w:rFonts w:cs="Arial"/>
        </w:rPr>
        <w:t xml:space="preserve"> (</w:t>
      </w:r>
      <w:r w:rsidR="002D2098" w:rsidRPr="002A75F2">
        <w:rPr>
          <w:rFonts w:cs="Arial"/>
        </w:rPr>
        <w:t xml:space="preserve">e.g. as </w:t>
      </w:r>
      <w:r w:rsidR="00971820" w:rsidRPr="002A75F2">
        <w:rPr>
          <w:rFonts w:cs="Arial"/>
        </w:rPr>
        <w:t xml:space="preserve">a restriction on </w:t>
      </w:r>
      <w:r w:rsidR="002D2098" w:rsidRPr="002A75F2">
        <w:rPr>
          <w:rFonts w:cs="Arial"/>
        </w:rPr>
        <w:t xml:space="preserve">future </w:t>
      </w:r>
      <w:r w:rsidR="00971820" w:rsidRPr="002A75F2">
        <w:rPr>
          <w:rFonts w:cs="Arial"/>
        </w:rPr>
        <w:t>use</w:t>
      </w:r>
      <w:r w:rsidR="002D2098" w:rsidRPr="002A75F2">
        <w:rPr>
          <w:rFonts w:cs="Arial"/>
        </w:rPr>
        <w:t xml:space="preserve"> of the </w:t>
      </w:r>
      <w:r w:rsidR="00F90DE0" w:rsidRPr="002A75F2">
        <w:rPr>
          <w:rFonts w:cs="Arial"/>
        </w:rPr>
        <w:t xml:space="preserve">RA </w:t>
      </w:r>
      <w:r w:rsidR="002D2098" w:rsidRPr="002A75F2">
        <w:rPr>
          <w:rFonts w:cs="Arial"/>
        </w:rPr>
        <w:t>property</w:t>
      </w:r>
      <w:r w:rsidR="00971820" w:rsidRPr="002A75F2">
        <w:rPr>
          <w:rFonts w:cs="Arial"/>
        </w:rPr>
        <w:t>)</w:t>
      </w:r>
      <w:r w:rsidRPr="002A75F2">
        <w:rPr>
          <w:rFonts w:cs="Arial"/>
        </w:rPr>
        <w:t>.</w:t>
      </w:r>
    </w:p>
    <w:p w14:paraId="700A5ED1" w14:textId="134CEB2B" w:rsidR="00D615B4" w:rsidRPr="002A75F2" w:rsidRDefault="00D615B4" w:rsidP="00083882">
      <w:pPr>
        <w:rPr>
          <w:rFonts w:cs="Arial"/>
        </w:rPr>
      </w:pPr>
      <w:r w:rsidRPr="002A75F2">
        <w:rPr>
          <w:rFonts w:cs="Arial"/>
          <w:u w:val="single"/>
        </w:rPr>
        <w:t>Exposure Frequency and Duration</w:t>
      </w:r>
      <w:r w:rsidR="00FA3ACD" w:rsidRPr="002A75F2">
        <w:rPr>
          <w:rFonts w:cs="Arial"/>
          <w:u w:val="single"/>
        </w:rPr>
        <w:t>:</w:t>
      </w:r>
      <w:r w:rsidR="00FA3ACD" w:rsidRPr="002A75F2">
        <w:rPr>
          <w:rFonts w:cs="Arial"/>
        </w:rPr>
        <w:t xml:space="preserve"> </w:t>
      </w:r>
      <w:r w:rsidRPr="002A75F2">
        <w:rPr>
          <w:rFonts w:cs="Arial"/>
        </w:rPr>
        <w:t xml:space="preserve">As stated above, certain exposure parameters can be modified from generic assumptions if there is sufficient justification provided to support such changes. The exposure frequency and duration of a receptor can differ from generic </w:t>
      </w:r>
      <w:r w:rsidR="00083882" w:rsidRPr="002A75F2">
        <w:rPr>
          <w:rFonts w:cs="Arial"/>
        </w:rPr>
        <w:t xml:space="preserve">Ministry </w:t>
      </w:r>
      <w:r w:rsidRPr="002A75F2">
        <w:rPr>
          <w:rFonts w:cs="Arial"/>
        </w:rPr>
        <w:t>assumptions i</w:t>
      </w:r>
      <w:r w:rsidR="00DE2DB3" w:rsidRPr="002A75F2">
        <w:rPr>
          <w:rFonts w:cs="Arial"/>
        </w:rPr>
        <w:t>n</w:t>
      </w:r>
      <w:r w:rsidRPr="002A75F2">
        <w:rPr>
          <w:rFonts w:cs="Arial"/>
        </w:rPr>
        <w:t xml:space="preserve"> a</w:t>
      </w:r>
      <w:r w:rsidR="00957F70" w:rsidRPr="002A75F2">
        <w:rPr>
          <w:rFonts w:cs="Arial"/>
        </w:rPr>
        <w:t>n</w:t>
      </w:r>
      <w:r w:rsidRPr="002A75F2">
        <w:rPr>
          <w:rFonts w:cs="Arial"/>
        </w:rPr>
        <w:t xml:space="preserve"> RA property </w:t>
      </w:r>
      <w:r w:rsidR="00FA569C" w:rsidRPr="002A75F2">
        <w:rPr>
          <w:rFonts w:cs="Arial"/>
        </w:rPr>
        <w:t>under these circumstances</w:t>
      </w:r>
      <w:r w:rsidRPr="002A75F2">
        <w:rPr>
          <w:rFonts w:cs="Arial"/>
        </w:rPr>
        <w:t>.</w:t>
      </w:r>
      <w:r w:rsidR="00F53860" w:rsidRPr="002A75F2">
        <w:rPr>
          <w:rFonts w:cs="Arial"/>
        </w:rPr>
        <w:t xml:space="preserve"> </w:t>
      </w:r>
      <w:r w:rsidR="006D11EA" w:rsidRPr="002A75F2">
        <w:rPr>
          <w:rFonts w:cs="Arial"/>
        </w:rPr>
        <w:t>For example, using a site</w:t>
      </w:r>
      <w:r w:rsidR="00E07B06" w:rsidRPr="002A75F2">
        <w:rPr>
          <w:rFonts w:cs="Arial"/>
        </w:rPr>
        <w:t>-</w:t>
      </w:r>
      <w:r w:rsidR="006D11EA" w:rsidRPr="002A75F2">
        <w:rPr>
          <w:rFonts w:cs="Arial"/>
        </w:rPr>
        <w:t xml:space="preserve">specific exposure frequency may be appropriate under the following </w:t>
      </w:r>
      <w:r w:rsidR="008F0124" w:rsidRPr="002A75F2">
        <w:rPr>
          <w:rFonts w:cs="Arial"/>
        </w:rPr>
        <w:t xml:space="preserve">exposure </w:t>
      </w:r>
      <w:r w:rsidR="006D11EA" w:rsidRPr="002A75F2">
        <w:rPr>
          <w:rFonts w:cs="Arial"/>
        </w:rPr>
        <w:t>scenario:</w:t>
      </w:r>
    </w:p>
    <w:p w14:paraId="58E467F1" w14:textId="3368392C" w:rsidR="006D11EA" w:rsidRPr="002A75F2" w:rsidRDefault="006D11EA" w:rsidP="006D11EA">
      <w:pPr>
        <w:numPr>
          <w:ilvl w:val="0"/>
          <w:numId w:val="36"/>
        </w:numPr>
        <w:rPr>
          <w:rFonts w:cs="Arial"/>
        </w:rPr>
      </w:pPr>
      <w:r w:rsidRPr="002A75F2">
        <w:rPr>
          <w:rFonts w:cs="Arial"/>
        </w:rPr>
        <w:t>For a</w:t>
      </w:r>
      <w:r w:rsidR="00A83459" w:rsidRPr="002A75F2">
        <w:rPr>
          <w:rFonts w:cs="Arial"/>
        </w:rPr>
        <w:t xml:space="preserve">n outdoor </w:t>
      </w:r>
      <w:r w:rsidRPr="002A75F2">
        <w:rPr>
          <w:rFonts w:cs="Arial"/>
        </w:rPr>
        <w:t>maintenance</w:t>
      </w:r>
      <w:r w:rsidR="00A83459" w:rsidRPr="002A75F2">
        <w:rPr>
          <w:rFonts w:cs="Arial"/>
        </w:rPr>
        <w:t>/landscape</w:t>
      </w:r>
      <w:r w:rsidRPr="002A75F2">
        <w:rPr>
          <w:rFonts w:cs="Arial"/>
        </w:rPr>
        <w:t xml:space="preserve"> worker</w:t>
      </w:r>
      <w:r w:rsidR="00A83459" w:rsidRPr="002A75F2">
        <w:rPr>
          <w:rFonts w:cs="Arial"/>
        </w:rPr>
        <w:t>,</w:t>
      </w:r>
      <w:r w:rsidRPr="002A75F2">
        <w:rPr>
          <w:rFonts w:cs="Arial"/>
        </w:rPr>
        <w:t xml:space="preserve"> at </w:t>
      </w:r>
      <w:r w:rsidR="00A83459" w:rsidRPr="002A75F2">
        <w:rPr>
          <w:rFonts w:cs="Arial"/>
        </w:rPr>
        <w:t xml:space="preserve">an </w:t>
      </w:r>
      <w:r w:rsidRPr="002A75F2">
        <w:rPr>
          <w:rFonts w:cs="Arial"/>
        </w:rPr>
        <w:t xml:space="preserve">RA property that is very small in size, </w:t>
      </w:r>
      <w:r w:rsidR="00A83459" w:rsidRPr="002A75F2">
        <w:rPr>
          <w:rFonts w:cs="Arial"/>
        </w:rPr>
        <w:t xml:space="preserve">and </w:t>
      </w:r>
      <w:r w:rsidRPr="002A75F2">
        <w:rPr>
          <w:rFonts w:cs="Arial"/>
        </w:rPr>
        <w:t xml:space="preserve">where </w:t>
      </w:r>
      <w:r w:rsidR="00A83459" w:rsidRPr="002A75F2">
        <w:rPr>
          <w:rFonts w:cs="Arial"/>
        </w:rPr>
        <w:t xml:space="preserve">the </w:t>
      </w:r>
      <w:r w:rsidRPr="002A75F2">
        <w:rPr>
          <w:rFonts w:cs="Arial"/>
        </w:rPr>
        <w:t xml:space="preserve">proposed use will </w:t>
      </w:r>
      <w:r w:rsidR="00A83459" w:rsidRPr="002A75F2">
        <w:rPr>
          <w:rFonts w:cs="Arial"/>
        </w:rPr>
        <w:t xml:space="preserve">remain </w:t>
      </w:r>
      <w:r w:rsidRPr="002A75F2">
        <w:rPr>
          <w:rFonts w:cs="Arial"/>
        </w:rPr>
        <w:t xml:space="preserve">commercial. </w:t>
      </w:r>
      <w:r w:rsidR="00D439FA" w:rsidRPr="002A75F2">
        <w:rPr>
          <w:rFonts w:cs="Arial"/>
        </w:rPr>
        <w:t>The QP</w:t>
      </w:r>
      <w:r w:rsidR="00D439FA" w:rsidRPr="002A75F2">
        <w:rPr>
          <w:rFonts w:cs="Arial"/>
          <w:vertAlign w:val="subscript"/>
        </w:rPr>
        <w:t>RA</w:t>
      </w:r>
      <w:r w:rsidR="00D439FA" w:rsidRPr="002A75F2">
        <w:rPr>
          <w:rFonts w:cs="Arial"/>
        </w:rPr>
        <w:t xml:space="preserve"> may find that t</w:t>
      </w:r>
      <w:r w:rsidRPr="002A75F2">
        <w:rPr>
          <w:rFonts w:cs="Arial"/>
        </w:rPr>
        <w:t xml:space="preserve">he </w:t>
      </w:r>
      <w:r w:rsidR="00C07709" w:rsidRPr="002A75F2">
        <w:rPr>
          <w:rFonts w:cs="Arial"/>
        </w:rPr>
        <w:t xml:space="preserve">use of the </w:t>
      </w:r>
      <w:r w:rsidRPr="002A75F2">
        <w:rPr>
          <w:rFonts w:cs="Arial"/>
        </w:rPr>
        <w:t xml:space="preserve">generic </w:t>
      </w:r>
      <w:r w:rsidR="00126F83" w:rsidRPr="002A75F2">
        <w:rPr>
          <w:rFonts w:cs="Arial"/>
        </w:rPr>
        <w:t>exposure</w:t>
      </w:r>
      <w:r w:rsidRPr="002A75F2">
        <w:rPr>
          <w:rFonts w:cs="Arial"/>
        </w:rPr>
        <w:t xml:space="preserve"> frequency of 5 days per week </w:t>
      </w:r>
      <w:r w:rsidR="00C07709" w:rsidRPr="002A75F2">
        <w:rPr>
          <w:rFonts w:cs="Arial"/>
        </w:rPr>
        <w:t>for this</w:t>
      </w:r>
      <w:r w:rsidR="00D439FA" w:rsidRPr="002A75F2">
        <w:rPr>
          <w:rFonts w:cs="Arial"/>
        </w:rPr>
        <w:t xml:space="preserve"> type of </w:t>
      </w:r>
      <w:r w:rsidR="00C07709" w:rsidRPr="002A75F2">
        <w:rPr>
          <w:rFonts w:cs="Arial"/>
        </w:rPr>
        <w:t xml:space="preserve">receptor </w:t>
      </w:r>
      <w:r w:rsidRPr="002A75F2">
        <w:rPr>
          <w:rFonts w:cs="Arial"/>
        </w:rPr>
        <w:t>may be overly conservative</w:t>
      </w:r>
      <w:r w:rsidR="00C07709" w:rsidRPr="002A75F2">
        <w:rPr>
          <w:rFonts w:cs="Arial"/>
        </w:rPr>
        <w:t xml:space="preserve"> for this scenario</w:t>
      </w:r>
      <w:r w:rsidR="004F1FB0" w:rsidRPr="002A75F2">
        <w:rPr>
          <w:rFonts w:cs="Arial"/>
        </w:rPr>
        <w:t>,</w:t>
      </w:r>
      <w:r w:rsidR="003272DE" w:rsidRPr="002A75F2">
        <w:rPr>
          <w:rFonts w:cs="Arial"/>
        </w:rPr>
        <w:t xml:space="preserve"> at the RA pro</w:t>
      </w:r>
      <w:r w:rsidR="004F1FB0" w:rsidRPr="002A75F2">
        <w:rPr>
          <w:rFonts w:cs="Arial"/>
        </w:rPr>
        <w:t>p</w:t>
      </w:r>
      <w:r w:rsidR="003272DE" w:rsidRPr="002A75F2">
        <w:rPr>
          <w:rFonts w:cs="Arial"/>
        </w:rPr>
        <w:t>erty</w:t>
      </w:r>
      <w:r w:rsidR="00C07709" w:rsidRPr="002A75F2">
        <w:rPr>
          <w:rFonts w:cs="Arial"/>
        </w:rPr>
        <w:t>.</w:t>
      </w:r>
    </w:p>
    <w:p w14:paraId="4D7477AB" w14:textId="295AE10A" w:rsidR="00D615B4" w:rsidRPr="002A75F2" w:rsidRDefault="00D615B4" w:rsidP="00083882">
      <w:pPr>
        <w:rPr>
          <w:rFonts w:cs="Arial"/>
        </w:rPr>
      </w:pPr>
      <w:r w:rsidRPr="002A75F2">
        <w:rPr>
          <w:rFonts w:cs="Arial"/>
        </w:rPr>
        <w:t xml:space="preserve">It should be noted that while the effects from exposure to threshold contaminants are directly associated with the period of time an individual spends in a contaminated site, the effects from exposure to non-threshold contaminants assume continuous lifetime exposures. A cancer risk level cannot be calculated if both the exposure concentration and the oral slope factor or inhalation unit risk are not based on continuous lifetime exposure since it is assumed that a threshold for adverse effects may not exist. Therefore, exposure durations cannot be modified </w:t>
      </w:r>
      <w:r w:rsidRPr="002A75F2">
        <w:rPr>
          <w:rFonts w:cs="Arial"/>
        </w:rPr>
        <w:lastRenderedPageBreak/>
        <w:t>for exposure calculations with non-threshold COCs by assuming that a period of “no exposure” occurred before or after an exposure period.</w:t>
      </w:r>
    </w:p>
    <w:p w14:paraId="081FC346" w14:textId="3217BBB1" w:rsidR="00D615B4" w:rsidRPr="002A75F2" w:rsidRDefault="00D615B4" w:rsidP="00083882">
      <w:pPr>
        <w:rPr>
          <w:rFonts w:cs="Arial"/>
        </w:rPr>
      </w:pPr>
      <w:r w:rsidRPr="002A75F2">
        <w:rPr>
          <w:rFonts w:cs="Arial"/>
        </w:rPr>
        <w:t xml:space="preserve">It should also be noted that </w:t>
      </w:r>
      <w:r w:rsidR="00FA569C" w:rsidRPr="002A75F2">
        <w:rPr>
          <w:rFonts w:cs="Arial"/>
        </w:rPr>
        <w:t xml:space="preserve">it is reasonable to expect that </w:t>
      </w:r>
      <w:r w:rsidRPr="002A75F2">
        <w:rPr>
          <w:rFonts w:cs="Arial"/>
        </w:rPr>
        <w:t xml:space="preserve">residents live on their property their whole lives and, if residents move, they could move near their old residence or move to another </w:t>
      </w:r>
      <w:r w:rsidR="00FA569C" w:rsidRPr="002A75F2">
        <w:rPr>
          <w:rFonts w:cs="Arial"/>
        </w:rPr>
        <w:t xml:space="preserve">site which </w:t>
      </w:r>
      <w:r w:rsidR="002441C8" w:rsidRPr="002A75F2">
        <w:rPr>
          <w:rFonts w:cs="Arial"/>
        </w:rPr>
        <w:t xml:space="preserve">may </w:t>
      </w:r>
      <w:r w:rsidR="004F5743" w:rsidRPr="002A75F2">
        <w:rPr>
          <w:rFonts w:cs="Arial"/>
        </w:rPr>
        <w:t>have similar contaminant concentrations</w:t>
      </w:r>
      <w:r w:rsidR="00FA569C" w:rsidRPr="002A75F2">
        <w:rPr>
          <w:rFonts w:cs="Arial"/>
        </w:rPr>
        <w:t>.</w:t>
      </w:r>
      <w:r w:rsidRPr="002A75F2">
        <w:rPr>
          <w:rFonts w:cs="Arial"/>
        </w:rPr>
        <w:t xml:space="preserve"> Therefore, applying shorter exposure durations than lifetime for residential properties </w:t>
      </w:r>
      <w:r w:rsidR="003A2E21" w:rsidRPr="002A75F2">
        <w:rPr>
          <w:rFonts w:cs="Arial"/>
        </w:rPr>
        <w:t>is</w:t>
      </w:r>
      <w:r w:rsidRPr="002A75F2">
        <w:rPr>
          <w:rFonts w:cs="Arial"/>
        </w:rPr>
        <w:t xml:space="preserve"> not </w:t>
      </w:r>
      <w:r w:rsidR="003A2E21" w:rsidRPr="002A75F2">
        <w:rPr>
          <w:rFonts w:cs="Arial"/>
        </w:rPr>
        <w:t xml:space="preserve">considered to </w:t>
      </w:r>
      <w:r w:rsidR="00C47111" w:rsidRPr="002A75F2">
        <w:rPr>
          <w:rFonts w:cs="Arial"/>
        </w:rPr>
        <w:t>be appropriate</w:t>
      </w:r>
      <w:r w:rsidR="003A2E21" w:rsidRPr="002A75F2">
        <w:rPr>
          <w:rFonts w:cs="Arial"/>
        </w:rPr>
        <w:t xml:space="preserve"> under the Regulation</w:t>
      </w:r>
      <w:r w:rsidRPr="002A75F2">
        <w:rPr>
          <w:rFonts w:cs="Arial"/>
        </w:rPr>
        <w:t>.</w:t>
      </w:r>
    </w:p>
    <w:p w14:paraId="45931A56" w14:textId="7188C9E6" w:rsidR="007D72E7" w:rsidRPr="002A75F2" w:rsidRDefault="007D72E7" w:rsidP="00DE496B">
      <w:pPr>
        <w:pStyle w:val="Heading3"/>
        <w:rPr>
          <w:rFonts w:cs="Arial"/>
        </w:rPr>
      </w:pPr>
      <w:bookmarkStart w:id="197" w:name="_Toc41905698"/>
      <w:r w:rsidRPr="002A75F2">
        <w:rPr>
          <w:rFonts w:cs="Arial"/>
        </w:rPr>
        <w:t xml:space="preserve">Selecting </w:t>
      </w:r>
      <w:r w:rsidR="00D469DE" w:rsidRPr="002A75F2">
        <w:rPr>
          <w:rFonts w:cs="Arial"/>
        </w:rPr>
        <w:t>Exposure Point Concentrations</w:t>
      </w:r>
      <w:r w:rsidRPr="002A75F2">
        <w:rPr>
          <w:rFonts w:cs="Arial"/>
        </w:rPr>
        <w:t xml:space="preserve"> for Soil and Groundwater</w:t>
      </w:r>
      <w:bookmarkEnd w:id="197"/>
    </w:p>
    <w:p w14:paraId="37664124" w14:textId="53884519" w:rsidR="007D72E7" w:rsidRPr="002A75F2" w:rsidRDefault="007D72E7" w:rsidP="00083882">
      <w:pPr>
        <w:rPr>
          <w:rFonts w:cs="Arial"/>
        </w:rPr>
      </w:pPr>
      <w:r w:rsidRPr="002A75F2">
        <w:rPr>
          <w:rFonts w:cs="Arial"/>
        </w:rPr>
        <w:t xml:space="preserve">Because </w:t>
      </w:r>
      <w:r w:rsidR="004E7967" w:rsidRPr="002A75F2">
        <w:rPr>
          <w:rFonts w:cs="Arial"/>
        </w:rPr>
        <w:t xml:space="preserve">the </w:t>
      </w:r>
      <w:r w:rsidR="00D64A63" w:rsidRPr="002A75F2">
        <w:rPr>
          <w:rFonts w:cs="Arial"/>
        </w:rPr>
        <w:t>property specific standards</w:t>
      </w:r>
      <w:r w:rsidR="004E7967" w:rsidRPr="002A75F2">
        <w:rPr>
          <w:rFonts w:cs="Arial"/>
        </w:rPr>
        <w:t xml:space="preserve"> cannot be exceeded at the time of RSC filing (the Environmental Site Registry requires that the maximum concentration measured at the property be reported when submitting the RSC and this value cannot exceed </w:t>
      </w:r>
      <w:r w:rsidR="00D64A63" w:rsidRPr="002A75F2">
        <w:rPr>
          <w:rFonts w:cs="Arial"/>
        </w:rPr>
        <w:t>its respective</w:t>
      </w:r>
      <w:r w:rsidR="004E7967" w:rsidRPr="002A75F2">
        <w:rPr>
          <w:rFonts w:cs="Arial"/>
        </w:rPr>
        <w:t xml:space="preserve"> </w:t>
      </w:r>
      <w:r w:rsidR="00D64A63" w:rsidRPr="002A75F2">
        <w:rPr>
          <w:rFonts w:cs="Arial"/>
        </w:rPr>
        <w:t>property specific standard</w:t>
      </w:r>
      <w:r w:rsidR="004E7967" w:rsidRPr="002A75F2">
        <w:rPr>
          <w:rFonts w:cs="Arial"/>
        </w:rPr>
        <w:t xml:space="preserve">) and risks at the </w:t>
      </w:r>
      <w:r w:rsidR="00D64A63" w:rsidRPr="002A75F2">
        <w:rPr>
          <w:rFonts w:cs="Arial"/>
        </w:rPr>
        <w:t>property specific standard</w:t>
      </w:r>
      <w:r w:rsidR="004E7967" w:rsidRPr="002A75F2">
        <w:rPr>
          <w:rFonts w:cs="Arial"/>
        </w:rPr>
        <w:t xml:space="preserve"> must also be </w:t>
      </w:r>
      <w:r w:rsidRPr="002A75F2">
        <w:rPr>
          <w:rFonts w:cs="Arial"/>
        </w:rPr>
        <w:t>characteriz</w:t>
      </w:r>
      <w:r w:rsidR="004E7967" w:rsidRPr="002A75F2">
        <w:rPr>
          <w:rFonts w:cs="Arial"/>
        </w:rPr>
        <w:t xml:space="preserve">ed, </w:t>
      </w:r>
      <w:r w:rsidRPr="002A75F2">
        <w:rPr>
          <w:rFonts w:cs="Arial"/>
        </w:rPr>
        <w:t xml:space="preserve">the </w:t>
      </w:r>
      <w:r w:rsidR="006C4301" w:rsidRPr="002A75F2">
        <w:rPr>
          <w:rFonts w:cs="Arial"/>
        </w:rPr>
        <w:t>risk assessment</w:t>
      </w:r>
      <w:r w:rsidRPr="002A75F2">
        <w:rPr>
          <w:rFonts w:cs="Arial"/>
        </w:rPr>
        <w:t xml:space="preserve"> will </w:t>
      </w:r>
      <w:r w:rsidR="00783291" w:rsidRPr="002A75F2">
        <w:rPr>
          <w:rFonts w:cs="Arial"/>
        </w:rPr>
        <w:t>usually</w:t>
      </w:r>
      <w:r w:rsidRPr="002A75F2">
        <w:rPr>
          <w:rFonts w:cs="Arial"/>
        </w:rPr>
        <w:t xml:space="preserve"> select the max</w:t>
      </w:r>
      <w:r w:rsidR="004E7967" w:rsidRPr="002A75F2">
        <w:rPr>
          <w:rFonts w:cs="Arial"/>
        </w:rPr>
        <w:t xml:space="preserve">imum </w:t>
      </w:r>
      <w:r w:rsidRPr="002A75F2">
        <w:rPr>
          <w:rFonts w:cs="Arial"/>
        </w:rPr>
        <w:t>measured concentration (or the max</w:t>
      </w:r>
      <w:r w:rsidR="004E7967" w:rsidRPr="002A75F2">
        <w:rPr>
          <w:rFonts w:cs="Arial"/>
        </w:rPr>
        <w:t>imum</w:t>
      </w:r>
      <w:r w:rsidRPr="002A75F2">
        <w:rPr>
          <w:rFonts w:cs="Arial"/>
        </w:rPr>
        <w:t xml:space="preserve"> + 20%) as the </w:t>
      </w:r>
      <w:r w:rsidR="00D469DE" w:rsidRPr="002A75F2">
        <w:rPr>
          <w:rFonts w:cs="Arial"/>
        </w:rPr>
        <w:t xml:space="preserve">exposure point concentration (EPC) in </w:t>
      </w:r>
      <w:r w:rsidRPr="002A75F2">
        <w:rPr>
          <w:rFonts w:cs="Arial"/>
        </w:rPr>
        <w:t xml:space="preserve">soil </w:t>
      </w:r>
      <w:r w:rsidR="00D469DE" w:rsidRPr="002A75F2">
        <w:rPr>
          <w:rFonts w:cs="Arial"/>
        </w:rPr>
        <w:t>and</w:t>
      </w:r>
      <w:r w:rsidRPr="002A75F2">
        <w:rPr>
          <w:rFonts w:cs="Arial"/>
        </w:rPr>
        <w:t xml:space="preserve"> </w:t>
      </w:r>
      <w:r w:rsidR="004E7967" w:rsidRPr="002A75F2">
        <w:rPr>
          <w:rFonts w:cs="Arial"/>
        </w:rPr>
        <w:t xml:space="preserve">groundwater. </w:t>
      </w:r>
      <w:r w:rsidR="00916C37" w:rsidRPr="002A75F2">
        <w:rPr>
          <w:rFonts w:cs="Arial"/>
        </w:rPr>
        <w:t>In most cases, this approach is expected to be sufficient to meet the objectives of the risk assessment.</w:t>
      </w:r>
    </w:p>
    <w:p w14:paraId="68DDCB22" w14:textId="25EE5C4D" w:rsidR="00CE2C5A" w:rsidRPr="002A75F2" w:rsidRDefault="00916C37" w:rsidP="00083882">
      <w:pPr>
        <w:rPr>
          <w:rFonts w:cs="Arial"/>
        </w:rPr>
      </w:pPr>
      <w:r w:rsidRPr="002A75F2">
        <w:rPr>
          <w:rFonts w:cs="Arial"/>
        </w:rPr>
        <w:t xml:space="preserve">However, </w:t>
      </w:r>
      <w:r w:rsidR="003467AD" w:rsidRPr="002A75F2">
        <w:rPr>
          <w:rFonts w:cs="Arial"/>
        </w:rPr>
        <w:t xml:space="preserve">in some cases, </w:t>
      </w:r>
      <w:r w:rsidR="00CE2C5A" w:rsidRPr="002A75F2">
        <w:rPr>
          <w:rFonts w:cs="Arial"/>
        </w:rPr>
        <w:t>the QP</w:t>
      </w:r>
      <w:r w:rsidR="00CE2C5A" w:rsidRPr="002A75F2">
        <w:rPr>
          <w:rFonts w:cs="Arial"/>
          <w:vertAlign w:val="subscript"/>
        </w:rPr>
        <w:t>RA</w:t>
      </w:r>
      <w:r w:rsidR="00CE2C5A" w:rsidRPr="002A75F2">
        <w:rPr>
          <w:rFonts w:cs="Arial"/>
        </w:rPr>
        <w:t xml:space="preserve"> may </w:t>
      </w:r>
      <w:r w:rsidR="002C5965" w:rsidRPr="002A75F2">
        <w:rPr>
          <w:rFonts w:cs="Arial"/>
        </w:rPr>
        <w:t xml:space="preserve">wish to </w:t>
      </w:r>
      <w:r w:rsidR="00CE2C5A" w:rsidRPr="002A75F2">
        <w:rPr>
          <w:rFonts w:cs="Arial"/>
        </w:rPr>
        <w:t>further refine the exposure assessment by considering other scenarios</w:t>
      </w:r>
      <w:r w:rsidR="00E1761C" w:rsidRPr="002A75F2">
        <w:rPr>
          <w:rFonts w:cs="Arial"/>
        </w:rPr>
        <w:t xml:space="preserve"> (in addition to the </w:t>
      </w:r>
      <w:r w:rsidR="002C5965" w:rsidRPr="002A75F2">
        <w:rPr>
          <w:rFonts w:cs="Arial"/>
        </w:rPr>
        <w:t xml:space="preserve">one described </w:t>
      </w:r>
      <w:r w:rsidR="00E1761C" w:rsidRPr="002A75F2">
        <w:rPr>
          <w:rFonts w:cs="Arial"/>
        </w:rPr>
        <w:t>above)</w:t>
      </w:r>
      <w:r w:rsidR="00CE2C5A" w:rsidRPr="002A75F2">
        <w:rPr>
          <w:rFonts w:cs="Arial"/>
        </w:rPr>
        <w:t xml:space="preserve">, </w:t>
      </w:r>
      <w:r w:rsidR="00E1761C" w:rsidRPr="002A75F2">
        <w:rPr>
          <w:rFonts w:cs="Arial"/>
        </w:rPr>
        <w:t xml:space="preserve">by deriving </w:t>
      </w:r>
      <w:r w:rsidR="00CE2C5A" w:rsidRPr="002A75F2">
        <w:rPr>
          <w:rFonts w:cs="Arial"/>
        </w:rPr>
        <w:t>EPCs by other means</w:t>
      </w:r>
      <w:r w:rsidRPr="002A75F2">
        <w:rPr>
          <w:rFonts w:cs="Arial"/>
        </w:rPr>
        <w:t xml:space="preserve"> (e.g. 95</w:t>
      </w:r>
      <w:r w:rsidRPr="002A75F2">
        <w:rPr>
          <w:rFonts w:cs="Arial"/>
          <w:vertAlign w:val="superscript"/>
        </w:rPr>
        <w:t>th</w:t>
      </w:r>
      <w:r w:rsidRPr="002A75F2">
        <w:rPr>
          <w:rFonts w:cs="Arial"/>
        </w:rPr>
        <w:t xml:space="preserve"> percentile, 95% UCLM).</w:t>
      </w:r>
    </w:p>
    <w:p w14:paraId="1FC6B504" w14:textId="77777777" w:rsidR="00A351B5" w:rsidRPr="002A75F2" w:rsidRDefault="000D4BEF" w:rsidP="00083882">
      <w:pPr>
        <w:rPr>
          <w:rFonts w:cs="Arial"/>
        </w:rPr>
      </w:pPr>
      <w:r w:rsidRPr="002A75F2">
        <w:rPr>
          <w:rFonts w:cs="Arial"/>
        </w:rPr>
        <w:t xml:space="preserve">Important </w:t>
      </w:r>
      <w:r w:rsidR="00A351B5" w:rsidRPr="002A75F2">
        <w:rPr>
          <w:rFonts w:cs="Arial"/>
        </w:rPr>
        <w:t xml:space="preserve">considerations when </w:t>
      </w:r>
      <w:r w:rsidRPr="002A75F2">
        <w:rPr>
          <w:rFonts w:cs="Arial"/>
        </w:rPr>
        <w:t xml:space="preserve">evaluating the feasibility of this </w:t>
      </w:r>
      <w:r w:rsidR="00A351B5" w:rsidRPr="002A75F2">
        <w:rPr>
          <w:rFonts w:cs="Arial"/>
        </w:rPr>
        <w:t>approach</w:t>
      </w:r>
      <w:r w:rsidRPr="002A75F2">
        <w:rPr>
          <w:rFonts w:cs="Arial"/>
        </w:rPr>
        <w:t xml:space="preserve"> include the following</w:t>
      </w:r>
      <w:r w:rsidR="00A351B5" w:rsidRPr="002A75F2">
        <w:rPr>
          <w:rFonts w:cs="Arial"/>
        </w:rPr>
        <w:t>:</w:t>
      </w:r>
    </w:p>
    <w:p w14:paraId="251B0FE1" w14:textId="1548D6CB" w:rsidR="00A351B5" w:rsidRPr="002A75F2" w:rsidRDefault="00E1761C" w:rsidP="00A351B5">
      <w:pPr>
        <w:numPr>
          <w:ilvl w:val="0"/>
          <w:numId w:val="36"/>
        </w:numPr>
        <w:rPr>
          <w:rFonts w:cs="Arial"/>
        </w:rPr>
      </w:pPr>
      <w:r w:rsidRPr="002A75F2">
        <w:rPr>
          <w:rFonts w:cs="Arial"/>
        </w:rPr>
        <w:t>For each receptor</w:t>
      </w:r>
      <w:r w:rsidR="00201A0B" w:rsidRPr="002A75F2">
        <w:rPr>
          <w:rFonts w:cs="Arial"/>
        </w:rPr>
        <w:t xml:space="preserve"> where this approach is used</w:t>
      </w:r>
      <w:r w:rsidRPr="002A75F2">
        <w:rPr>
          <w:rFonts w:cs="Arial"/>
        </w:rPr>
        <w:t>, a</w:t>
      </w:r>
      <w:r w:rsidR="004F5743" w:rsidRPr="002A75F2">
        <w:rPr>
          <w:rFonts w:cs="Arial"/>
        </w:rPr>
        <w:t>n</w:t>
      </w:r>
      <w:r w:rsidRPr="002A75F2">
        <w:rPr>
          <w:rFonts w:cs="Arial"/>
        </w:rPr>
        <w:t xml:space="preserve"> </w:t>
      </w:r>
      <w:r w:rsidR="00A351B5" w:rsidRPr="002A75F2">
        <w:rPr>
          <w:rFonts w:cs="Arial"/>
        </w:rPr>
        <w:t xml:space="preserve">exposure unit will need to be clearly defined. </w:t>
      </w:r>
      <w:r w:rsidR="000D4BEF" w:rsidRPr="002A75F2">
        <w:rPr>
          <w:rFonts w:cs="Arial"/>
        </w:rPr>
        <w:t xml:space="preserve">The exposure unit is </w:t>
      </w:r>
      <w:r w:rsidR="002F0F82" w:rsidRPr="002A75F2">
        <w:rPr>
          <w:rFonts w:cs="Arial"/>
        </w:rPr>
        <w:t xml:space="preserve">defined in </w:t>
      </w:r>
      <w:r w:rsidR="00296D5D" w:rsidRPr="002A75F2">
        <w:rPr>
          <w:rFonts w:cs="Arial"/>
        </w:rPr>
        <w:t xml:space="preserve">the US EPA’s </w:t>
      </w:r>
      <w:r w:rsidR="002F0F82" w:rsidRPr="002A75F2">
        <w:rPr>
          <w:rFonts w:cs="Arial"/>
        </w:rPr>
        <w:t>RAGS (Volume 3, Part A, 2001) as: “</w:t>
      </w:r>
      <w:r w:rsidR="000D4BEF" w:rsidRPr="002A75F2">
        <w:rPr>
          <w:rFonts w:cs="Arial"/>
        </w:rPr>
        <w:t xml:space="preserve">the area throughout which a receptor moves </w:t>
      </w:r>
      <w:r w:rsidR="00B44C36" w:rsidRPr="002A75F2">
        <w:rPr>
          <w:rFonts w:cs="Arial"/>
        </w:rPr>
        <w:t>for</w:t>
      </w:r>
      <w:r w:rsidR="000D4BEF" w:rsidRPr="002A75F2">
        <w:rPr>
          <w:rFonts w:cs="Arial"/>
        </w:rPr>
        <w:t xml:space="preserve"> the duration of the exposure</w:t>
      </w:r>
      <w:r w:rsidR="002F0F82" w:rsidRPr="002A75F2">
        <w:rPr>
          <w:rFonts w:cs="Arial"/>
        </w:rPr>
        <w:t>”</w:t>
      </w:r>
      <w:r w:rsidR="000D4BEF" w:rsidRPr="002A75F2">
        <w:rPr>
          <w:rFonts w:cs="Arial"/>
        </w:rPr>
        <w:t xml:space="preserve">. </w:t>
      </w:r>
      <w:r w:rsidR="00EA1E6D" w:rsidRPr="002A75F2">
        <w:rPr>
          <w:rFonts w:cs="Arial"/>
        </w:rPr>
        <w:t xml:space="preserve">Note that under a </w:t>
      </w:r>
      <w:r w:rsidR="00F43E9C" w:rsidRPr="002A75F2">
        <w:rPr>
          <w:rFonts w:cs="Arial"/>
        </w:rPr>
        <w:t>brownfield</w:t>
      </w:r>
      <w:r w:rsidR="00EA1E6D" w:rsidRPr="002A75F2">
        <w:rPr>
          <w:rFonts w:cs="Arial"/>
        </w:rPr>
        <w:t xml:space="preserve"> redevelopment scenario, t</w:t>
      </w:r>
      <w:r w:rsidRPr="002A75F2">
        <w:rPr>
          <w:rFonts w:cs="Arial"/>
        </w:rPr>
        <w:t xml:space="preserve">his approach may </w:t>
      </w:r>
      <w:r w:rsidR="00A351B5" w:rsidRPr="002A75F2">
        <w:rPr>
          <w:rFonts w:cs="Arial"/>
        </w:rPr>
        <w:t>not be appropriate (or viable) for receptors that have smaller exposure units (e.g. toddlers, residents).</w:t>
      </w:r>
    </w:p>
    <w:p w14:paraId="1A3CF1C6" w14:textId="77777777" w:rsidR="00A351B5" w:rsidRPr="002A75F2" w:rsidRDefault="00E1761C" w:rsidP="00A351B5">
      <w:pPr>
        <w:numPr>
          <w:ilvl w:val="0"/>
          <w:numId w:val="36"/>
        </w:numPr>
        <w:rPr>
          <w:rFonts w:cs="Arial"/>
        </w:rPr>
      </w:pPr>
      <w:r w:rsidRPr="002A75F2">
        <w:rPr>
          <w:rFonts w:cs="Arial"/>
        </w:rPr>
        <w:t xml:space="preserve">The ESA work completed for </w:t>
      </w:r>
      <w:r w:rsidR="000D4BEF" w:rsidRPr="002A75F2">
        <w:rPr>
          <w:rFonts w:cs="Arial"/>
        </w:rPr>
        <w:t xml:space="preserve">the </w:t>
      </w:r>
      <w:r w:rsidRPr="002A75F2">
        <w:rPr>
          <w:rFonts w:cs="Arial"/>
        </w:rPr>
        <w:t xml:space="preserve">RA property must be adequate to </w:t>
      </w:r>
      <w:r w:rsidR="00F83A21" w:rsidRPr="002A75F2">
        <w:rPr>
          <w:rFonts w:cs="Arial"/>
        </w:rPr>
        <w:t>support this approach (e.g. the resolution of the environmental measurement data must align with the</w:t>
      </w:r>
      <w:r w:rsidRPr="002A75F2">
        <w:rPr>
          <w:rFonts w:cs="Arial"/>
        </w:rPr>
        <w:t xml:space="preserve"> receptor’s exposure unit</w:t>
      </w:r>
      <w:r w:rsidR="00F83A21" w:rsidRPr="002A75F2">
        <w:rPr>
          <w:rFonts w:cs="Arial"/>
        </w:rPr>
        <w:t>)</w:t>
      </w:r>
      <w:r w:rsidRPr="002A75F2">
        <w:rPr>
          <w:rFonts w:cs="Arial"/>
        </w:rPr>
        <w:t>.</w:t>
      </w:r>
    </w:p>
    <w:p w14:paraId="2F13F3E6" w14:textId="77777777" w:rsidR="000A696A" w:rsidRPr="002A75F2" w:rsidRDefault="000A696A" w:rsidP="00A351B5">
      <w:pPr>
        <w:numPr>
          <w:ilvl w:val="0"/>
          <w:numId w:val="36"/>
        </w:numPr>
        <w:rPr>
          <w:rFonts w:cs="Arial"/>
        </w:rPr>
      </w:pPr>
      <w:r w:rsidRPr="002A75F2">
        <w:rPr>
          <w:rFonts w:cs="Arial"/>
        </w:rPr>
        <w:t>This appr</w:t>
      </w:r>
      <w:r w:rsidR="00206201" w:rsidRPr="002A75F2">
        <w:rPr>
          <w:rFonts w:cs="Arial"/>
        </w:rPr>
        <w:t xml:space="preserve">oach is </w:t>
      </w:r>
      <w:r w:rsidRPr="002A75F2">
        <w:rPr>
          <w:rFonts w:cs="Arial"/>
        </w:rPr>
        <w:t>not recommended when assessing</w:t>
      </w:r>
      <w:r w:rsidR="00206201" w:rsidRPr="002A75F2">
        <w:rPr>
          <w:rFonts w:cs="Arial"/>
        </w:rPr>
        <w:t xml:space="preserve"> the </w:t>
      </w:r>
      <w:proofErr w:type="spellStart"/>
      <w:r w:rsidRPr="002A75F2">
        <w:rPr>
          <w:rFonts w:cs="Arial"/>
        </w:rPr>
        <w:t>vapour</w:t>
      </w:r>
      <w:proofErr w:type="spellEnd"/>
      <w:r w:rsidRPr="002A75F2">
        <w:rPr>
          <w:rFonts w:cs="Arial"/>
        </w:rPr>
        <w:t xml:space="preserve"> </w:t>
      </w:r>
      <w:r w:rsidR="00206201" w:rsidRPr="002A75F2">
        <w:rPr>
          <w:rFonts w:cs="Arial"/>
        </w:rPr>
        <w:t>intrusion or drinking water pathways.</w:t>
      </w:r>
    </w:p>
    <w:p w14:paraId="2B809686" w14:textId="77777777" w:rsidR="00E1761C" w:rsidRPr="002A75F2" w:rsidRDefault="00E1761C" w:rsidP="00A351B5">
      <w:pPr>
        <w:numPr>
          <w:ilvl w:val="0"/>
          <w:numId w:val="36"/>
        </w:numPr>
        <w:rPr>
          <w:rFonts w:cs="Arial"/>
        </w:rPr>
      </w:pPr>
      <w:r w:rsidRPr="002A75F2">
        <w:rPr>
          <w:rFonts w:cs="Arial"/>
        </w:rPr>
        <w:t>Contami</w:t>
      </w:r>
      <w:r w:rsidR="000D4BEF" w:rsidRPr="002A75F2">
        <w:rPr>
          <w:rFonts w:cs="Arial"/>
        </w:rPr>
        <w:t>n</w:t>
      </w:r>
      <w:r w:rsidRPr="002A75F2">
        <w:rPr>
          <w:rFonts w:cs="Arial"/>
        </w:rPr>
        <w:t>ant hotspots (</w:t>
      </w:r>
      <w:r w:rsidR="002E74AA" w:rsidRPr="002A75F2">
        <w:rPr>
          <w:rFonts w:cs="Arial"/>
        </w:rPr>
        <w:t xml:space="preserve">or </w:t>
      </w:r>
      <w:r w:rsidRPr="002A75F2">
        <w:rPr>
          <w:rFonts w:cs="Arial"/>
        </w:rPr>
        <w:t xml:space="preserve">areas </w:t>
      </w:r>
      <w:r w:rsidR="00047CA8" w:rsidRPr="002A75F2">
        <w:rPr>
          <w:rFonts w:cs="Arial"/>
        </w:rPr>
        <w:t xml:space="preserve">of the RA property that are </w:t>
      </w:r>
      <w:r w:rsidRPr="002A75F2">
        <w:rPr>
          <w:rFonts w:cs="Arial"/>
        </w:rPr>
        <w:t xml:space="preserve">above risk-based health standards) may still require further remediation </w:t>
      </w:r>
      <w:r w:rsidR="000D4BEF" w:rsidRPr="002A75F2">
        <w:rPr>
          <w:rFonts w:cs="Arial"/>
        </w:rPr>
        <w:t>and/</w:t>
      </w:r>
      <w:r w:rsidRPr="002A75F2">
        <w:rPr>
          <w:rFonts w:cs="Arial"/>
        </w:rPr>
        <w:t xml:space="preserve">or risk </w:t>
      </w:r>
      <w:r w:rsidR="00783291" w:rsidRPr="002A75F2">
        <w:rPr>
          <w:rFonts w:cs="Arial"/>
        </w:rPr>
        <w:t>management</w:t>
      </w:r>
      <w:r w:rsidRPr="002A75F2">
        <w:rPr>
          <w:rFonts w:cs="Arial"/>
        </w:rPr>
        <w:t>.</w:t>
      </w:r>
    </w:p>
    <w:p w14:paraId="7F1B4F98" w14:textId="77777777" w:rsidR="00913BBE" w:rsidRPr="002A75F2" w:rsidRDefault="00913BBE" w:rsidP="00B106DE">
      <w:pPr>
        <w:rPr>
          <w:rFonts w:cs="Arial"/>
        </w:rPr>
      </w:pPr>
      <w:bookmarkStart w:id="198" w:name="_Hlk36200401"/>
      <w:r w:rsidRPr="002A75F2">
        <w:rPr>
          <w:rFonts w:cs="Arial"/>
        </w:rPr>
        <w:t xml:space="preserve">The software used </w:t>
      </w:r>
      <w:r w:rsidR="00D77766" w:rsidRPr="002A75F2">
        <w:rPr>
          <w:rFonts w:cs="Arial"/>
        </w:rPr>
        <w:t>to derive EPCs</w:t>
      </w:r>
      <w:r w:rsidR="00E15E33" w:rsidRPr="002A75F2">
        <w:rPr>
          <w:rFonts w:cs="Arial"/>
        </w:rPr>
        <w:t xml:space="preserve"> must be clearly identified (e.g. US EPA’s </w:t>
      </w:r>
      <w:proofErr w:type="spellStart"/>
      <w:r w:rsidR="00E15E33" w:rsidRPr="002A75F2">
        <w:rPr>
          <w:rFonts w:cs="Arial"/>
        </w:rPr>
        <w:t>ProUCL</w:t>
      </w:r>
      <w:proofErr w:type="spellEnd"/>
      <w:r w:rsidR="00E15E33" w:rsidRPr="002A75F2">
        <w:rPr>
          <w:rFonts w:cs="Arial"/>
        </w:rPr>
        <w:t xml:space="preserve">) and </w:t>
      </w:r>
      <w:r w:rsidRPr="002A75F2">
        <w:rPr>
          <w:rFonts w:cs="Arial"/>
        </w:rPr>
        <w:t>all inputs (e.g. environmental data) and outputs</w:t>
      </w:r>
      <w:r w:rsidR="00E15E33" w:rsidRPr="002A75F2">
        <w:rPr>
          <w:rFonts w:cs="Arial"/>
        </w:rPr>
        <w:t xml:space="preserve"> </w:t>
      </w:r>
      <w:r w:rsidR="00DE5F1C" w:rsidRPr="002A75F2">
        <w:rPr>
          <w:rFonts w:cs="Arial"/>
        </w:rPr>
        <w:t>must be provided in a</w:t>
      </w:r>
      <w:r w:rsidR="00783291" w:rsidRPr="002A75F2">
        <w:rPr>
          <w:rFonts w:cs="Arial"/>
        </w:rPr>
        <w:t>n</w:t>
      </w:r>
      <w:r w:rsidR="00DE5F1C" w:rsidRPr="002A75F2">
        <w:rPr>
          <w:rFonts w:cs="Arial"/>
        </w:rPr>
        <w:t xml:space="preserve"> appendix of the risk assessment</w:t>
      </w:r>
      <w:bookmarkEnd w:id="198"/>
      <w:r w:rsidR="00D77766" w:rsidRPr="002A75F2">
        <w:rPr>
          <w:rFonts w:cs="Arial"/>
        </w:rPr>
        <w:t>, for Ministry review.</w:t>
      </w:r>
    </w:p>
    <w:p w14:paraId="55C96DE8" w14:textId="2664EC22" w:rsidR="00B106DE" w:rsidRPr="002A75F2" w:rsidRDefault="00E1761C" w:rsidP="00B106DE">
      <w:pPr>
        <w:rPr>
          <w:rFonts w:cs="Arial"/>
        </w:rPr>
      </w:pPr>
      <w:r w:rsidRPr="002A75F2">
        <w:rPr>
          <w:rFonts w:cs="Arial"/>
        </w:rPr>
        <w:t xml:space="preserve">Due to the </w:t>
      </w:r>
      <w:r w:rsidR="000D4BEF" w:rsidRPr="002A75F2">
        <w:rPr>
          <w:rFonts w:cs="Arial"/>
        </w:rPr>
        <w:t>increased level of</w:t>
      </w:r>
      <w:r w:rsidRPr="002A75F2">
        <w:rPr>
          <w:rFonts w:cs="Arial"/>
        </w:rPr>
        <w:t xml:space="preserve"> complexity, </w:t>
      </w:r>
      <w:r w:rsidR="000D4BEF" w:rsidRPr="002A75F2">
        <w:rPr>
          <w:rFonts w:cs="Arial"/>
        </w:rPr>
        <w:t xml:space="preserve">additional time for Ministry review </w:t>
      </w:r>
      <w:r w:rsidR="002E74AA" w:rsidRPr="002A75F2">
        <w:rPr>
          <w:rFonts w:cs="Arial"/>
        </w:rPr>
        <w:t>will be r</w:t>
      </w:r>
      <w:r w:rsidR="00DE5F1C" w:rsidRPr="002A75F2">
        <w:rPr>
          <w:rFonts w:cs="Arial"/>
        </w:rPr>
        <w:t>e</w:t>
      </w:r>
      <w:r w:rsidR="002E74AA" w:rsidRPr="002A75F2">
        <w:rPr>
          <w:rFonts w:cs="Arial"/>
        </w:rPr>
        <w:t xml:space="preserve">quired </w:t>
      </w:r>
      <w:r w:rsidR="000D4BEF" w:rsidRPr="002A75F2">
        <w:rPr>
          <w:rFonts w:cs="Arial"/>
        </w:rPr>
        <w:t xml:space="preserve">and </w:t>
      </w:r>
      <w:r w:rsidR="002E74AA" w:rsidRPr="002A75F2">
        <w:rPr>
          <w:rFonts w:cs="Arial"/>
        </w:rPr>
        <w:t xml:space="preserve">the </w:t>
      </w:r>
      <w:r w:rsidR="006C4301" w:rsidRPr="002A75F2">
        <w:rPr>
          <w:rFonts w:cs="Arial"/>
        </w:rPr>
        <w:t>risk assessment</w:t>
      </w:r>
      <w:r w:rsidR="002E74AA" w:rsidRPr="002A75F2">
        <w:rPr>
          <w:rFonts w:cs="Arial"/>
        </w:rPr>
        <w:t xml:space="preserve"> </w:t>
      </w:r>
      <w:r w:rsidR="000D4BEF" w:rsidRPr="002A75F2">
        <w:rPr>
          <w:rFonts w:cs="Arial"/>
        </w:rPr>
        <w:t xml:space="preserve">will </w:t>
      </w:r>
      <w:r w:rsidR="00A351B5" w:rsidRPr="002A75F2">
        <w:rPr>
          <w:rFonts w:cs="Arial"/>
        </w:rPr>
        <w:t xml:space="preserve">be designated as </w:t>
      </w:r>
      <w:r w:rsidR="000D4BEF" w:rsidRPr="002A75F2">
        <w:rPr>
          <w:rFonts w:cs="Arial"/>
        </w:rPr>
        <w:t xml:space="preserve">a </w:t>
      </w:r>
      <w:r w:rsidR="00A351B5" w:rsidRPr="002A75F2">
        <w:rPr>
          <w:rFonts w:cs="Arial"/>
        </w:rPr>
        <w:t xml:space="preserve">new science </w:t>
      </w:r>
      <w:r w:rsidR="006C4301" w:rsidRPr="002A75F2">
        <w:rPr>
          <w:rFonts w:cs="Arial"/>
        </w:rPr>
        <w:t>risk assessment</w:t>
      </w:r>
      <w:r w:rsidR="00A351B5" w:rsidRPr="002A75F2">
        <w:rPr>
          <w:rFonts w:cs="Arial"/>
        </w:rPr>
        <w:t>.</w:t>
      </w:r>
      <w:r w:rsidR="00FC520B" w:rsidRPr="002A75F2">
        <w:rPr>
          <w:rFonts w:cs="Arial"/>
        </w:rPr>
        <w:t xml:space="preserve"> </w:t>
      </w:r>
      <w:r w:rsidR="00B106DE" w:rsidRPr="002A75F2">
        <w:rPr>
          <w:rFonts w:cs="Arial"/>
        </w:rPr>
        <w:t xml:space="preserve">Additional </w:t>
      </w:r>
      <w:r w:rsidR="00FC520B" w:rsidRPr="002A75F2">
        <w:rPr>
          <w:rFonts w:cs="Arial"/>
        </w:rPr>
        <w:t xml:space="preserve">technical </w:t>
      </w:r>
      <w:r w:rsidR="00B106DE" w:rsidRPr="002A75F2">
        <w:rPr>
          <w:rFonts w:cs="Arial"/>
        </w:rPr>
        <w:t xml:space="preserve">guidance can be found in </w:t>
      </w:r>
      <w:r w:rsidR="00206201" w:rsidRPr="002A75F2">
        <w:rPr>
          <w:rFonts w:cs="Arial"/>
        </w:rPr>
        <w:t>the US EPA’s RAGS</w:t>
      </w:r>
      <w:r w:rsidR="00B106DE" w:rsidRPr="002A75F2">
        <w:rPr>
          <w:rFonts w:cs="Arial"/>
        </w:rPr>
        <w:t>.</w:t>
      </w:r>
    </w:p>
    <w:p w14:paraId="2B8A4881" w14:textId="1713D5C4" w:rsidR="00B736F9" w:rsidRPr="000C60E1" w:rsidRDefault="00B736F9" w:rsidP="00E6354E">
      <w:pPr>
        <w:pStyle w:val="Heading2"/>
        <w:rPr>
          <w:rFonts w:cs="Arial"/>
        </w:rPr>
      </w:pPr>
      <w:bookmarkStart w:id="199" w:name="_4.2.1_Receptor_Characteristics"/>
      <w:bookmarkStart w:id="200" w:name="_4.2.2_Pathway_Analysis"/>
      <w:bookmarkStart w:id="201" w:name="_4.3_Toxicity_Assessment"/>
      <w:bookmarkStart w:id="202" w:name="_Toc74119415"/>
      <w:bookmarkStart w:id="203" w:name="_Toc74450895"/>
      <w:bookmarkStart w:id="204" w:name="_Toc79571583"/>
      <w:bookmarkStart w:id="205" w:name="_Toc91393560"/>
      <w:bookmarkStart w:id="206" w:name="_Toc112727423"/>
      <w:bookmarkStart w:id="207" w:name="_Toc41905699"/>
      <w:bookmarkEnd w:id="199"/>
      <w:bookmarkEnd w:id="200"/>
      <w:bookmarkEnd w:id="201"/>
      <w:r w:rsidRPr="000C60E1">
        <w:rPr>
          <w:rFonts w:cs="Arial"/>
        </w:rPr>
        <w:lastRenderedPageBreak/>
        <w:t>Toxicity Assessment</w:t>
      </w:r>
      <w:bookmarkEnd w:id="202"/>
      <w:bookmarkEnd w:id="203"/>
      <w:bookmarkEnd w:id="204"/>
      <w:bookmarkEnd w:id="205"/>
      <w:bookmarkEnd w:id="206"/>
      <w:bookmarkEnd w:id="207"/>
    </w:p>
    <w:p w14:paraId="730C53ED" w14:textId="08C3ABA6" w:rsidR="00FC2AF9" w:rsidRPr="000C60E1" w:rsidRDefault="004F5743" w:rsidP="00840964">
      <w:pPr>
        <w:rPr>
          <w:rFonts w:cs="Arial"/>
        </w:rPr>
      </w:pPr>
      <w:r w:rsidRPr="000C60E1">
        <w:rPr>
          <w:rFonts w:cs="Arial"/>
        </w:rPr>
        <w:t>A t</w:t>
      </w:r>
      <w:r w:rsidR="00B736F9" w:rsidRPr="000C60E1">
        <w:rPr>
          <w:rFonts w:cs="Arial"/>
        </w:rPr>
        <w:t>oxicity assessment is the determination of the quantitative relationship between the magnitude of exposure and the probability of occurrence of a particular adverse effect, as well as the uncertainties associated with th</w:t>
      </w:r>
      <w:r w:rsidR="00DE33E0" w:rsidRPr="000C60E1">
        <w:rPr>
          <w:rFonts w:cs="Arial"/>
        </w:rPr>
        <w:t>is</w:t>
      </w:r>
      <w:r w:rsidR="00B736F9" w:rsidRPr="000C60E1">
        <w:rPr>
          <w:rFonts w:cs="Arial"/>
        </w:rPr>
        <w:t xml:space="preserve"> determination. </w:t>
      </w:r>
      <w:r w:rsidRPr="000C60E1">
        <w:rPr>
          <w:rFonts w:cs="Arial"/>
        </w:rPr>
        <w:t>A t</w:t>
      </w:r>
      <w:r w:rsidR="00B736F9" w:rsidRPr="000C60E1">
        <w:rPr>
          <w:rFonts w:cs="Arial"/>
        </w:rPr>
        <w:t xml:space="preserve">oxicity assessment is required for all COCs for which there are potential or completed exposure pathways as determined through the process described in </w:t>
      </w:r>
      <w:r w:rsidR="003A6293" w:rsidRPr="000C60E1">
        <w:rPr>
          <w:rFonts w:cs="Arial"/>
        </w:rPr>
        <w:t xml:space="preserve">Section </w:t>
      </w:r>
      <w:r w:rsidR="00B736F9" w:rsidRPr="000C60E1">
        <w:rPr>
          <w:rFonts w:cs="Arial"/>
        </w:rPr>
        <w:t>4.2</w:t>
      </w:r>
      <w:r w:rsidR="003E3C48" w:rsidRPr="000C60E1">
        <w:rPr>
          <w:rFonts w:cs="Arial"/>
        </w:rPr>
        <w:t>, regardless of whether a qualitative or quantitative approach is being used</w:t>
      </w:r>
      <w:r w:rsidR="00B736F9" w:rsidRPr="000C60E1">
        <w:rPr>
          <w:rFonts w:cs="Arial"/>
        </w:rPr>
        <w:t>.</w:t>
      </w:r>
    </w:p>
    <w:p w14:paraId="3AFCADD9" w14:textId="75F1E592" w:rsidR="00B736F9" w:rsidRPr="000C60E1" w:rsidRDefault="00B736F9" w:rsidP="00840964">
      <w:pPr>
        <w:rPr>
          <w:rFonts w:cs="Arial"/>
        </w:rPr>
      </w:pPr>
      <w:r w:rsidRPr="000C60E1">
        <w:rPr>
          <w:rFonts w:cs="Arial"/>
        </w:rPr>
        <w:t xml:space="preserve">Minimum requirements for the </w:t>
      </w:r>
      <w:r w:rsidR="0010654B" w:rsidRPr="000C60E1">
        <w:rPr>
          <w:rFonts w:cs="Arial"/>
        </w:rPr>
        <w:t xml:space="preserve">Toxicity </w:t>
      </w:r>
      <w:r w:rsidRPr="000C60E1">
        <w:rPr>
          <w:rFonts w:cs="Arial"/>
        </w:rPr>
        <w:t>Assessment component of the HHRA are provided in Table 1, 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269ED17B" w14:textId="77777777" w:rsidTr="005B40DA">
        <w:trPr>
          <w:trHeight w:val="20"/>
          <w:tblHeader/>
        </w:trPr>
        <w:tc>
          <w:tcPr>
            <w:tcW w:w="2468" w:type="dxa"/>
          </w:tcPr>
          <w:p w14:paraId="0AA63653" w14:textId="77777777" w:rsidR="00C94B3B" w:rsidRPr="000C0EF2" w:rsidRDefault="00C94B3B"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257ED57C"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0DD0CCE4"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1E510E50"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322BAB93" w14:textId="77777777" w:rsidTr="005B40DA">
        <w:trPr>
          <w:trHeight w:val="20"/>
        </w:trPr>
        <w:tc>
          <w:tcPr>
            <w:tcW w:w="2468" w:type="dxa"/>
          </w:tcPr>
          <w:p w14:paraId="35D71AED"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1830B544" w14:textId="77777777" w:rsidR="00C94B3B" w:rsidRPr="000C0EF2" w:rsidRDefault="00C94B3B" w:rsidP="000C0EF2">
            <w:pPr>
              <w:pStyle w:val="table-e"/>
              <w:spacing w:line="240" w:lineRule="auto"/>
              <w:rPr>
                <w:sz w:val="24"/>
              </w:rPr>
            </w:pPr>
            <w:r w:rsidRPr="000C0EF2">
              <w:rPr>
                <w:sz w:val="24"/>
              </w:rPr>
              <w:t xml:space="preserve">(c)  Toxicity Assessment </w:t>
            </w:r>
          </w:p>
        </w:tc>
        <w:tc>
          <w:tcPr>
            <w:tcW w:w="1839" w:type="dxa"/>
          </w:tcPr>
          <w:p w14:paraId="1FA6A9E7" w14:textId="77777777" w:rsidR="00C94B3B" w:rsidRPr="000C0EF2" w:rsidRDefault="00C94B3B"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Nature of Toxicity (Hazard Assessment)</w:t>
            </w:r>
          </w:p>
        </w:tc>
        <w:tc>
          <w:tcPr>
            <w:tcW w:w="3759" w:type="dxa"/>
          </w:tcPr>
          <w:p w14:paraId="57D0BF3C" w14:textId="77777777" w:rsidR="00C94B3B" w:rsidRPr="000C0EF2" w:rsidRDefault="00C94B3B" w:rsidP="000C0EF2">
            <w:pPr>
              <w:pStyle w:val="table-e"/>
              <w:spacing w:line="240" w:lineRule="auto"/>
              <w:rPr>
                <w:sz w:val="24"/>
              </w:rPr>
            </w:pPr>
            <w:r w:rsidRPr="000C0EF2">
              <w:rPr>
                <w:sz w:val="24"/>
              </w:rPr>
              <w:t>For each contaminant of concern,</w:t>
            </w:r>
          </w:p>
          <w:p w14:paraId="7E454319" w14:textId="77777777" w:rsidR="00C94B3B" w:rsidRPr="000C0EF2" w:rsidRDefault="00C94B3B" w:rsidP="000C0EF2">
            <w:pPr>
              <w:pStyle w:val="table-e"/>
              <w:spacing w:line="240" w:lineRule="auto"/>
              <w:rPr>
                <w:sz w:val="24"/>
              </w:rPr>
            </w:pPr>
            <w:r w:rsidRPr="000C0EF2">
              <w:rPr>
                <w:sz w:val="24"/>
              </w:rPr>
              <w:t>(a)  state the potential adverse health effects on the human receptors associated with their exposure to those contaminants; and</w:t>
            </w:r>
          </w:p>
          <w:p w14:paraId="422C2246" w14:textId="77777777" w:rsidR="00C94B3B" w:rsidRPr="000C0EF2" w:rsidRDefault="00C94B3B" w:rsidP="000C0EF2">
            <w:pPr>
              <w:pStyle w:val="table-e"/>
              <w:spacing w:line="240" w:lineRule="auto"/>
              <w:rPr>
                <w:sz w:val="24"/>
              </w:rPr>
            </w:pPr>
            <w:r w:rsidRPr="000C0EF2">
              <w:rPr>
                <w:sz w:val="24"/>
              </w:rPr>
              <w:t>(b)  indicate whether the contaminants are carcinogenic or exhibit threshold or non-threshold characteristics.</w:t>
            </w:r>
          </w:p>
        </w:tc>
      </w:tr>
      <w:tr w:rsidR="00C94B3B" w:rsidRPr="000C0EF2" w14:paraId="6EC3C7A4" w14:textId="77777777" w:rsidTr="005B40DA">
        <w:trPr>
          <w:trHeight w:val="20"/>
        </w:trPr>
        <w:tc>
          <w:tcPr>
            <w:tcW w:w="2468" w:type="dxa"/>
          </w:tcPr>
          <w:p w14:paraId="5061FF91"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5A963D5C" w14:textId="77777777" w:rsidR="00C94B3B" w:rsidRPr="000C0EF2" w:rsidRDefault="00C94B3B" w:rsidP="000C0EF2">
            <w:pPr>
              <w:pStyle w:val="table-e"/>
              <w:spacing w:line="240" w:lineRule="auto"/>
              <w:rPr>
                <w:sz w:val="24"/>
              </w:rPr>
            </w:pPr>
            <w:r w:rsidRPr="000C0EF2">
              <w:rPr>
                <w:sz w:val="24"/>
              </w:rPr>
              <w:t>(c)  Toxicity Assessment</w:t>
            </w:r>
          </w:p>
        </w:tc>
        <w:tc>
          <w:tcPr>
            <w:tcW w:w="1839" w:type="dxa"/>
          </w:tcPr>
          <w:p w14:paraId="50BCCA89" w14:textId="77777777" w:rsidR="00C94B3B" w:rsidRPr="000C0EF2" w:rsidRDefault="00C94B3B" w:rsidP="000C0EF2">
            <w:pPr>
              <w:pStyle w:val="table-e"/>
              <w:spacing w:line="240" w:lineRule="auto"/>
              <w:rPr>
                <w:sz w:val="24"/>
              </w:rPr>
            </w:pPr>
            <w:r w:rsidRPr="000C0EF2">
              <w:rPr>
                <w:sz w:val="24"/>
              </w:rPr>
              <w:t>(ii)  Dose Response Assessment</w:t>
            </w:r>
          </w:p>
          <w:p w14:paraId="75B2DAFC" w14:textId="77777777" w:rsidR="00C94B3B" w:rsidRPr="000C0EF2" w:rsidRDefault="00C94B3B" w:rsidP="000C0EF2">
            <w:pPr>
              <w:pStyle w:val="table-e"/>
              <w:spacing w:line="240" w:lineRule="auto"/>
              <w:rPr>
                <w:sz w:val="24"/>
              </w:rPr>
            </w:pPr>
          </w:p>
        </w:tc>
        <w:tc>
          <w:tcPr>
            <w:tcW w:w="3759" w:type="dxa"/>
          </w:tcPr>
          <w:p w14:paraId="6987E0FE" w14:textId="77777777" w:rsidR="00C94B3B" w:rsidRPr="000C0EF2" w:rsidRDefault="00C94B3B" w:rsidP="000C0EF2">
            <w:pPr>
              <w:pStyle w:val="table-e"/>
              <w:spacing w:line="240" w:lineRule="auto"/>
              <w:rPr>
                <w:sz w:val="24"/>
              </w:rPr>
            </w:pPr>
            <w:r w:rsidRPr="000C0EF2">
              <w:rPr>
                <w:sz w:val="24"/>
              </w:rPr>
              <w:t>For each contaminant of concern,</w:t>
            </w:r>
          </w:p>
          <w:p w14:paraId="1CCF5C66" w14:textId="77777777" w:rsidR="00C94B3B" w:rsidRPr="000C0EF2" w:rsidRDefault="00C94B3B" w:rsidP="000C0EF2">
            <w:pPr>
              <w:pStyle w:val="table-e"/>
              <w:spacing w:line="240" w:lineRule="auto"/>
              <w:rPr>
                <w:sz w:val="24"/>
              </w:rPr>
            </w:pPr>
            <w:r w:rsidRPr="000C0EF2">
              <w:rPr>
                <w:sz w:val="24"/>
              </w:rPr>
              <w:t>(a)  describe the relationship between the magnitude of exposure to the contaminant from each route of exposure and the probability of the occurrence of the adverse health effects identified in the hazard assessment;</w:t>
            </w:r>
          </w:p>
          <w:p w14:paraId="5A186CA6" w14:textId="77777777" w:rsidR="00C94B3B" w:rsidRPr="000C0EF2" w:rsidRDefault="00C94B3B" w:rsidP="000C0EF2">
            <w:pPr>
              <w:pStyle w:val="table-e"/>
              <w:spacing w:line="240" w:lineRule="auto"/>
              <w:rPr>
                <w:sz w:val="24"/>
              </w:rPr>
            </w:pPr>
            <w:r w:rsidRPr="000C0EF2">
              <w:rPr>
                <w:sz w:val="24"/>
              </w:rPr>
              <w:t>(b)  if the data permits, identify the appropriate toxicity limit, from published limits available from a credible agency as described in subsection 9 (3) for each of the routes</w:t>
            </w:r>
            <w:r w:rsidRPr="000C0EF2">
              <w:rPr>
                <w:bCs w:val="0"/>
                <w:iCs/>
                <w:sz w:val="24"/>
              </w:rPr>
              <w:t xml:space="preserve"> </w:t>
            </w:r>
            <w:r w:rsidRPr="000C0EF2">
              <w:rPr>
                <w:sz w:val="24"/>
              </w:rPr>
              <w:t>of exposure identified in clause (a); and</w:t>
            </w:r>
          </w:p>
          <w:p w14:paraId="760D13F6" w14:textId="77777777" w:rsidR="00C94B3B" w:rsidRPr="000C0EF2" w:rsidRDefault="00C94B3B" w:rsidP="000C0EF2">
            <w:pPr>
              <w:pStyle w:val="table-e"/>
              <w:spacing w:line="240" w:lineRule="auto"/>
              <w:rPr>
                <w:sz w:val="24"/>
              </w:rPr>
            </w:pPr>
            <w:r w:rsidRPr="000C0EF2">
              <w:rPr>
                <w:sz w:val="24"/>
              </w:rPr>
              <w:t xml:space="preserve">(c)  </w:t>
            </w:r>
            <w:r w:rsidRPr="000C0EF2">
              <w:rPr>
                <w:sz w:val="24"/>
                <w:lang w:val="en-CA"/>
              </w:rPr>
              <w:t>analyze</w:t>
            </w:r>
            <w:r w:rsidRPr="000C0EF2">
              <w:rPr>
                <w:sz w:val="24"/>
              </w:rPr>
              <w:t xml:space="preserve"> the sources of uncertainty in the data used to conduct the hazard assessment and the dose response assessment, including any gaps or variability in the data and state how </w:t>
            </w:r>
            <w:r w:rsidRPr="000C0EF2">
              <w:rPr>
                <w:sz w:val="24"/>
              </w:rPr>
              <w:lastRenderedPageBreak/>
              <w:t>such uncertainty could affect these assessments.</w:t>
            </w:r>
          </w:p>
        </w:tc>
      </w:tr>
    </w:tbl>
    <w:p w14:paraId="67CEC168" w14:textId="77777777" w:rsidR="009F1F42" w:rsidRPr="000C60E1" w:rsidRDefault="009F1F42" w:rsidP="006D5792">
      <w:pPr>
        <w:rPr>
          <w:rFonts w:cs="Arial"/>
          <w:highlight w:val="white"/>
        </w:rPr>
      </w:pPr>
      <w:bookmarkStart w:id="208" w:name="_Toc91393561"/>
      <w:bookmarkStart w:id="209" w:name="_Toc112727424"/>
      <w:r w:rsidRPr="000C60E1">
        <w:rPr>
          <w:rFonts w:cs="Arial"/>
        </w:rPr>
        <w:lastRenderedPageBreak/>
        <w:t>Additional guidance is provided in the following sections</w:t>
      </w:r>
      <w:r w:rsidR="00862B3C" w:rsidRPr="000C60E1">
        <w:rPr>
          <w:rFonts w:cs="Arial"/>
        </w:rPr>
        <w:t xml:space="preserve"> of this </w:t>
      </w:r>
      <w:r w:rsidR="00F20153" w:rsidRPr="000C60E1">
        <w:rPr>
          <w:rFonts w:cs="Arial"/>
        </w:rPr>
        <w:t>P</w:t>
      </w:r>
      <w:r w:rsidR="00862B3C" w:rsidRPr="000C60E1">
        <w:rPr>
          <w:rFonts w:cs="Arial"/>
        </w:rPr>
        <w:t>rocedures document</w:t>
      </w:r>
      <w:r w:rsidRPr="000C60E1">
        <w:rPr>
          <w:rFonts w:cs="Arial"/>
        </w:rPr>
        <w:t>.</w:t>
      </w:r>
    </w:p>
    <w:p w14:paraId="01DEA31A" w14:textId="60A744B2" w:rsidR="00B736F9" w:rsidRPr="000C60E1" w:rsidRDefault="00B736F9" w:rsidP="00DE496B">
      <w:pPr>
        <w:pStyle w:val="Heading3"/>
        <w:rPr>
          <w:rFonts w:cs="Arial"/>
          <w:highlight w:val="white"/>
        </w:rPr>
      </w:pPr>
      <w:bookmarkStart w:id="210" w:name="_Toc41905700"/>
      <w:r w:rsidRPr="000C60E1">
        <w:rPr>
          <w:rFonts w:cs="Arial"/>
        </w:rPr>
        <w:t>Hazard Assessment</w:t>
      </w:r>
      <w:bookmarkEnd w:id="208"/>
      <w:bookmarkEnd w:id="209"/>
      <w:bookmarkEnd w:id="210"/>
    </w:p>
    <w:p w14:paraId="5523DAA3" w14:textId="559CA3DE" w:rsidR="00B736F9" w:rsidRPr="002A75F2" w:rsidRDefault="00B736F9" w:rsidP="00840964">
      <w:pPr>
        <w:rPr>
          <w:rFonts w:cs="Arial"/>
        </w:rPr>
      </w:pPr>
      <w:r w:rsidRPr="000C60E1">
        <w:rPr>
          <w:rFonts w:cs="Arial"/>
          <w:highlight w:val="white"/>
        </w:rPr>
        <w:t xml:space="preserve">Hazard </w:t>
      </w:r>
      <w:r w:rsidRPr="002A75F2">
        <w:rPr>
          <w:rFonts w:cs="Arial"/>
        </w:rPr>
        <w:t xml:space="preserve">assessment must document the potential adverse effects to human health which are associated with </w:t>
      </w:r>
      <w:smartTag w:uri="urn:schemas-microsoft-com:office:smarttags" w:element="stockticker">
        <w:r w:rsidRPr="002A75F2">
          <w:rPr>
            <w:rFonts w:cs="Arial"/>
          </w:rPr>
          <w:t>COC</w:t>
        </w:r>
      </w:smartTag>
      <w:r w:rsidRPr="002A75F2">
        <w:rPr>
          <w:rFonts w:cs="Arial"/>
        </w:rPr>
        <w:t xml:space="preserve"> exposure. Toxicological information must be provided that is being considered to evaluate potential human health effects for each of the COCs including information on toxicological end points (</w:t>
      </w:r>
      <w:r w:rsidR="00A43D2D" w:rsidRPr="002A75F2">
        <w:rPr>
          <w:rFonts w:cs="Arial"/>
        </w:rPr>
        <w:t xml:space="preserve">e.g. </w:t>
      </w:r>
      <w:r w:rsidRPr="002A75F2">
        <w:rPr>
          <w:rFonts w:cs="Arial"/>
        </w:rPr>
        <w:t>developmental/ reproductive) and time scale of effects (</w:t>
      </w:r>
      <w:r w:rsidR="00A43D2D" w:rsidRPr="002A75F2">
        <w:rPr>
          <w:rFonts w:cs="Arial"/>
        </w:rPr>
        <w:t>e</w:t>
      </w:r>
      <w:r w:rsidRPr="002A75F2">
        <w:rPr>
          <w:rFonts w:cs="Arial"/>
        </w:rPr>
        <w:t>.</w:t>
      </w:r>
      <w:r w:rsidR="00A43D2D" w:rsidRPr="002A75F2">
        <w:rPr>
          <w:rFonts w:cs="Arial"/>
        </w:rPr>
        <w:t>g.</w:t>
      </w:r>
      <w:r w:rsidRPr="002A75F2">
        <w:rPr>
          <w:rFonts w:cs="Arial"/>
        </w:rPr>
        <w:t xml:space="preserve"> acute/ chronic), which are considered relevant for the pathways and receptors identified under </w:t>
      </w:r>
      <w:r w:rsidR="00A43D2D" w:rsidRPr="002A75F2">
        <w:rPr>
          <w:rFonts w:cs="Arial"/>
        </w:rPr>
        <w:t xml:space="preserve">the </w:t>
      </w:r>
      <w:r w:rsidRPr="002A75F2">
        <w:rPr>
          <w:rFonts w:cs="Arial"/>
        </w:rPr>
        <w:t>Exposure Assessment</w:t>
      </w:r>
      <w:r w:rsidR="00A43D2D" w:rsidRPr="002A75F2">
        <w:rPr>
          <w:rFonts w:cs="Arial"/>
        </w:rPr>
        <w:t xml:space="preserve"> heading</w:t>
      </w:r>
      <w:r w:rsidRPr="002A75F2">
        <w:rPr>
          <w:rFonts w:cs="Arial"/>
        </w:rPr>
        <w:t>.</w:t>
      </w:r>
    </w:p>
    <w:p w14:paraId="5B876FEA" w14:textId="77777777" w:rsidR="00DE33E0" w:rsidRPr="002A75F2" w:rsidRDefault="00DE33E0" w:rsidP="00DE33E0">
      <w:pPr>
        <w:rPr>
          <w:rFonts w:cs="Arial"/>
        </w:rPr>
      </w:pPr>
      <w:r w:rsidRPr="002A75F2">
        <w:rPr>
          <w:rFonts w:cs="Arial"/>
        </w:rPr>
        <w:t>The hazard assessment section of a HHRA should consider, at a minimum, the following information for each COC that has been carried forward for quantitative assessment:</w:t>
      </w:r>
    </w:p>
    <w:p w14:paraId="75DD4689" w14:textId="77777777" w:rsidR="00DE33E0" w:rsidRPr="002A75F2" w:rsidRDefault="00DE33E0" w:rsidP="00A47B50">
      <w:pPr>
        <w:numPr>
          <w:ilvl w:val="0"/>
          <w:numId w:val="26"/>
        </w:numPr>
        <w:rPr>
          <w:rFonts w:cs="Arial"/>
        </w:rPr>
      </w:pPr>
      <w:r w:rsidRPr="002A75F2">
        <w:rPr>
          <w:rFonts w:cs="Arial"/>
        </w:rPr>
        <w:t>The physical and chemical characteristics of the COC.</w:t>
      </w:r>
    </w:p>
    <w:p w14:paraId="44E7F081" w14:textId="77777777" w:rsidR="00DE33E0" w:rsidRPr="002A75F2" w:rsidRDefault="00DE33E0" w:rsidP="00A47B50">
      <w:pPr>
        <w:numPr>
          <w:ilvl w:val="0"/>
          <w:numId w:val="26"/>
        </w:numPr>
        <w:rPr>
          <w:rFonts w:cs="Arial"/>
        </w:rPr>
      </w:pPr>
      <w:r w:rsidRPr="002A75F2">
        <w:rPr>
          <w:rFonts w:cs="Arial"/>
        </w:rPr>
        <w:t>A summary of key non-cancer effects from animal and human studies by routes of exposure.</w:t>
      </w:r>
    </w:p>
    <w:p w14:paraId="11024CB9" w14:textId="77777777" w:rsidR="00DE33E0" w:rsidRPr="002A75F2" w:rsidRDefault="00DE33E0" w:rsidP="00A47B50">
      <w:pPr>
        <w:numPr>
          <w:ilvl w:val="0"/>
          <w:numId w:val="26"/>
        </w:numPr>
        <w:rPr>
          <w:rFonts w:cs="Arial"/>
        </w:rPr>
      </w:pPr>
      <w:r w:rsidRPr="002A75F2">
        <w:rPr>
          <w:rFonts w:cs="Arial"/>
        </w:rPr>
        <w:t>An evaluation of carcinogenicity (carcinogenic classification, if available; and/or summary of overall weight of evidence).</w:t>
      </w:r>
    </w:p>
    <w:p w14:paraId="2046101A" w14:textId="77777777" w:rsidR="00DE33E0" w:rsidRPr="002A75F2" w:rsidRDefault="00DE33E0" w:rsidP="00A47B50">
      <w:pPr>
        <w:numPr>
          <w:ilvl w:val="0"/>
          <w:numId w:val="26"/>
        </w:numPr>
        <w:rPr>
          <w:rFonts w:cs="Arial"/>
        </w:rPr>
      </w:pPr>
      <w:r w:rsidRPr="002A75F2">
        <w:rPr>
          <w:rFonts w:cs="Arial"/>
        </w:rPr>
        <w:t>A summary of hypothesized mode</w:t>
      </w:r>
      <w:r w:rsidR="00A43D2D" w:rsidRPr="002A75F2">
        <w:rPr>
          <w:rFonts w:cs="Arial"/>
        </w:rPr>
        <w:t>(s)</w:t>
      </w:r>
      <w:r w:rsidRPr="002A75F2">
        <w:rPr>
          <w:rFonts w:cs="Arial"/>
        </w:rPr>
        <w:t>-of-action</w:t>
      </w:r>
      <w:r w:rsidR="003733DC" w:rsidRPr="002A75F2">
        <w:rPr>
          <w:rFonts w:cs="Arial"/>
        </w:rPr>
        <w:t>.</w:t>
      </w:r>
    </w:p>
    <w:p w14:paraId="3AE48672" w14:textId="77777777" w:rsidR="00DE33E0" w:rsidRPr="002A75F2" w:rsidRDefault="00DE33E0" w:rsidP="00A47B50">
      <w:pPr>
        <w:numPr>
          <w:ilvl w:val="0"/>
          <w:numId w:val="26"/>
        </w:numPr>
        <w:rPr>
          <w:rFonts w:cs="Arial"/>
        </w:rPr>
      </w:pPr>
      <w:r w:rsidRPr="002A75F2">
        <w:rPr>
          <w:rFonts w:cs="Arial"/>
        </w:rPr>
        <w:t>A brief discussion of susceptible populations (</w:t>
      </w:r>
      <w:r w:rsidR="00A43D2D" w:rsidRPr="002A75F2">
        <w:rPr>
          <w:rFonts w:cs="Arial"/>
        </w:rPr>
        <w:t xml:space="preserve">e.g. </w:t>
      </w:r>
      <w:r w:rsidRPr="002A75F2">
        <w:rPr>
          <w:rFonts w:cs="Arial"/>
        </w:rPr>
        <w:t>childhood susceptibility, gender differences)</w:t>
      </w:r>
      <w:r w:rsidR="003733DC" w:rsidRPr="002A75F2">
        <w:rPr>
          <w:rFonts w:cs="Arial"/>
        </w:rPr>
        <w:t>.</w:t>
      </w:r>
    </w:p>
    <w:p w14:paraId="6C068473" w14:textId="04C49355" w:rsidR="00B736F9" w:rsidRPr="002A75F2" w:rsidRDefault="00B736F9" w:rsidP="00DE496B">
      <w:pPr>
        <w:pStyle w:val="Heading3"/>
        <w:rPr>
          <w:rFonts w:cs="Arial"/>
        </w:rPr>
      </w:pPr>
      <w:bookmarkStart w:id="211" w:name="_Dose_Response_Assessment"/>
      <w:bookmarkStart w:id="212" w:name="_Toc74119405"/>
      <w:bookmarkStart w:id="213" w:name="_Toc91393562"/>
      <w:bookmarkStart w:id="214" w:name="_Toc112727425"/>
      <w:bookmarkStart w:id="215" w:name="_Toc41905701"/>
      <w:bookmarkEnd w:id="211"/>
      <w:r w:rsidRPr="002A75F2">
        <w:rPr>
          <w:rFonts w:cs="Arial"/>
        </w:rPr>
        <w:t>Dose</w:t>
      </w:r>
      <w:r w:rsidR="00A96AC8" w:rsidRPr="002A75F2">
        <w:rPr>
          <w:rFonts w:cs="Arial"/>
        </w:rPr>
        <w:t>-</w:t>
      </w:r>
      <w:r w:rsidRPr="002A75F2">
        <w:rPr>
          <w:rFonts w:cs="Arial"/>
        </w:rPr>
        <w:t>Response Assessment</w:t>
      </w:r>
      <w:bookmarkEnd w:id="212"/>
      <w:bookmarkEnd w:id="213"/>
      <w:bookmarkEnd w:id="214"/>
      <w:bookmarkEnd w:id="215"/>
      <w:r w:rsidR="0010654B" w:rsidRPr="002A75F2">
        <w:rPr>
          <w:rFonts w:cs="Arial"/>
        </w:rPr>
        <w:t xml:space="preserve"> </w:t>
      </w:r>
    </w:p>
    <w:p w14:paraId="51142317" w14:textId="77777777" w:rsidR="00B736F9" w:rsidRPr="002A75F2" w:rsidRDefault="00B736F9" w:rsidP="008502F8">
      <w:pPr>
        <w:rPr>
          <w:rFonts w:cs="Arial"/>
        </w:rPr>
      </w:pPr>
      <w:r w:rsidRPr="002A75F2">
        <w:rPr>
          <w:rFonts w:cs="Arial"/>
        </w:rPr>
        <w:t>Dose</w:t>
      </w:r>
      <w:r w:rsidR="00A96AC8" w:rsidRPr="002A75F2">
        <w:rPr>
          <w:rFonts w:cs="Arial"/>
        </w:rPr>
        <w:t>-</w:t>
      </w:r>
      <w:r w:rsidRPr="002A75F2">
        <w:rPr>
          <w:rFonts w:cs="Arial"/>
        </w:rPr>
        <w:t xml:space="preserve">response assessment must identify appropriate toxicity </w:t>
      </w:r>
      <w:r w:rsidR="00583B32" w:rsidRPr="002A75F2">
        <w:rPr>
          <w:rFonts w:cs="Arial"/>
        </w:rPr>
        <w:t xml:space="preserve">reference </w:t>
      </w:r>
      <w:r w:rsidRPr="002A75F2">
        <w:rPr>
          <w:rFonts w:cs="Arial"/>
        </w:rPr>
        <w:t xml:space="preserve">values </w:t>
      </w:r>
      <w:r w:rsidR="00583B32" w:rsidRPr="002A75F2">
        <w:rPr>
          <w:rFonts w:cs="Arial"/>
        </w:rPr>
        <w:t xml:space="preserve">(TRVs) </w:t>
      </w:r>
      <w:r w:rsidRPr="002A75F2">
        <w:rPr>
          <w:rFonts w:cs="Arial"/>
        </w:rPr>
        <w:t>by providing:</w:t>
      </w:r>
    </w:p>
    <w:p w14:paraId="0C93182E" w14:textId="77777777" w:rsidR="00B736F9" w:rsidRPr="002A75F2" w:rsidRDefault="00B736F9" w:rsidP="000E72E5">
      <w:pPr>
        <w:pStyle w:val="ListBullet2"/>
        <w:rPr>
          <w:rFonts w:cs="Arial"/>
        </w:rPr>
      </w:pPr>
      <w:r w:rsidRPr="002A75F2">
        <w:rPr>
          <w:rFonts w:cs="Arial"/>
        </w:rPr>
        <w:t>A description of the relationship between the magnitude of exposure for different routes and the occurrence of adverse effects for the receptors, and</w:t>
      </w:r>
    </w:p>
    <w:p w14:paraId="021342A1" w14:textId="75476E10" w:rsidR="00B736F9" w:rsidRPr="002A75F2" w:rsidRDefault="00B736F9" w:rsidP="000E72E5">
      <w:pPr>
        <w:pStyle w:val="ListBullet2"/>
        <w:rPr>
          <w:rFonts w:cs="Arial"/>
        </w:rPr>
      </w:pPr>
      <w:r w:rsidRPr="002A75F2">
        <w:rPr>
          <w:rFonts w:cs="Arial"/>
        </w:rPr>
        <w:t>An analysis of the major sources of uncertainty on both hazard assessment and dose response assessment, and how such uncertainty affects the outcome of the toxicity assessment.</w:t>
      </w:r>
      <w:r w:rsidR="007520CE" w:rsidRPr="002A75F2">
        <w:rPr>
          <w:rFonts w:cs="Arial"/>
        </w:rPr>
        <w:t xml:space="preserve"> The combined use of uncertainty factors, for example, may result in a highly conservative estimate, or less conservative estimate, of the TRV.</w:t>
      </w:r>
    </w:p>
    <w:p w14:paraId="37EFCA85" w14:textId="186EA14F" w:rsidR="003733DC" w:rsidRPr="002A75F2" w:rsidRDefault="00B736F9" w:rsidP="009855C8">
      <w:pPr>
        <w:rPr>
          <w:rFonts w:cs="Arial"/>
        </w:rPr>
      </w:pPr>
      <w:r w:rsidRPr="002A75F2">
        <w:rPr>
          <w:rFonts w:cs="Arial"/>
        </w:rPr>
        <w:t xml:space="preserve">Ministry </w:t>
      </w:r>
      <w:r w:rsidR="00405652" w:rsidRPr="002A75F2">
        <w:rPr>
          <w:rFonts w:cs="Arial"/>
        </w:rPr>
        <w:t xml:space="preserve">selected TRVs are </w:t>
      </w:r>
      <w:r w:rsidR="008C190F" w:rsidRPr="002A75F2">
        <w:rPr>
          <w:rFonts w:cs="Arial"/>
        </w:rPr>
        <w:t xml:space="preserve">listed </w:t>
      </w:r>
      <w:r w:rsidR="0010654B" w:rsidRPr="002A75F2">
        <w:rPr>
          <w:rFonts w:cs="Arial"/>
        </w:rPr>
        <w:t xml:space="preserve">in the </w:t>
      </w:r>
      <w:r w:rsidR="008C190F" w:rsidRPr="002A75F2">
        <w:rPr>
          <w:rFonts w:cs="Arial"/>
        </w:rPr>
        <w:t>“</w:t>
      </w:r>
      <w:r w:rsidR="0010654B" w:rsidRPr="002A75F2">
        <w:rPr>
          <w:rFonts w:cs="Arial"/>
        </w:rPr>
        <w:t>Rationale for the Development of Soil</w:t>
      </w:r>
      <w:r w:rsidR="00405652" w:rsidRPr="002A75F2">
        <w:rPr>
          <w:rFonts w:cs="Arial"/>
        </w:rPr>
        <w:t xml:space="preserve"> and</w:t>
      </w:r>
      <w:r w:rsidR="0010654B" w:rsidRPr="002A75F2">
        <w:rPr>
          <w:rFonts w:cs="Arial"/>
        </w:rPr>
        <w:t xml:space="preserve"> Ground Water </w:t>
      </w:r>
      <w:r w:rsidR="00405652" w:rsidRPr="002A75F2">
        <w:rPr>
          <w:rFonts w:cs="Arial"/>
        </w:rPr>
        <w:t>Standards</w:t>
      </w:r>
      <w:r w:rsidR="0010654B" w:rsidRPr="002A75F2">
        <w:rPr>
          <w:rFonts w:cs="Arial"/>
        </w:rPr>
        <w:t xml:space="preserve"> for </w:t>
      </w:r>
      <w:r w:rsidR="002E7F31" w:rsidRPr="002A75F2">
        <w:rPr>
          <w:rFonts w:cs="Arial"/>
        </w:rPr>
        <w:t>U</w:t>
      </w:r>
      <w:r w:rsidR="0010654B" w:rsidRPr="002A75F2">
        <w:rPr>
          <w:rFonts w:cs="Arial"/>
        </w:rPr>
        <w:t>se at Contaminated Sites in Ontario</w:t>
      </w:r>
      <w:r w:rsidR="008C190F" w:rsidRPr="002A75F2">
        <w:rPr>
          <w:rFonts w:cs="Arial"/>
        </w:rPr>
        <w:t>”</w:t>
      </w:r>
      <w:r w:rsidR="0010654B" w:rsidRPr="002A75F2">
        <w:rPr>
          <w:rFonts w:cs="Arial"/>
        </w:rPr>
        <w:t xml:space="preserve"> (</w:t>
      </w:r>
      <w:r w:rsidR="00405652" w:rsidRPr="002A75F2">
        <w:rPr>
          <w:rFonts w:cs="Arial"/>
        </w:rPr>
        <w:t xml:space="preserve">2011 </w:t>
      </w:r>
      <w:r w:rsidR="0010654B" w:rsidRPr="002A75F2">
        <w:rPr>
          <w:rFonts w:cs="Arial"/>
        </w:rPr>
        <w:t>MOE)</w:t>
      </w:r>
      <w:r w:rsidR="003733DC" w:rsidRPr="002A75F2">
        <w:rPr>
          <w:rFonts w:cs="Arial"/>
        </w:rPr>
        <w:t xml:space="preserve">. Note that </w:t>
      </w:r>
      <w:r w:rsidR="00BB3031" w:rsidRPr="002A75F2">
        <w:rPr>
          <w:rFonts w:cs="Arial"/>
        </w:rPr>
        <w:t xml:space="preserve">the Ministry’s </w:t>
      </w:r>
      <w:r w:rsidR="003733DC" w:rsidRPr="002A75F2">
        <w:rPr>
          <w:rFonts w:cs="Arial"/>
        </w:rPr>
        <w:t xml:space="preserve">TRV selections may be updated from time to time, as new information becomes available. The </w:t>
      </w:r>
      <w:r w:rsidR="001E50BF" w:rsidRPr="002A75F2">
        <w:rPr>
          <w:rFonts w:cs="Arial"/>
        </w:rPr>
        <w:t>Ministry</w:t>
      </w:r>
      <w:r w:rsidR="003733DC" w:rsidRPr="002A75F2">
        <w:rPr>
          <w:rFonts w:cs="Arial"/>
        </w:rPr>
        <w:t xml:space="preserve"> will make every effort to share updated TRV selections with </w:t>
      </w:r>
      <w:r w:rsidR="006C4301" w:rsidRPr="002A75F2">
        <w:rPr>
          <w:rFonts w:cs="Arial"/>
        </w:rPr>
        <w:t>risk assessment</w:t>
      </w:r>
      <w:r w:rsidR="003733DC" w:rsidRPr="002A75F2">
        <w:rPr>
          <w:rFonts w:cs="Arial"/>
        </w:rPr>
        <w:t xml:space="preserve"> </w:t>
      </w:r>
      <w:r w:rsidR="001E50BF" w:rsidRPr="002A75F2">
        <w:rPr>
          <w:rFonts w:cs="Arial"/>
        </w:rPr>
        <w:t>practitioners</w:t>
      </w:r>
      <w:r w:rsidR="003733DC" w:rsidRPr="002A75F2">
        <w:rPr>
          <w:rFonts w:cs="Arial"/>
        </w:rPr>
        <w:t xml:space="preserve"> and QP</w:t>
      </w:r>
      <w:r w:rsidR="00BB3031" w:rsidRPr="002A75F2">
        <w:rPr>
          <w:rFonts w:cs="Arial"/>
          <w:vertAlign w:val="subscript"/>
        </w:rPr>
        <w:t>RA</w:t>
      </w:r>
      <w:r w:rsidR="00BB3031" w:rsidRPr="002A75F2">
        <w:rPr>
          <w:rFonts w:cs="Arial"/>
        </w:rPr>
        <w:t>’s</w:t>
      </w:r>
      <w:r w:rsidR="003733DC" w:rsidRPr="002A75F2">
        <w:rPr>
          <w:rFonts w:cs="Arial"/>
        </w:rPr>
        <w:t xml:space="preserve"> are encouraged to contact the Ministry directly should they have any questions regarding current Ministry selections.</w:t>
      </w:r>
    </w:p>
    <w:p w14:paraId="0539145C" w14:textId="2E7F1935" w:rsidR="00405652" w:rsidRPr="002A75F2" w:rsidRDefault="00C86470" w:rsidP="009855C8">
      <w:pPr>
        <w:rPr>
          <w:rFonts w:cs="Arial"/>
        </w:rPr>
      </w:pPr>
      <w:r w:rsidRPr="002A75F2">
        <w:rPr>
          <w:rFonts w:cs="Arial"/>
        </w:rPr>
        <w:lastRenderedPageBreak/>
        <w:t>I</w:t>
      </w:r>
      <w:r w:rsidR="00405652" w:rsidRPr="002A75F2">
        <w:rPr>
          <w:rFonts w:cs="Arial"/>
        </w:rPr>
        <w:t xml:space="preserve">t </w:t>
      </w:r>
      <w:r w:rsidR="00BB3031" w:rsidRPr="002A75F2">
        <w:rPr>
          <w:rFonts w:cs="Arial"/>
        </w:rPr>
        <w:t xml:space="preserve">remains </w:t>
      </w:r>
      <w:r w:rsidR="00405652" w:rsidRPr="002A75F2">
        <w:rPr>
          <w:rFonts w:cs="Arial"/>
        </w:rPr>
        <w:t>the QP</w:t>
      </w:r>
      <w:r w:rsidR="00405652" w:rsidRPr="002A75F2">
        <w:rPr>
          <w:rFonts w:cs="Arial"/>
          <w:vertAlign w:val="subscript"/>
        </w:rPr>
        <w:t>RA</w:t>
      </w:r>
      <w:r w:rsidR="00405652" w:rsidRPr="002A75F2">
        <w:rPr>
          <w:rFonts w:cs="Arial"/>
        </w:rPr>
        <w:t xml:space="preserve">’s responsibility to ensure that the most recent and relevant information is used in the </w:t>
      </w:r>
      <w:r w:rsidR="00D4507B" w:rsidRPr="002A75F2">
        <w:rPr>
          <w:rFonts w:cs="Arial"/>
        </w:rPr>
        <w:t>risk assessment</w:t>
      </w:r>
      <w:r w:rsidR="00405652" w:rsidRPr="002A75F2">
        <w:rPr>
          <w:rFonts w:cs="Arial"/>
        </w:rPr>
        <w:t>.</w:t>
      </w:r>
      <w:r w:rsidR="00B736F9" w:rsidRPr="002A75F2">
        <w:rPr>
          <w:rFonts w:cs="Arial"/>
        </w:rPr>
        <w:t xml:space="preserve"> </w:t>
      </w:r>
      <w:r w:rsidR="009855C8" w:rsidRPr="002A75F2">
        <w:rPr>
          <w:rFonts w:cs="Arial"/>
        </w:rPr>
        <w:t xml:space="preserve">A search of the most recent </w:t>
      </w:r>
      <w:r w:rsidR="00725FBF" w:rsidRPr="002A75F2">
        <w:rPr>
          <w:rFonts w:cs="Arial"/>
        </w:rPr>
        <w:t xml:space="preserve">government agency </w:t>
      </w:r>
      <w:r w:rsidR="009A458C" w:rsidRPr="002A75F2">
        <w:rPr>
          <w:rFonts w:cs="Arial"/>
        </w:rPr>
        <w:t>TRV</w:t>
      </w:r>
      <w:r w:rsidR="00725FBF" w:rsidRPr="002A75F2">
        <w:rPr>
          <w:rFonts w:cs="Arial"/>
        </w:rPr>
        <w:t>s</w:t>
      </w:r>
      <w:r w:rsidR="009855C8" w:rsidRPr="002A75F2">
        <w:rPr>
          <w:rFonts w:cs="Arial"/>
        </w:rPr>
        <w:t xml:space="preserve"> data should</w:t>
      </w:r>
      <w:r w:rsidR="006D5792" w:rsidRPr="002A75F2">
        <w:rPr>
          <w:rFonts w:cs="Arial"/>
        </w:rPr>
        <w:t xml:space="preserve"> </w:t>
      </w:r>
      <w:r w:rsidR="00405652" w:rsidRPr="002A75F2">
        <w:rPr>
          <w:rFonts w:cs="Arial"/>
        </w:rPr>
        <w:t xml:space="preserve">be </w:t>
      </w:r>
      <w:r w:rsidR="009855C8" w:rsidRPr="002A75F2">
        <w:rPr>
          <w:rFonts w:cs="Arial"/>
        </w:rPr>
        <w:t>conducted prior to submission of the RA report.</w:t>
      </w:r>
    </w:p>
    <w:p w14:paraId="79CEAED6" w14:textId="77777777" w:rsidR="00B736F9" w:rsidRPr="002A75F2" w:rsidRDefault="00C86470" w:rsidP="009855C8">
      <w:pPr>
        <w:rPr>
          <w:rFonts w:cs="Arial"/>
        </w:rPr>
      </w:pPr>
      <w:r w:rsidRPr="002A75F2">
        <w:rPr>
          <w:rFonts w:cs="Arial"/>
        </w:rPr>
        <w:t xml:space="preserve">Acceptable </w:t>
      </w:r>
      <w:r w:rsidR="00725FBF" w:rsidRPr="002A75F2">
        <w:rPr>
          <w:rFonts w:cs="Arial"/>
        </w:rPr>
        <w:t xml:space="preserve">government </w:t>
      </w:r>
      <w:r w:rsidR="00B736F9" w:rsidRPr="002A75F2">
        <w:rPr>
          <w:rFonts w:cs="Arial"/>
        </w:rPr>
        <w:t xml:space="preserve">agencies </w:t>
      </w:r>
      <w:r w:rsidR="00405652" w:rsidRPr="002A75F2">
        <w:rPr>
          <w:rFonts w:cs="Arial"/>
        </w:rPr>
        <w:t xml:space="preserve">include </w:t>
      </w:r>
      <w:r w:rsidR="00B736F9" w:rsidRPr="002A75F2">
        <w:rPr>
          <w:rFonts w:cs="Arial"/>
        </w:rPr>
        <w:t xml:space="preserve">those which incorporate </w:t>
      </w:r>
      <w:r w:rsidR="00A96AC8" w:rsidRPr="002A75F2">
        <w:rPr>
          <w:rFonts w:cs="Arial"/>
        </w:rPr>
        <w:t xml:space="preserve">one or more of </w:t>
      </w:r>
      <w:r w:rsidR="00B736F9" w:rsidRPr="002A75F2">
        <w:rPr>
          <w:rFonts w:cs="Arial"/>
        </w:rPr>
        <w:t>the</w:t>
      </w:r>
      <w:r w:rsidR="00725FBF" w:rsidRPr="002A75F2">
        <w:rPr>
          <w:rFonts w:cs="Arial"/>
        </w:rPr>
        <w:t xml:space="preserve"> following</w:t>
      </w:r>
      <w:r w:rsidR="00B736F9" w:rsidRPr="002A75F2">
        <w:rPr>
          <w:rFonts w:cs="Arial"/>
        </w:rPr>
        <w:t>:</w:t>
      </w:r>
    </w:p>
    <w:p w14:paraId="09164866" w14:textId="77777777" w:rsidR="00B736F9" w:rsidRPr="002A75F2" w:rsidRDefault="00B736F9" w:rsidP="000E72E5">
      <w:pPr>
        <w:pStyle w:val="ListBullet2"/>
        <w:rPr>
          <w:rFonts w:cs="Arial"/>
        </w:rPr>
      </w:pPr>
      <w:r w:rsidRPr="002A75F2">
        <w:rPr>
          <w:rFonts w:cs="Arial"/>
        </w:rPr>
        <w:t>A rigorous peer review mechanism by credible experts/multiple regulatory bodies/jurisdictions and/or academia,</w:t>
      </w:r>
    </w:p>
    <w:p w14:paraId="36E41FE3" w14:textId="77777777" w:rsidR="00B736F9" w:rsidRPr="002A75F2" w:rsidRDefault="00B736F9" w:rsidP="000E72E5">
      <w:pPr>
        <w:pStyle w:val="ListBullet2"/>
        <w:rPr>
          <w:rFonts w:cs="Arial"/>
        </w:rPr>
      </w:pPr>
      <w:r w:rsidRPr="002A75F2">
        <w:rPr>
          <w:rFonts w:cs="Arial"/>
        </w:rPr>
        <w:t>Ongoing review and updating</w:t>
      </w:r>
      <w:r w:rsidR="009855C8" w:rsidRPr="002A75F2">
        <w:rPr>
          <w:rFonts w:cs="Arial"/>
        </w:rPr>
        <w:t xml:space="preserve"> of values on the basis of new studies or advances in science</w:t>
      </w:r>
      <w:r w:rsidRPr="002A75F2">
        <w:rPr>
          <w:rFonts w:cs="Arial"/>
        </w:rPr>
        <w:t>, and</w:t>
      </w:r>
      <w:r w:rsidR="009855C8" w:rsidRPr="002A75F2">
        <w:rPr>
          <w:rFonts w:cs="Arial"/>
        </w:rPr>
        <w:t>,</w:t>
      </w:r>
    </w:p>
    <w:p w14:paraId="68A80F18" w14:textId="77777777" w:rsidR="00B736F9" w:rsidRPr="002A75F2" w:rsidRDefault="00B736F9" w:rsidP="000E72E5">
      <w:pPr>
        <w:pStyle w:val="ListBullet2"/>
        <w:rPr>
          <w:rFonts w:cs="Arial"/>
        </w:rPr>
      </w:pPr>
      <w:r w:rsidRPr="002A75F2">
        <w:rPr>
          <w:rFonts w:cs="Arial"/>
        </w:rPr>
        <w:t xml:space="preserve">Published and/or publicly available </w:t>
      </w:r>
      <w:smartTag w:uri="urn:schemas-microsoft-com:office:smarttags" w:element="stockticker">
        <w:r w:rsidRPr="002A75F2">
          <w:rPr>
            <w:rFonts w:cs="Arial"/>
          </w:rPr>
          <w:t>TRV</w:t>
        </w:r>
      </w:smartTag>
      <w:r w:rsidRPr="002A75F2">
        <w:rPr>
          <w:rFonts w:cs="Arial"/>
        </w:rPr>
        <w:t xml:space="preserve"> values</w:t>
      </w:r>
      <w:r w:rsidR="00725FBF" w:rsidRPr="002A75F2">
        <w:rPr>
          <w:rFonts w:cs="Arial"/>
        </w:rPr>
        <w:t xml:space="preserve"> with descriptions of their derivations.</w:t>
      </w:r>
    </w:p>
    <w:p w14:paraId="1257FE70" w14:textId="04BAF902" w:rsidR="00BB3031" w:rsidRPr="002A75F2" w:rsidRDefault="00B736F9" w:rsidP="00DA4362">
      <w:pPr>
        <w:rPr>
          <w:rFonts w:cs="Arial"/>
        </w:rPr>
      </w:pPr>
      <w:r w:rsidRPr="002A75F2">
        <w:rPr>
          <w:rFonts w:cs="Arial"/>
        </w:rPr>
        <w:t xml:space="preserve">Examples of </w:t>
      </w:r>
      <w:r w:rsidR="00617CB5" w:rsidRPr="002A75F2">
        <w:rPr>
          <w:rFonts w:cs="Arial"/>
        </w:rPr>
        <w:t>credible</w:t>
      </w:r>
      <w:r w:rsidR="00DB454C" w:rsidRPr="002A75F2">
        <w:rPr>
          <w:rFonts w:cs="Arial"/>
        </w:rPr>
        <w:t xml:space="preserve"> regulatory </w:t>
      </w:r>
      <w:r w:rsidRPr="002A75F2">
        <w:rPr>
          <w:rFonts w:cs="Arial"/>
        </w:rPr>
        <w:t xml:space="preserve">agencies include but are not limited to </w:t>
      </w:r>
      <w:r w:rsidR="00A96AC8" w:rsidRPr="002A75F2">
        <w:rPr>
          <w:rFonts w:cs="Arial"/>
        </w:rPr>
        <w:t>the United States Environmental Protection Agency (</w:t>
      </w:r>
      <w:r w:rsidR="002B3E61" w:rsidRPr="002A75F2">
        <w:rPr>
          <w:rFonts w:cs="Arial"/>
        </w:rPr>
        <w:t>US EPA</w:t>
      </w:r>
      <w:r w:rsidR="00A96AC8" w:rsidRPr="002A75F2">
        <w:rPr>
          <w:rFonts w:cs="Arial"/>
        </w:rPr>
        <w:t>)</w:t>
      </w:r>
      <w:r w:rsidRPr="002A75F2">
        <w:rPr>
          <w:rFonts w:cs="Arial"/>
        </w:rPr>
        <w:t xml:space="preserve">, </w:t>
      </w:r>
      <w:r w:rsidR="002B3E61" w:rsidRPr="002A75F2">
        <w:rPr>
          <w:rFonts w:cs="Arial"/>
        </w:rPr>
        <w:t xml:space="preserve">California </w:t>
      </w:r>
      <w:r w:rsidR="00A96AC8" w:rsidRPr="002A75F2">
        <w:rPr>
          <w:rFonts w:cs="Arial"/>
        </w:rPr>
        <w:t xml:space="preserve">Environmental Protection Agency (Cal </w:t>
      </w:r>
      <w:r w:rsidR="002B3E61" w:rsidRPr="002A75F2">
        <w:rPr>
          <w:rFonts w:cs="Arial"/>
        </w:rPr>
        <w:t>EPA</w:t>
      </w:r>
      <w:r w:rsidR="00A96AC8" w:rsidRPr="002A75F2">
        <w:rPr>
          <w:rFonts w:cs="Arial"/>
        </w:rPr>
        <w:t xml:space="preserve">), </w:t>
      </w:r>
      <w:r w:rsidRPr="002A75F2">
        <w:rPr>
          <w:rFonts w:cs="Arial"/>
        </w:rPr>
        <w:t>World Health Organization (WHO)</w:t>
      </w:r>
      <w:r w:rsidR="00C86470" w:rsidRPr="002A75F2">
        <w:rPr>
          <w:rFonts w:cs="Arial"/>
        </w:rPr>
        <w:t xml:space="preserve"> </w:t>
      </w:r>
      <w:r w:rsidRPr="002A75F2">
        <w:rPr>
          <w:rFonts w:cs="Arial"/>
        </w:rPr>
        <w:t xml:space="preserve">and Health Canada. </w:t>
      </w:r>
      <w:r w:rsidR="00A96AC8" w:rsidRPr="002A75F2">
        <w:rPr>
          <w:rFonts w:cs="Arial"/>
        </w:rPr>
        <w:t>TRVs</w:t>
      </w:r>
      <w:r w:rsidR="00522AAB" w:rsidRPr="002A75F2">
        <w:rPr>
          <w:rFonts w:cs="Arial"/>
        </w:rPr>
        <w:t xml:space="preserve"> values published by these agencies are generally considered acceptable to the </w:t>
      </w:r>
      <w:r w:rsidR="00657FDB" w:rsidRPr="002A75F2">
        <w:rPr>
          <w:rFonts w:cs="Arial"/>
        </w:rPr>
        <w:t>M</w:t>
      </w:r>
      <w:r w:rsidR="00522AAB" w:rsidRPr="002A75F2">
        <w:rPr>
          <w:rFonts w:cs="Arial"/>
        </w:rPr>
        <w:t>inistry with limited review.</w:t>
      </w:r>
    </w:p>
    <w:p w14:paraId="54C8C5AF" w14:textId="77777777" w:rsidR="00296F79" w:rsidRPr="002A75F2" w:rsidRDefault="00296F79" w:rsidP="00296F79">
      <w:pPr>
        <w:rPr>
          <w:rFonts w:cs="Arial"/>
        </w:rPr>
      </w:pPr>
      <w:r w:rsidRPr="002A75F2">
        <w:rPr>
          <w:rFonts w:cs="Arial"/>
        </w:rPr>
        <w:t xml:space="preserve">The TRV selected for use </w:t>
      </w:r>
      <w:r w:rsidR="005E6F98" w:rsidRPr="002A75F2">
        <w:rPr>
          <w:rFonts w:cs="Arial"/>
        </w:rPr>
        <w:t xml:space="preserve">in the HHRA </w:t>
      </w:r>
      <w:r w:rsidRPr="002A75F2">
        <w:rPr>
          <w:rFonts w:cs="Arial"/>
        </w:rPr>
        <w:t>should be:</w:t>
      </w:r>
    </w:p>
    <w:p w14:paraId="3554B0DA" w14:textId="77777777" w:rsidR="00296F79" w:rsidRPr="002A75F2" w:rsidRDefault="00A96AC8" w:rsidP="000E72E5">
      <w:pPr>
        <w:pStyle w:val="ListBullet2"/>
        <w:rPr>
          <w:rFonts w:cs="Arial"/>
        </w:rPr>
      </w:pPr>
      <w:r w:rsidRPr="002A75F2">
        <w:rPr>
          <w:rFonts w:cs="Arial"/>
        </w:rPr>
        <w:t xml:space="preserve">Relevant for </w:t>
      </w:r>
      <w:r w:rsidR="00296F79" w:rsidRPr="002A75F2">
        <w:rPr>
          <w:rFonts w:cs="Arial"/>
        </w:rPr>
        <w:t>the selected receptors, exposure parameters, and routes of exposure, and</w:t>
      </w:r>
    </w:p>
    <w:p w14:paraId="0D1172B7" w14:textId="77777777" w:rsidR="00296F79" w:rsidRPr="002A75F2" w:rsidRDefault="00296F79" w:rsidP="000E72E5">
      <w:pPr>
        <w:pStyle w:val="ListBullet2"/>
        <w:rPr>
          <w:rFonts w:cs="Arial"/>
        </w:rPr>
      </w:pPr>
      <w:r w:rsidRPr="002A75F2">
        <w:rPr>
          <w:rFonts w:cs="Arial"/>
        </w:rPr>
        <w:t>Identified for the correct chemical entity (</w:t>
      </w:r>
      <w:r w:rsidR="008A792B" w:rsidRPr="002A75F2">
        <w:rPr>
          <w:rFonts w:cs="Arial"/>
        </w:rPr>
        <w:t>e.g.</w:t>
      </w:r>
      <w:r w:rsidRPr="002A75F2">
        <w:rPr>
          <w:rFonts w:cs="Arial"/>
        </w:rPr>
        <w:t xml:space="preserve"> isomer, oxidation state, speciation, chemical form of the contaminant) as identified on-site.</w:t>
      </w:r>
    </w:p>
    <w:p w14:paraId="716A8FF3" w14:textId="77777777" w:rsidR="00296F79" w:rsidRPr="002A75F2" w:rsidRDefault="00D55AE9" w:rsidP="000E72E5">
      <w:pPr>
        <w:pStyle w:val="ListBullet2"/>
        <w:numPr>
          <w:ilvl w:val="0"/>
          <w:numId w:val="0"/>
        </w:numPr>
        <w:rPr>
          <w:rFonts w:cs="Arial"/>
        </w:rPr>
      </w:pPr>
      <w:r w:rsidRPr="002A75F2">
        <w:rPr>
          <w:rFonts w:cs="Arial"/>
        </w:rPr>
        <w:t>In the</w:t>
      </w:r>
      <w:r w:rsidR="00296F79" w:rsidRPr="002A75F2">
        <w:rPr>
          <w:rFonts w:cs="Arial"/>
        </w:rPr>
        <w:t xml:space="preserve"> dose</w:t>
      </w:r>
      <w:r w:rsidR="00A96AC8" w:rsidRPr="002A75F2">
        <w:rPr>
          <w:rFonts w:cs="Arial"/>
        </w:rPr>
        <w:t>-</w:t>
      </w:r>
      <w:r w:rsidR="00296F79" w:rsidRPr="002A75F2">
        <w:rPr>
          <w:rFonts w:cs="Arial"/>
        </w:rPr>
        <w:t>res</w:t>
      </w:r>
      <w:r w:rsidR="00BB3031" w:rsidRPr="002A75F2">
        <w:rPr>
          <w:rFonts w:cs="Arial"/>
        </w:rPr>
        <w:t>p</w:t>
      </w:r>
      <w:r w:rsidR="00296F79" w:rsidRPr="002A75F2">
        <w:rPr>
          <w:rFonts w:cs="Arial"/>
        </w:rPr>
        <w:t>onse section of a HHRA</w:t>
      </w:r>
      <w:r w:rsidRPr="002A75F2">
        <w:rPr>
          <w:rFonts w:cs="Arial"/>
        </w:rPr>
        <w:t xml:space="preserve">, </w:t>
      </w:r>
      <w:r w:rsidR="00296F79" w:rsidRPr="002A75F2">
        <w:rPr>
          <w:rFonts w:cs="Arial"/>
        </w:rPr>
        <w:t xml:space="preserve">the following information </w:t>
      </w:r>
      <w:r w:rsidRPr="002A75F2">
        <w:rPr>
          <w:rFonts w:cs="Arial"/>
        </w:rPr>
        <w:t xml:space="preserve">should be presented </w:t>
      </w:r>
      <w:r w:rsidR="00296F79" w:rsidRPr="002A75F2">
        <w:rPr>
          <w:rFonts w:cs="Arial"/>
        </w:rPr>
        <w:t xml:space="preserve">for each </w:t>
      </w:r>
      <w:r w:rsidRPr="002A75F2">
        <w:rPr>
          <w:rFonts w:cs="Arial"/>
        </w:rPr>
        <w:t xml:space="preserve">TRV selected: </w:t>
      </w:r>
    </w:p>
    <w:p w14:paraId="20214355" w14:textId="77777777" w:rsidR="00296F79" w:rsidRPr="002A75F2" w:rsidRDefault="00296F79" w:rsidP="000E72E5">
      <w:pPr>
        <w:pStyle w:val="ListBullet2"/>
        <w:numPr>
          <w:ilvl w:val="0"/>
          <w:numId w:val="27"/>
        </w:numPr>
        <w:rPr>
          <w:rFonts w:cs="Arial"/>
        </w:rPr>
      </w:pPr>
      <w:r w:rsidRPr="002A75F2">
        <w:rPr>
          <w:rFonts w:cs="Arial"/>
        </w:rPr>
        <w:t>Key study from which the selected TRV was derived</w:t>
      </w:r>
      <w:r w:rsidR="005E6F98" w:rsidRPr="002A75F2">
        <w:rPr>
          <w:rFonts w:cs="Arial"/>
        </w:rPr>
        <w:t>.</w:t>
      </w:r>
    </w:p>
    <w:p w14:paraId="3720D6A4" w14:textId="77777777" w:rsidR="00296F79" w:rsidRPr="002A75F2" w:rsidRDefault="00296F79" w:rsidP="000E72E5">
      <w:pPr>
        <w:pStyle w:val="ListBullet2"/>
        <w:numPr>
          <w:ilvl w:val="0"/>
          <w:numId w:val="27"/>
        </w:numPr>
        <w:rPr>
          <w:rFonts w:cs="Arial"/>
        </w:rPr>
      </w:pPr>
      <w:r w:rsidRPr="002A75F2">
        <w:rPr>
          <w:rFonts w:cs="Arial"/>
        </w:rPr>
        <w:t>Model (animal/human) used and study design applied in key study (including route(s) of exposure)</w:t>
      </w:r>
      <w:r w:rsidR="005E6F98" w:rsidRPr="002A75F2">
        <w:rPr>
          <w:rFonts w:cs="Arial"/>
        </w:rPr>
        <w:t>.</w:t>
      </w:r>
    </w:p>
    <w:p w14:paraId="01D7255A" w14:textId="77777777" w:rsidR="00296F79" w:rsidRPr="002A75F2" w:rsidRDefault="00296F79" w:rsidP="000E72E5">
      <w:pPr>
        <w:pStyle w:val="ListBullet2"/>
        <w:numPr>
          <w:ilvl w:val="0"/>
          <w:numId w:val="27"/>
        </w:numPr>
        <w:rPr>
          <w:rFonts w:cs="Arial"/>
        </w:rPr>
      </w:pPr>
      <w:r w:rsidRPr="002A75F2">
        <w:rPr>
          <w:rFonts w:cs="Arial"/>
        </w:rPr>
        <w:t>Critical endpoint(s) or effect(s) observed in key study (including target tissue/organ)</w:t>
      </w:r>
      <w:r w:rsidR="005E6F98" w:rsidRPr="002A75F2">
        <w:rPr>
          <w:rFonts w:cs="Arial"/>
        </w:rPr>
        <w:t>.</w:t>
      </w:r>
    </w:p>
    <w:p w14:paraId="35C0A405" w14:textId="77777777" w:rsidR="00296F79" w:rsidRPr="002A75F2" w:rsidRDefault="00296F79" w:rsidP="000E72E5">
      <w:pPr>
        <w:pStyle w:val="ListBullet2"/>
        <w:numPr>
          <w:ilvl w:val="0"/>
          <w:numId w:val="27"/>
        </w:numPr>
        <w:rPr>
          <w:rFonts w:cs="Arial"/>
        </w:rPr>
      </w:pPr>
      <w:r w:rsidRPr="002A75F2">
        <w:rPr>
          <w:rFonts w:cs="Arial"/>
        </w:rPr>
        <w:t>Point of departure and/or dose-response model</w:t>
      </w:r>
      <w:r w:rsidR="00FF27F9" w:rsidRPr="002A75F2">
        <w:rPr>
          <w:rFonts w:cs="Arial"/>
        </w:rPr>
        <w:t>l</w:t>
      </w:r>
      <w:r w:rsidRPr="002A75F2">
        <w:rPr>
          <w:rFonts w:cs="Arial"/>
        </w:rPr>
        <w:t>ing used in the derivation of the TRV (NOAEL/LOAEL approach, BMD model</w:t>
      </w:r>
      <w:r w:rsidR="00FF27F9" w:rsidRPr="002A75F2">
        <w:rPr>
          <w:rFonts w:cs="Arial"/>
        </w:rPr>
        <w:t>l</w:t>
      </w:r>
      <w:r w:rsidRPr="002A75F2">
        <w:rPr>
          <w:rFonts w:cs="Arial"/>
        </w:rPr>
        <w:t>ing, PBPK model</w:t>
      </w:r>
      <w:r w:rsidR="00FF27F9" w:rsidRPr="002A75F2">
        <w:rPr>
          <w:rFonts w:cs="Arial"/>
        </w:rPr>
        <w:t>l</w:t>
      </w:r>
      <w:r w:rsidRPr="002A75F2">
        <w:rPr>
          <w:rFonts w:cs="Arial"/>
        </w:rPr>
        <w:t>ing, etc</w:t>
      </w:r>
      <w:r w:rsidR="001E50BF" w:rsidRPr="002A75F2">
        <w:rPr>
          <w:rFonts w:cs="Arial"/>
        </w:rPr>
        <w:t>.</w:t>
      </w:r>
      <w:r w:rsidRPr="002A75F2">
        <w:rPr>
          <w:rFonts w:cs="Arial"/>
        </w:rPr>
        <w:t>)</w:t>
      </w:r>
      <w:r w:rsidR="005E6F98" w:rsidRPr="002A75F2">
        <w:rPr>
          <w:rFonts w:cs="Arial"/>
        </w:rPr>
        <w:t>.</w:t>
      </w:r>
    </w:p>
    <w:p w14:paraId="3A6121BF" w14:textId="77777777" w:rsidR="00296F79" w:rsidRPr="002A75F2" w:rsidRDefault="00296F79" w:rsidP="000E72E5">
      <w:pPr>
        <w:pStyle w:val="ListBullet2"/>
        <w:numPr>
          <w:ilvl w:val="0"/>
          <w:numId w:val="27"/>
        </w:numPr>
        <w:rPr>
          <w:rFonts w:cs="Arial"/>
        </w:rPr>
      </w:pPr>
      <w:r w:rsidRPr="002A75F2">
        <w:rPr>
          <w:rFonts w:cs="Arial"/>
        </w:rPr>
        <w:t>Regime of uncertainty factors and modifying factor(s) used in the derivation of the TRV</w:t>
      </w:r>
      <w:r w:rsidR="005E6F98" w:rsidRPr="002A75F2">
        <w:rPr>
          <w:rFonts w:cs="Arial"/>
        </w:rPr>
        <w:t>, and</w:t>
      </w:r>
    </w:p>
    <w:p w14:paraId="3B586345" w14:textId="77777777" w:rsidR="00296F79" w:rsidRPr="002A75F2" w:rsidRDefault="00296F79" w:rsidP="000E72E5">
      <w:pPr>
        <w:pStyle w:val="ListBullet2"/>
        <w:numPr>
          <w:ilvl w:val="0"/>
          <w:numId w:val="27"/>
        </w:numPr>
        <w:rPr>
          <w:rFonts w:cs="Arial"/>
        </w:rPr>
      </w:pPr>
      <w:r w:rsidRPr="002A75F2">
        <w:rPr>
          <w:rFonts w:cs="Arial"/>
        </w:rPr>
        <w:t>Rationale for using this TRV</w:t>
      </w:r>
      <w:r w:rsidR="005E6F98" w:rsidRPr="002A75F2">
        <w:rPr>
          <w:rFonts w:cs="Arial"/>
        </w:rPr>
        <w:t>.</w:t>
      </w:r>
    </w:p>
    <w:p w14:paraId="48E52176" w14:textId="2DA782CC" w:rsidR="00B736F9" w:rsidRPr="002A75F2" w:rsidRDefault="00B736F9" w:rsidP="00E6354E">
      <w:pPr>
        <w:rPr>
          <w:rFonts w:cs="Arial"/>
        </w:rPr>
      </w:pPr>
      <w:r w:rsidRPr="002A75F2">
        <w:rPr>
          <w:rFonts w:cs="Arial"/>
        </w:rPr>
        <w:t xml:space="preserve">It may not be possible or appropriate to conduct quantitative calculations for </w:t>
      </w:r>
      <w:r w:rsidR="007E5BDB" w:rsidRPr="002A75F2">
        <w:rPr>
          <w:rFonts w:cs="Arial"/>
        </w:rPr>
        <w:t>risk assessments where there is</w:t>
      </w:r>
      <w:r w:rsidRPr="002A75F2">
        <w:rPr>
          <w:rFonts w:cs="Arial"/>
        </w:rPr>
        <w:t xml:space="preserve"> insufficient data or no pre-existing toxicological assessment of the contaminant. In general, when a contaminant </w:t>
      </w:r>
      <w:r w:rsidR="00BB3031" w:rsidRPr="002A75F2">
        <w:rPr>
          <w:rFonts w:cs="Arial"/>
        </w:rPr>
        <w:t>(</w:t>
      </w:r>
      <w:r w:rsidR="00F556E9" w:rsidRPr="002A75F2">
        <w:rPr>
          <w:rFonts w:cs="Arial"/>
        </w:rPr>
        <w:t>or its surrogate</w:t>
      </w:r>
      <w:r w:rsidR="00BB3031" w:rsidRPr="002A75F2">
        <w:rPr>
          <w:rFonts w:cs="Arial"/>
        </w:rPr>
        <w:t>)</w:t>
      </w:r>
      <w:r w:rsidR="00F556E9" w:rsidRPr="002A75F2">
        <w:rPr>
          <w:rFonts w:cs="Arial"/>
        </w:rPr>
        <w:t xml:space="preserve"> </w:t>
      </w:r>
      <w:r w:rsidRPr="002A75F2">
        <w:rPr>
          <w:rFonts w:cs="Arial"/>
        </w:rPr>
        <w:t xml:space="preserve">has not been assessed and an exposure limit, </w:t>
      </w:r>
      <w:smartTag w:uri="urn:schemas-microsoft-com:office:smarttags" w:element="stockticker">
        <w:r w:rsidRPr="002A75F2">
          <w:rPr>
            <w:rFonts w:cs="Arial"/>
          </w:rPr>
          <w:t>TRV</w:t>
        </w:r>
      </w:smartTag>
      <w:r w:rsidRPr="002A75F2">
        <w:rPr>
          <w:rFonts w:cs="Arial"/>
        </w:rPr>
        <w:t xml:space="preserve"> or dose response relationship has not been established by </w:t>
      </w:r>
      <w:r w:rsidR="00617CB5" w:rsidRPr="002A75F2">
        <w:rPr>
          <w:rFonts w:cs="Arial"/>
        </w:rPr>
        <w:t>credible</w:t>
      </w:r>
      <w:r w:rsidRPr="002A75F2">
        <w:rPr>
          <w:rFonts w:cs="Arial"/>
        </w:rPr>
        <w:t xml:space="preserve"> </w:t>
      </w:r>
      <w:r w:rsidR="005E6F98" w:rsidRPr="002A75F2">
        <w:rPr>
          <w:rFonts w:cs="Arial"/>
        </w:rPr>
        <w:t xml:space="preserve">regulatory </w:t>
      </w:r>
      <w:r w:rsidRPr="002A75F2">
        <w:rPr>
          <w:rFonts w:cs="Arial"/>
        </w:rPr>
        <w:t xml:space="preserve">agencies, quantitative calculations for risk assessment should not be undertaken without prior consultation with </w:t>
      </w:r>
      <w:r w:rsidR="00683E92" w:rsidRPr="002A75F2">
        <w:rPr>
          <w:rFonts w:cs="Arial"/>
        </w:rPr>
        <w:t xml:space="preserve">the </w:t>
      </w:r>
      <w:r w:rsidR="00657FDB" w:rsidRPr="002A75F2">
        <w:rPr>
          <w:rFonts w:cs="Arial"/>
        </w:rPr>
        <w:t>M</w:t>
      </w:r>
      <w:r w:rsidR="00683E92" w:rsidRPr="002A75F2">
        <w:rPr>
          <w:rFonts w:cs="Arial"/>
        </w:rPr>
        <w:t>inistry</w:t>
      </w:r>
      <w:r w:rsidRPr="002A75F2">
        <w:rPr>
          <w:rFonts w:cs="Arial"/>
        </w:rPr>
        <w:t xml:space="preserve">. Analysis of published toxicity data other than described above by a </w:t>
      </w:r>
      <w:r w:rsidR="00617CB5" w:rsidRPr="002A75F2">
        <w:rPr>
          <w:rFonts w:cs="Arial"/>
        </w:rPr>
        <w:t>credible</w:t>
      </w:r>
      <w:r w:rsidRPr="002A75F2">
        <w:rPr>
          <w:rFonts w:cs="Arial"/>
        </w:rPr>
        <w:t xml:space="preserve"> agency is highly discouraged and will generally not be accepted by the </w:t>
      </w:r>
      <w:r w:rsidR="00C76455" w:rsidRPr="002A75F2">
        <w:rPr>
          <w:rFonts w:cs="Arial"/>
        </w:rPr>
        <w:t>Ministry</w:t>
      </w:r>
      <w:r w:rsidRPr="002A75F2">
        <w:rPr>
          <w:rFonts w:cs="Arial"/>
        </w:rPr>
        <w:t xml:space="preserve">. </w:t>
      </w:r>
      <w:r w:rsidRPr="002A75F2">
        <w:rPr>
          <w:rFonts w:cs="Arial"/>
        </w:rPr>
        <w:lastRenderedPageBreak/>
        <w:t xml:space="preserve">In the exceptional case where no TRVs are available for a contaminant but sufficient and defensible scientific information is available in the published literature and/or public domain, a proponent may be allowed to develop a </w:t>
      </w:r>
      <w:smartTag w:uri="urn:schemas-microsoft-com:office:smarttags" w:element="stockticker">
        <w:r w:rsidRPr="002A75F2">
          <w:rPr>
            <w:rFonts w:cs="Arial"/>
          </w:rPr>
          <w:t>TRV</w:t>
        </w:r>
      </w:smartTag>
      <w:r w:rsidRPr="002A75F2">
        <w:rPr>
          <w:rFonts w:cs="Arial"/>
        </w:rPr>
        <w:t xml:space="preserve"> after consultation with </w:t>
      </w:r>
      <w:r w:rsidR="00657FDB" w:rsidRPr="002A75F2">
        <w:rPr>
          <w:rFonts w:cs="Arial"/>
        </w:rPr>
        <w:t>M</w:t>
      </w:r>
      <w:r w:rsidR="002A6EE0" w:rsidRPr="002A75F2">
        <w:rPr>
          <w:rFonts w:cs="Arial"/>
        </w:rPr>
        <w:t>inistry</w:t>
      </w:r>
      <w:r w:rsidRPr="002A75F2">
        <w:rPr>
          <w:rFonts w:cs="Arial"/>
        </w:rPr>
        <w:t xml:space="preserve"> toxicologists.</w:t>
      </w:r>
    </w:p>
    <w:p w14:paraId="19418C14" w14:textId="77777777" w:rsidR="00B736F9" w:rsidRPr="002A75F2" w:rsidRDefault="00B736F9" w:rsidP="009855C8">
      <w:pPr>
        <w:rPr>
          <w:rFonts w:cs="Arial"/>
        </w:rPr>
      </w:pPr>
      <w:r w:rsidRPr="002A75F2">
        <w:rPr>
          <w:rFonts w:cs="Arial"/>
        </w:rPr>
        <w:t>A lack of relevant data should lead to the following conclusions:</w:t>
      </w:r>
    </w:p>
    <w:p w14:paraId="02A79770" w14:textId="77777777" w:rsidR="00B736F9" w:rsidRPr="002A75F2" w:rsidRDefault="00B736F9" w:rsidP="000E72E5">
      <w:pPr>
        <w:pStyle w:val="ListBullet2"/>
        <w:rPr>
          <w:rFonts w:cs="Arial"/>
        </w:rPr>
      </w:pPr>
      <w:r w:rsidRPr="002A75F2">
        <w:rPr>
          <w:rFonts w:cs="Arial"/>
        </w:rPr>
        <w:t>The present status of scientific knowledge does not allow the quantitative evaluation of human health risk, and</w:t>
      </w:r>
    </w:p>
    <w:p w14:paraId="726951B1" w14:textId="77777777" w:rsidR="00B736F9" w:rsidRPr="002A75F2" w:rsidRDefault="00B736F9" w:rsidP="000E72E5">
      <w:pPr>
        <w:pStyle w:val="ListBullet2"/>
        <w:rPr>
          <w:rFonts w:cs="Arial"/>
        </w:rPr>
      </w:pPr>
      <w:r w:rsidRPr="002A75F2">
        <w:rPr>
          <w:rFonts w:cs="Arial"/>
        </w:rPr>
        <w:t>No</w:t>
      </w:r>
      <w:r w:rsidR="00FE3406" w:rsidRPr="002A75F2">
        <w:rPr>
          <w:rFonts w:cs="Arial"/>
        </w:rPr>
        <w:t xml:space="preserve"> property specific human health</w:t>
      </w:r>
      <w:r w:rsidRPr="002A75F2">
        <w:rPr>
          <w:rFonts w:cs="Arial"/>
        </w:rPr>
        <w:t>-based standard can be established.</w:t>
      </w:r>
    </w:p>
    <w:p w14:paraId="4D6FE15F" w14:textId="6B6CA310" w:rsidR="00B736F9" w:rsidRPr="002A75F2" w:rsidRDefault="00B736F9" w:rsidP="00840964">
      <w:pPr>
        <w:rPr>
          <w:rFonts w:cs="Arial"/>
        </w:rPr>
      </w:pPr>
      <w:r w:rsidRPr="002A75F2">
        <w:rPr>
          <w:rFonts w:cs="Arial"/>
        </w:rPr>
        <w:t>Recommendations can be made that, for the protection of human health and in the absence of adequate knowledge of human health risk, exposure to humans be reduced as much as possible and property</w:t>
      </w:r>
      <w:r w:rsidR="004031C1" w:rsidRPr="002A75F2">
        <w:rPr>
          <w:rFonts w:cs="Arial"/>
        </w:rPr>
        <w:t xml:space="preserve"> </w:t>
      </w:r>
      <w:r w:rsidRPr="002A75F2">
        <w:rPr>
          <w:rFonts w:cs="Arial"/>
        </w:rPr>
        <w:t>specific standards be based on other factors (</w:t>
      </w:r>
      <w:r w:rsidR="008A792B" w:rsidRPr="002A75F2">
        <w:rPr>
          <w:rFonts w:cs="Arial"/>
        </w:rPr>
        <w:t xml:space="preserve">e.g. </w:t>
      </w:r>
      <w:r w:rsidRPr="002A75F2">
        <w:rPr>
          <w:rFonts w:cs="Arial"/>
        </w:rPr>
        <w:t>the full depth background site condition standards in Table 1</w:t>
      </w:r>
      <w:r w:rsidR="00E60606" w:rsidRPr="002A75F2">
        <w:rPr>
          <w:rFonts w:cs="Arial"/>
        </w:rPr>
        <w:t xml:space="preserve"> </w:t>
      </w:r>
      <w:r w:rsidRPr="002A75F2">
        <w:rPr>
          <w:rFonts w:cs="Arial"/>
        </w:rPr>
        <w:t xml:space="preserve">of the Soil, Ground Water and Sediment Standards). When no site condition standard exists for a given chemical parameter, the property owner may choose to adopt a background-based or effects-based soil or groundwater value from another </w:t>
      </w:r>
      <w:r w:rsidR="00617CB5" w:rsidRPr="002A75F2">
        <w:rPr>
          <w:rFonts w:cs="Arial"/>
        </w:rPr>
        <w:t>credible</w:t>
      </w:r>
      <w:r w:rsidRPr="002A75F2">
        <w:rPr>
          <w:rFonts w:cs="Arial"/>
        </w:rPr>
        <w:t xml:space="preserve"> </w:t>
      </w:r>
      <w:r w:rsidR="007118B3" w:rsidRPr="002A75F2">
        <w:rPr>
          <w:rFonts w:cs="Arial"/>
        </w:rPr>
        <w:t>regulatory agency</w:t>
      </w:r>
      <w:r w:rsidRPr="002A75F2">
        <w:rPr>
          <w:rFonts w:cs="Arial"/>
        </w:rPr>
        <w:t>.</w:t>
      </w:r>
    </w:p>
    <w:p w14:paraId="5825E3D5" w14:textId="77777777" w:rsidR="00B736F9" w:rsidRPr="002A75F2" w:rsidRDefault="00B736F9" w:rsidP="009855C8">
      <w:pPr>
        <w:rPr>
          <w:rFonts w:cs="Arial"/>
        </w:rPr>
      </w:pPr>
      <w:r w:rsidRPr="002A75F2">
        <w:rPr>
          <w:rFonts w:cs="Arial"/>
        </w:rPr>
        <w:t xml:space="preserve">Caution should be exercised in converting toxicity data as follows: </w:t>
      </w:r>
    </w:p>
    <w:p w14:paraId="40A258EA" w14:textId="77777777" w:rsidR="00B736F9" w:rsidRPr="002A75F2" w:rsidRDefault="00D55AE9" w:rsidP="000E72E5">
      <w:pPr>
        <w:pStyle w:val="ListBullet2"/>
        <w:rPr>
          <w:rFonts w:cs="Arial"/>
        </w:rPr>
      </w:pPr>
      <w:r w:rsidRPr="002A75F2">
        <w:rPr>
          <w:rFonts w:cs="Arial"/>
        </w:rPr>
        <w:t>C</w:t>
      </w:r>
      <w:r w:rsidR="00B736F9" w:rsidRPr="002A75F2">
        <w:rPr>
          <w:rFonts w:cs="Arial"/>
        </w:rPr>
        <w:t xml:space="preserve">onverting the TRVs from one route of exposure to another must be supported with adequate rationale depending on </w:t>
      </w:r>
      <w:r w:rsidR="00DA4362" w:rsidRPr="002A75F2">
        <w:rPr>
          <w:rFonts w:cs="Arial"/>
        </w:rPr>
        <w:t xml:space="preserve">the availability of </w:t>
      </w:r>
      <w:r w:rsidR="00B736F9" w:rsidRPr="002A75F2">
        <w:rPr>
          <w:rFonts w:cs="Arial"/>
        </w:rPr>
        <w:t>route-specific studies</w:t>
      </w:r>
      <w:r w:rsidR="00DA4362" w:rsidRPr="002A75F2">
        <w:rPr>
          <w:rFonts w:cs="Arial"/>
        </w:rPr>
        <w:t xml:space="preserve">, or scientific evidence indicating </w:t>
      </w:r>
      <w:r w:rsidR="00A56EE1" w:rsidRPr="002A75F2">
        <w:rPr>
          <w:rFonts w:cs="Arial"/>
        </w:rPr>
        <w:t>that the endpoints are based on systemic effects</w:t>
      </w:r>
      <w:r w:rsidR="0089143A" w:rsidRPr="002A75F2">
        <w:rPr>
          <w:rFonts w:cs="Arial"/>
        </w:rPr>
        <w:t>;</w:t>
      </w:r>
    </w:p>
    <w:p w14:paraId="2F39F07C" w14:textId="61D80A88" w:rsidR="00C83DF4" w:rsidRPr="002A75F2" w:rsidRDefault="00D55AE9" w:rsidP="000E72E5">
      <w:pPr>
        <w:pStyle w:val="ListBullet2"/>
        <w:rPr>
          <w:rFonts w:cs="Arial"/>
        </w:rPr>
      </w:pPr>
      <w:r w:rsidRPr="002A75F2">
        <w:rPr>
          <w:rFonts w:cs="Arial"/>
        </w:rPr>
        <w:t>W</w:t>
      </w:r>
      <w:r w:rsidR="00C83DF4" w:rsidRPr="002A75F2">
        <w:rPr>
          <w:rFonts w:cs="Arial"/>
        </w:rPr>
        <w:t xml:space="preserve">hen assessing inhalation of indoor air, most jurisdictions </w:t>
      </w:r>
      <w:r w:rsidR="005366DE" w:rsidRPr="002A75F2">
        <w:rPr>
          <w:rFonts w:cs="Arial"/>
        </w:rPr>
        <w:t xml:space="preserve">now </w:t>
      </w:r>
      <w:r w:rsidR="00C83DF4" w:rsidRPr="002A75F2">
        <w:rPr>
          <w:rFonts w:cs="Arial"/>
        </w:rPr>
        <w:t xml:space="preserve">report </w:t>
      </w:r>
      <w:r w:rsidR="005366DE" w:rsidRPr="002A75F2">
        <w:rPr>
          <w:rFonts w:cs="Arial"/>
        </w:rPr>
        <w:t>inhalation</w:t>
      </w:r>
      <w:r w:rsidR="00C83DF4" w:rsidRPr="002A75F2">
        <w:rPr>
          <w:rFonts w:cs="Arial"/>
        </w:rPr>
        <w:t xml:space="preserve"> TRV</w:t>
      </w:r>
      <w:r w:rsidR="005366DE" w:rsidRPr="002A75F2">
        <w:rPr>
          <w:rFonts w:cs="Arial"/>
        </w:rPr>
        <w:t>s</w:t>
      </w:r>
      <w:r w:rsidR="00C83DF4" w:rsidRPr="002A75F2">
        <w:rPr>
          <w:rFonts w:cs="Arial"/>
        </w:rPr>
        <w:t xml:space="preserve"> in terms of acceptable </w:t>
      </w:r>
      <w:r w:rsidR="005366DE" w:rsidRPr="002A75F2">
        <w:rPr>
          <w:rFonts w:cs="Arial"/>
        </w:rPr>
        <w:t xml:space="preserve">indoor air </w:t>
      </w:r>
      <w:r w:rsidR="00C83DF4" w:rsidRPr="002A75F2">
        <w:rPr>
          <w:rFonts w:cs="Arial"/>
        </w:rPr>
        <w:t>concentration</w:t>
      </w:r>
      <w:r w:rsidR="005366DE" w:rsidRPr="002A75F2">
        <w:rPr>
          <w:rFonts w:cs="Arial"/>
        </w:rPr>
        <w:t>s</w:t>
      </w:r>
      <w:r w:rsidR="00C83DF4" w:rsidRPr="002A75F2">
        <w:rPr>
          <w:rFonts w:cs="Arial"/>
        </w:rPr>
        <w:t xml:space="preserve"> (e.g. in </w:t>
      </w:r>
      <w:r w:rsidR="00027CF1" w:rsidRPr="002A75F2">
        <w:rPr>
          <w:rFonts w:cs="Arial"/>
        </w:rPr>
        <w:t>µ</w:t>
      </w:r>
      <w:r w:rsidR="00C83DF4" w:rsidRPr="002A75F2">
        <w:rPr>
          <w:rFonts w:cs="Arial"/>
        </w:rPr>
        <w:t>g/m</w:t>
      </w:r>
      <w:r w:rsidR="00C83DF4" w:rsidRPr="002A75F2">
        <w:rPr>
          <w:rFonts w:cs="Arial"/>
          <w:vertAlign w:val="superscript"/>
        </w:rPr>
        <w:t>3</w:t>
      </w:r>
      <w:r w:rsidR="00C83DF4" w:rsidRPr="002A75F2">
        <w:rPr>
          <w:rFonts w:cs="Arial"/>
        </w:rPr>
        <w:t xml:space="preserve">). Using these TRVs to calculate dose (e.g. </w:t>
      </w:r>
      <w:r w:rsidR="00027CF1" w:rsidRPr="002A75F2">
        <w:rPr>
          <w:rFonts w:cs="Arial"/>
        </w:rPr>
        <w:t>µ</w:t>
      </w:r>
      <w:r w:rsidR="00C83DF4" w:rsidRPr="002A75F2">
        <w:rPr>
          <w:rFonts w:cs="Arial"/>
        </w:rPr>
        <w:t xml:space="preserve">g/kg/day) </w:t>
      </w:r>
      <w:r w:rsidR="005366DE" w:rsidRPr="002A75F2">
        <w:rPr>
          <w:rFonts w:cs="Arial"/>
        </w:rPr>
        <w:t xml:space="preserve">and risk levels </w:t>
      </w:r>
      <w:r w:rsidR="00C83DF4" w:rsidRPr="002A75F2">
        <w:rPr>
          <w:rFonts w:cs="Arial"/>
        </w:rPr>
        <w:t>may not be appropriate, as uncertainties regarding receptor characteristics (e.g. different inhalation rates</w:t>
      </w:r>
      <w:r w:rsidR="00CE4FAB" w:rsidRPr="002A75F2">
        <w:rPr>
          <w:rFonts w:cs="Arial"/>
        </w:rPr>
        <w:t xml:space="preserve"> and body weights</w:t>
      </w:r>
      <w:r w:rsidR="00C83DF4" w:rsidRPr="002A75F2">
        <w:rPr>
          <w:rFonts w:cs="Arial"/>
        </w:rPr>
        <w:t xml:space="preserve"> for </w:t>
      </w:r>
      <w:r w:rsidR="001F3586" w:rsidRPr="002A75F2">
        <w:rPr>
          <w:rFonts w:cs="Arial"/>
        </w:rPr>
        <w:t>different</w:t>
      </w:r>
      <w:r w:rsidR="00CE4FAB" w:rsidRPr="002A75F2">
        <w:rPr>
          <w:rFonts w:cs="Arial"/>
        </w:rPr>
        <w:t xml:space="preserve"> receptor</w:t>
      </w:r>
      <w:r w:rsidR="001F3586" w:rsidRPr="002A75F2">
        <w:rPr>
          <w:rFonts w:cs="Arial"/>
        </w:rPr>
        <w:t xml:space="preserve"> life</w:t>
      </w:r>
      <w:r w:rsidR="00E67CB5" w:rsidRPr="002A75F2">
        <w:rPr>
          <w:rFonts w:cs="Arial"/>
        </w:rPr>
        <w:t>-</w:t>
      </w:r>
      <w:r w:rsidR="001F3586" w:rsidRPr="002A75F2">
        <w:rPr>
          <w:rFonts w:cs="Arial"/>
        </w:rPr>
        <w:t xml:space="preserve">stages) </w:t>
      </w:r>
      <w:r w:rsidR="00C83DF4" w:rsidRPr="002A75F2">
        <w:rPr>
          <w:rFonts w:cs="Arial"/>
        </w:rPr>
        <w:t xml:space="preserve">are often </w:t>
      </w:r>
      <w:r w:rsidR="001F3586" w:rsidRPr="002A75F2">
        <w:rPr>
          <w:rFonts w:cs="Arial"/>
        </w:rPr>
        <w:t xml:space="preserve">already </w:t>
      </w:r>
      <w:r w:rsidR="00C83DF4" w:rsidRPr="002A75F2">
        <w:rPr>
          <w:rFonts w:cs="Arial"/>
        </w:rPr>
        <w:t xml:space="preserve">accounted for </w:t>
      </w:r>
      <w:r w:rsidR="001F3586" w:rsidRPr="002A75F2">
        <w:rPr>
          <w:rFonts w:cs="Arial"/>
        </w:rPr>
        <w:t xml:space="preserve">by the </w:t>
      </w:r>
      <w:r w:rsidR="005366DE" w:rsidRPr="002A75F2">
        <w:rPr>
          <w:rFonts w:cs="Arial"/>
        </w:rPr>
        <w:t>jurisdiction</w:t>
      </w:r>
      <w:r w:rsidR="001F3586" w:rsidRPr="002A75F2">
        <w:rPr>
          <w:rFonts w:cs="Arial"/>
        </w:rPr>
        <w:t xml:space="preserve"> </w:t>
      </w:r>
      <w:r w:rsidR="00C83DF4" w:rsidRPr="002A75F2">
        <w:rPr>
          <w:rFonts w:cs="Arial"/>
        </w:rPr>
        <w:t xml:space="preserve">in </w:t>
      </w:r>
      <w:r w:rsidR="001F3586" w:rsidRPr="002A75F2">
        <w:rPr>
          <w:rFonts w:cs="Arial"/>
        </w:rPr>
        <w:t>the development of inhalation TRVs</w:t>
      </w:r>
      <w:r w:rsidR="005366DE" w:rsidRPr="002A75F2">
        <w:rPr>
          <w:rFonts w:cs="Arial"/>
        </w:rPr>
        <w:t>;</w:t>
      </w:r>
    </w:p>
    <w:p w14:paraId="5CCB98F7" w14:textId="3818E7A9" w:rsidR="00B736F9" w:rsidRPr="002A75F2" w:rsidRDefault="003325AE" w:rsidP="000E72E5">
      <w:pPr>
        <w:pStyle w:val="ListBullet2"/>
        <w:rPr>
          <w:rFonts w:cs="Arial"/>
        </w:rPr>
      </w:pPr>
      <w:r w:rsidRPr="002A75F2">
        <w:rPr>
          <w:rFonts w:cs="Arial"/>
        </w:rPr>
        <w:t>Extrapolating</w:t>
      </w:r>
      <w:r w:rsidR="005A0F2D" w:rsidRPr="002A75F2">
        <w:rPr>
          <w:rFonts w:cs="Arial"/>
        </w:rPr>
        <w:t xml:space="preserve"> toxic effects from short-</w:t>
      </w:r>
      <w:r w:rsidR="00B736F9" w:rsidRPr="002A75F2">
        <w:rPr>
          <w:rFonts w:cs="Arial"/>
        </w:rPr>
        <w:t>term exposure to toxic effects expected from chronic exposure must be supported with TRVs from appropriate studies. Such an approach must clearly indicate that the toxicity endpoints of long-term and short-term exposure are consistent and mediated by the same mechanisms</w:t>
      </w:r>
      <w:r w:rsidR="0089143A" w:rsidRPr="002A75F2">
        <w:rPr>
          <w:rFonts w:cs="Arial"/>
        </w:rPr>
        <w:t>;</w:t>
      </w:r>
    </w:p>
    <w:p w14:paraId="09B8265B" w14:textId="2E7C1995" w:rsidR="00B736F9" w:rsidRPr="002A75F2" w:rsidRDefault="00D55AE9" w:rsidP="000E72E5">
      <w:pPr>
        <w:pStyle w:val="ListBullet2"/>
        <w:rPr>
          <w:rFonts w:cs="Arial"/>
        </w:rPr>
      </w:pPr>
      <w:r w:rsidRPr="002A75F2">
        <w:rPr>
          <w:rFonts w:cs="Arial"/>
        </w:rPr>
        <w:t>U</w:t>
      </w:r>
      <w:r w:rsidR="00B736F9" w:rsidRPr="002A75F2">
        <w:rPr>
          <w:rFonts w:cs="Arial"/>
        </w:rPr>
        <w:t xml:space="preserve">sing Occupational Exposure Limits (OELs) for site-specific risk assessment purposes </w:t>
      </w:r>
      <w:r w:rsidR="00F811B0" w:rsidRPr="002A75F2">
        <w:rPr>
          <w:rFonts w:cs="Arial"/>
        </w:rPr>
        <w:t>are</w:t>
      </w:r>
      <w:r w:rsidR="00B736F9" w:rsidRPr="002A75F2">
        <w:rPr>
          <w:rFonts w:cs="Arial"/>
        </w:rPr>
        <w:t xml:space="preserve"> not appropriate </w:t>
      </w:r>
      <w:r w:rsidR="00E529A0" w:rsidRPr="002A75F2">
        <w:rPr>
          <w:rFonts w:cs="Arial"/>
        </w:rPr>
        <w:t>under the Regulation</w:t>
      </w:r>
      <w:r w:rsidR="00B736F9" w:rsidRPr="002A75F2">
        <w:rPr>
          <w:rFonts w:cs="Arial"/>
        </w:rPr>
        <w:t>.</w:t>
      </w:r>
      <w:r w:rsidR="00C76455" w:rsidRPr="002A75F2">
        <w:rPr>
          <w:rFonts w:cs="Arial"/>
        </w:rPr>
        <w:t xml:space="preserve"> </w:t>
      </w:r>
      <w:r w:rsidR="00B736F9" w:rsidRPr="002A75F2">
        <w:rPr>
          <w:rFonts w:cs="Arial"/>
        </w:rPr>
        <w:t xml:space="preserve">In general, OELs </w:t>
      </w:r>
      <w:r w:rsidR="00887593" w:rsidRPr="002A75F2">
        <w:rPr>
          <w:rFonts w:cs="Arial"/>
        </w:rPr>
        <w:t xml:space="preserve">may be developed using target risk levels other than those prescribed under the Regulation and </w:t>
      </w:r>
      <w:r w:rsidR="00B736F9" w:rsidRPr="002A75F2">
        <w:rPr>
          <w:rFonts w:cs="Arial"/>
        </w:rPr>
        <w:t xml:space="preserve">apply strictly to workers under specific exposure patterns deemed to be appropriate in the </w:t>
      </w:r>
      <w:proofErr w:type="spellStart"/>
      <w:r w:rsidR="00B736F9" w:rsidRPr="002A75F2">
        <w:rPr>
          <w:rFonts w:cs="Arial"/>
        </w:rPr>
        <w:t>labour</w:t>
      </w:r>
      <w:proofErr w:type="spellEnd"/>
      <w:r w:rsidR="00B736F9" w:rsidRPr="002A75F2">
        <w:rPr>
          <w:rFonts w:cs="Arial"/>
        </w:rPr>
        <w:t xml:space="preserve"> regulation</w:t>
      </w:r>
      <w:r w:rsidR="0089143A" w:rsidRPr="002A75F2">
        <w:rPr>
          <w:rFonts w:cs="Arial"/>
        </w:rPr>
        <w:t>.</w:t>
      </w:r>
    </w:p>
    <w:p w14:paraId="78A436BD" w14:textId="69EE4523" w:rsidR="004E0BE5" w:rsidRPr="000C60E1" w:rsidRDefault="004E0BE5" w:rsidP="004E0BE5">
      <w:pPr>
        <w:rPr>
          <w:rFonts w:cs="Arial"/>
        </w:rPr>
      </w:pPr>
      <w:r w:rsidRPr="002A75F2">
        <w:rPr>
          <w:rFonts w:cs="Arial"/>
        </w:rPr>
        <w:t>Finally, for contaminants with no Ministry standards, the QP</w:t>
      </w:r>
      <w:r w:rsidRPr="002A75F2">
        <w:rPr>
          <w:rFonts w:cs="Arial"/>
          <w:vertAlign w:val="subscript"/>
        </w:rPr>
        <w:t>RA</w:t>
      </w:r>
      <w:r w:rsidRPr="002A75F2">
        <w:rPr>
          <w:rFonts w:cs="Arial"/>
        </w:rPr>
        <w:t xml:space="preserve"> will need to review TRVs available from other credible agencies, make selections and provide a clear rationale for the TRVs selections. In some cases, when assessing a contaminant for which there is no applicable site condition standard, the </w:t>
      </w:r>
      <w:r w:rsidR="006C4301" w:rsidRPr="002A75F2">
        <w:rPr>
          <w:rFonts w:cs="Arial"/>
        </w:rPr>
        <w:t>risk assessment</w:t>
      </w:r>
      <w:r w:rsidRPr="002A75F2">
        <w:rPr>
          <w:rFonts w:cs="Arial"/>
        </w:rPr>
        <w:t xml:space="preserve"> may be considered as a new science risk assessment as per the Regulation</w:t>
      </w:r>
      <w:r w:rsidR="007A7295" w:rsidRPr="002A75F2">
        <w:rPr>
          <w:rFonts w:cs="Arial"/>
        </w:rPr>
        <w:t xml:space="preserve">, refer to Section </w:t>
      </w:r>
      <w:r w:rsidR="00D27D03" w:rsidRPr="002A75F2">
        <w:rPr>
          <w:rFonts w:cs="Arial"/>
        </w:rPr>
        <w:t>9.3.1</w:t>
      </w:r>
      <w:r w:rsidR="007A7295" w:rsidRPr="002A75F2">
        <w:rPr>
          <w:rFonts w:cs="Arial"/>
        </w:rPr>
        <w:t xml:space="preserve"> of this Procedures document</w:t>
      </w:r>
      <w:r w:rsidR="00D27D03" w:rsidRPr="002A75F2">
        <w:rPr>
          <w:rFonts w:cs="Arial"/>
        </w:rPr>
        <w:t xml:space="preserve"> for additional details.</w:t>
      </w:r>
    </w:p>
    <w:p w14:paraId="4ED4EE04" w14:textId="720A4DBD" w:rsidR="00B736F9" w:rsidRPr="000C60E1" w:rsidRDefault="00B736F9" w:rsidP="00E6354E">
      <w:pPr>
        <w:pStyle w:val="Heading2"/>
        <w:rPr>
          <w:rFonts w:cs="Arial"/>
        </w:rPr>
      </w:pPr>
      <w:bookmarkStart w:id="216" w:name="_4.4__Risk_Characterization"/>
      <w:bookmarkStart w:id="217" w:name="_Toc74119416"/>
      <w:bookmarkStart w:id="218" w:name="_Toc74450896"/>
      <w:bookmarkStart w:id="219" w:name="_Toc79571584"/>
      <w:bookmarkStart w:id="220" w:name="_Toc78162207"/>
      <w:bookmarkStart w:id="221" w:name="_Toc91393563"/>
      <w:bookmarkStart w:id="222" w:name="_Toc112727426"/>
      <w:bookmarkStart w:id="223" w:name="_Toc41905702"/>
      <w:bookmarkEnd w:id="216"/>
      <w:r w:rsidRPr="000C60E1">
        <w:rPr>
          <w:rFonts w:cs="Arial"/>
        </w:rPr>
        <w:t>Risk Characterization</w:t>
      </w:r>
      <w:bookmarkEnd w:id="217"/>
      <w:bookmarkEnd w:id="218"/>
      <w:bookmarkEnd w:id="219"/>
      <w:bookmarkEnd w:id="220"/>
      <w:bookmarkEnd w:id="221"/>
      <w:bookmarkEnd w:id="222"/>
      <w:bookmarkEnd w:id="223"/>
    </w:p>
    <w:p w14:paraId="59BBE4F2" w14:textId="74DF5203" w:rsidR="00B736F9" w:rsidRPr="000C60E1" w:rsidRDefault="00B736F9" w:rsidP="00840964">
      <w:pPr>
        <w:rPr>
          <w:rFonts w:cs="Arial"/>
        </w:rPr>
      </w:pPr>
      <w:r w:rsidRPr="000C60E1">
        <w:rPr>
          <w:rFonts w:cs="Arial"/>
        </w:rPr>
        <w:lastRenderedPageBreak/>
        <w:t xml:space="preserve">Risk characterization must include evaluation of the contribution from the different exposure routes and media to the overall risk. In the characterization of risk, the </w:t>
      </w:r>
      <w:r w:rsidR="000767FF" w:rsidRPr="000C60E1">
        <w:rPr>
          <w:rFonts w:cs="Arial"/>
        </w:rPr>
        <w:t>QP</w:t>
      </w:r>
      <w:r w:rsidR="000767FF" w:rsidRPr="000C60E1">
        <w:rPr>
          <w:rFonts w:cs="Arial"/>
          <w:vertAlign w:val="subscript"/>
        </w:rPr>
        <w:t>RA</w:t>
      </w:r>
      <w:r w:rsidRPr="000C60E1">
        <w:rPr>
          <w:rFonts w:cs="Arial"/>
        </w:rPr>
        <w:t xml:space="preserve"> should describe the following:</w:t>
      </w:r>
    </w:p>
    <w:p w14:paraId="184AFB6C" w14:textId="77777777" w:rsidR="00B736F9" w:rsidRPr="000C60E1" w:rsidRDefault="00B736F9" w:rsidP="000E72E5">
      <w:pPr>
        <w:pStyle w:val="ListBullet2"/>
        <w:rPr>
          <w:rFonts w:cs="Arial"/>
        </w:rPr>
      </w:pPr>
      <w:r w:rsidRPr="000C60E1">
        <w:rPr>
          <w:rFonts w:cs="Arial"/>
        </w:rPr>
        <w:t>the nature and magnitude of the risk from each route of exposure, and from all routes combined if relevant and supported by the toxicity profile of COCs</w:t>
      </w:r>
      <w:r w:rsidR="0089143A" w:rsidRPr="000C60E1">
        <w:rPr>
          <w:rFonts w:cs="Arial"/>
        </w:rPr>
        <w:t>;</w:t>
      </w:r>
    </w:p>
    <w:p w14:paraId="0F9C1A1B" w14:textId="77777777" w:rsidR="00B736F9" w:rsidRPr="000C60E1" w:rsidRDefault="00B736F9" w:rsidP="000E72E5">
      <w:pPr>
        <w:pStyle w:val="ListBullet2"/>
        <w:rPr>
          <w:rFonts w:cs="Arial"/>
        </w:rPr>
      </w:pPr>
      <w:r w:rsidRPr="000C60E1">
        <w:rPr>
          <w:rFonts w:cs="Arial"/>
        </w:rPr>
        <w:t xml:space="preserve">whether current or future </w:t>
      </w:r>
      <w:r w:rsidR="002D0526" w:rsidRPr="000C60E1">
        <w:rPr>
          <w:rFonts w:cs="Arial"/>
        </w:rPr>
        <w:t>COC concentrations</w:t>
      </w:r>
      <w:r w:rsidRPr="000C60E1">
        <w:rPr>
          <w:rFonts w:cs="Arial"/>
        </w:rPr>
        <w:t xml:space="preserve"> at or near the property are of potential concern to receptors, on and off the property</w:t>
      </w:r>
      <w:r w:rsidR="0089143A" w:rsidRPr="000C60E1">
        <w:rPr>
          <w:rFonts w:cs="Arial"/>
        </w:rPr>
        <w:t>;</w:t>
      </w:r>
    </w:p>
    <w:p w14:paraId="72A2364D" w14:textId="77777777" w:rsidR="00B736F9" w:rsidRPr="000C60E1" w:rsidRDefault="00B736F9" w:rsidP="000E72E5">
      <w:pPr>
        <w:pStyle w:val="ListBullet2"/>
        <w:rPr>
          <w:rFonts w:cs="Arial"/>
        </w:rPr>
      </w:pPr>
      <w:r w:rsidRPr="000C60E1">
        <w:rPr>
          <w:rFonts w:cs="Arial"/>
        </w:rPr>
        <w:t>the populations and sub-populations at greatest risk</w:t>
      </w:r>
      <w:r w:rsidR="0089143A" w:rsidRPr="000C60E1">
        <w:rPr>
          <w:rFonts w:cs="Arial"/>
        </w:rPr>
        <w:t>;</w:t>
      </w:r>
      <w:r w:rsidRPr="000C60E1">
        <w:rPr>
          <w:rFonts w:cs="Arial"/>
        </w:rPr>
        <w:t xml:space="preserve"> and</w:t>
      </w:r>
    </w:p>
    <w:p w14:paraId="540A2687" w14:textId="77777777" w:rsidR="00B736F9" w:rsidRPr="000C60E1" w:rsidRDefault="00B736F9" w:rsidP="000E72E5">
      <w:pPr>
        <w:pStyle w:val="ListBullet2"/>
        <w:rPr>
          <w:rFonts w:cs="Arial"/>
        </w:rPr>
      </w:pPr>
      <w:r w:rsidRPr="000C60E1">
        <w:rPr>
          <w:rFonts w:cs="Arial"/>
        </w:rPr>
        <w:t xml:space="preserve">the uncertainties associated with the overall analysis. </w:t>
      </w:r>
    </w:p>
    <w:p w14:paraId="2474DAF1" w14:textId="5EBABED2" w:rsidR="00B736F9" w:rsidRPr="000C60E1" w:rsidRDefault="00B736F9" w:rsidP="008D54C7">
      <w:pPr>
        <w:rPr>
          <w:rFonts w:cs="Arial"/>
        </w:rPr>
      </w:pPr>
      <w:r w:rsidRPr="000C60E1">
        <w:rPr>
          <w:rFonts w:cs="Arial"/>
        </w:rPr>
        <w:t>Minimum requirements for the Risk Characterization component of the HHRA are provided in Table 1, 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11744427" w14:textId="77777777" w:rsidTr="005B40DA">
        <w:trPr>
          <w:trHeight w:val="20"/>
          <w:tblHeader/>
        </w:trPr>
        <w:tc>
          <w:tcPr>
            <w:tcW w:w="2468" w:type="dxa"/>
          </w:tcPr>
          <w:p w14:paraId="3200177C" w14:textId="77777777" w:rsidR="00C94B3B" w:rsidRPr="000C0EF2" w:rsidRDefault="00C94B3B"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4891B1E9"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8630486"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29B14A18"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4CE0E4C0" w14:textId="77777777" w:rsidTr="005B40DA">
        <w:trPr>
          <w:trHeight w:val="20"/>
        </w:trPr>
        <w:tc>
          <w:tcPr>
            <w:tcW w:w="2468" w:type="dxa"/>
          </w:tcPr>
          <w:p w14:paraId="34673FF2"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780CEE18" w14:textId="77777777" w:rsidR="00C94B3B" w:rsidRPr="000C0EF2" w:rsidRDefault="00C94B3B" w:rsidP="000C0EF2">
            <w:pPr>
              <w:pStyle w:val="table-e"/>
              <w:spacing w:line="240" w:lineRule="auto"/>
              <w:rPr>
                <w:sz w:val="24"/>
              </w:rPr>
            </w:pPr>
            <w:r w:rsidRPr="000C0EF2">
              <w:rPr>
                <w:sz w:val="24"/>
              </w:rPr>
              <w:t xml:space="preserve">(d)  Risk Characterization </w:t>
            </w:r>
          </w:p>
        </w:tc>
        <w:tc>
          <w:tcPr>
            <w:tcW w:w="1839" w:type="dxa"/>
          </w:tcPr>
          <w:p w14:paraId="2316FDFD" w14:textId="77777777" w:rsidR="00C94B3B" w:rsidRPr="000C0EF2" w:rsidRDefault="00C94B3B"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Interpretation of Health Risks</w:t>
            </w:r>
          </w:p>
        </w:tc>
        <w:tc>
          <w:tcPr>
            <w:tcW w:w="3759" w:type="dxa"/>
          </w:tcPr>
          <w:p w14:paraId="441AA2B5" w14:textId="77777777" w:rsidR="00C94B3B" w:rsidRPr="000C0EF2" w:rsidRDefault="00C94B3B" w:rsidP="000C0EF2">
            <w:pPr>
              <w:pStyle w:val="table-e"/>
              <w:spacing w:line="240" w:lineRule="auto"/>
              <w:rPr>
                <w:sz w:val="24"/>
              </w:rPr>
            </w:pPr>
            <w:r w:rsidRPr="000C0EF2">
              <w:rPr>
                <w:sz w:val="24"/>
              </w:rPr>
              <w:t>For each contaminant of concern, having regard to the exposure assessment and the toxicity assessment, state the risk attributable in respect of that contaminant to each exposure route for human receptors on the RA property, using either a quantitative or qualitative analysis.</w:t>
            </w:r>
          </w:p>
        </w:tc>
      </w:tr>
    </w:tbl>
    <w:p w14:paraId="6AB48246" w14:textId="77777777" w:rsidR="00B736F9" w:rsidRPr="002A75F2" w:rsidRDefault="006B5E50" w:rsidP="006F61F7">
      <w:pPr>
        <w:rPr>
          <w:rFonts w:cs="Arial"/>
        </w:rPr>
      </w:pPr>
      <w:r w:rsidRPr="002A75F2">
        <w:rPr>
          <w:rFonts w:cs="Arial"/>
        </w:rPr>
        <w:t>When determining risks from COC exposures, t</w:t>
      </w:r>
      <w:r w:rsidR="00B736F9" w:rsidRPr="002A75F2">
        <w:rPr>
          <w:rFonts w:cs="Arial"/>
        </w:rPr>
        <w:t xml:space="preserve">he </w:t>
      </w:r>
      <w:r w:rsidR="000767FF" w:rsidRPr="002A75F2">
        <w:rPr>
          <w:rFonts w:cs="Arial"/>
        </w:rPr>
        <w:t>QP</w:t>
      </w:r>
      <w:r w:rsidR="000767FF" w:rsidRPr="002A75F2">
        <w:rPr>
          <w:rFonts w:cs="Arial"/>
          <w:vertAlign w:val="subscript"/>
        </w:rPr>
        <w:t>RA</w:t>
      </w:r>
      <w:r w:rsidR="00B736F9" w:rsidRPr="002A75F2">
        <w:rPr>
          <w:rFonts w:cs="Arial"/>
        </w:rPr>
        <w:t xml:space="preserve"> should provide </w:t>
      </w:r>
      <w:r w:rsidRPr="002A75F2">
        <w:rPr>
          <w:rFonts w:cs="Arial"/>
        </w:rPr>
        <w:t xml:space="preserve">a </w:t>
      </w:r>
      <w:r w:rsidR="00B736F9" w:rsidRPr="002A75F2">
        <w:rPr>
          <w:rFonts w:cs="Arial"/>
        </w:rPr>
        <w:t xml:space="preserve">clear, </w:t>
      </w:r>
      <w:r w:rsidRPr="002A75F2">
        <w:rPr>
          <w:rFonts w:cs="Arial"/>
        </w:rPr>
        <w:t>and</w:t>
      </w:r>
      <w:r w:rsidR="00B736F9" w:rsidRPr="002A75F2">
        <w:rPr>
          <w:rFonts w:cs="Arial"/>
        </w:rPr>
        <w:t xml:space="preserve"> complete description and interpretation of the </w:t>
      </w:r>
      <w:r w:rsidR="009957C4" w:rsidRPr="002A75F2">
        <w:rPr>
          <w:rFonts w:cs="Arial"/>
        </w:rPr>
        <w:t xml:space="preserve">risks to </w:t>
      </w:r>
      <w:r w:rsidRPr="002A75F2">
        <w:rPr>
          <w:rFonts w:cs="Arial"/>
        </w:rPr>
        <w:t>receptors on the RA property</w:t>
      </w:r>
      <w:r w:rsidR="009957C4" w:rsidRPr="002A75F2">
        <w:rPr>
          <w:rFonts w:cs="Arial"/>
        </w:rPr>
        <w:t xml:space="preserve"> </w:t>
      </w:r>
      <w:r w:rsidR="00B736F9" w:rsidRPr="002A75F2">
        <w:rPr>
          <w:rFonts w:cs="Arial"/>
        </w:rPr>
        <w:t>based on the available site-specific data</w:t>
      </w:r>
      <w:r w:rsidRPr="002A75F2">
        <w:rPr>
          <w:rFonts w:cs="Arial"/>
        </w:rPr>
        <w:t>.</w:t>
      </w:r>
    </w:p>
    <w:p w14:paraId="29F6A02E" w14:textId="77777777" w:rsidR="00B736F9" w:rsidRPr="002A75F2" w:rsidRDefault="00B736F9" w:rsidP="009957C4">
      <w:pPr>
        <w:rPr>
          <w:rFonts w:cs="Arial"/>
        </w:rPr>
      </w:pPr>
      <w:r w:rsidRPr="002A75F2">
        <w:rPr>
          <w:rFonts w:cs="Arial"/>
        </w:rPr>
        <w:t>Human health risk characterization should account for the following:</w:t>
      </w:r>
    </w:p>
    <w:p w14:paraId="756BDC00" w14:textId="77777777" w:rsidR="005B336E" w:rsidRPr="002A75F2" w:rsidRDefault="00B736F9" w:rsidP="000E72E5">
      <w:pPr>
        <w:pStyle w:val="ListBullet2"/>
        <w:rPr>
          <w:rFonts w:cs="Arial"/>
        </w:rPr>
      </w:pPr>
      <w:r w:rsidRPr="002A75F2">
        <w:rPr>
          <w:rFonts w:cs="Arial"/>
        </w:rPr>
        <w:t>When a compound is known to degrade/biodegrade in the environment to a relatively more toxic and persistent intermediate or by-product, any significant human health risk due to the biodegradation intermediate or by-product should be characterized (</w:t>
      </w:r>
      <w:r w:rsidR="008A792B" w:rsidRPr="002A75F2">
        <w:rPr>
          <w:rFonts w:cs="Arial"/>
        </w:rPr>
        <w:t xml:space="preserve">e.g. </w:t>
      </w:r>
      <w:r w:rsidRPr="002A75F2">
        <w:rPr>
          <w:rFonts w:cs="Arial"/>
        </w:rPr>
        <w:t>trichloroethylene to vinyl chloride).</w:t>
      </w:r>
      <w:r w:rsidR="002D0526" w:rsidRPr="002A75F2">
        <w:rPr>
          <w:rFonts w:cs="Arial"/>
        </w:rPr>
        <w:t xml:space="preserve"> </w:t>
      </w:r>
    </w:p>
    <w:p w14:paraId="45E3DD4B" w14:textId="77777777" w:rsidR="00071379" w:rsidRPr="002A75F2" w:rsidRDefault="00071379" w:rsidP="000E72E5">
      <w:pPr>
        <w:pStyle w:val="ListBullet2"/>
        <w:rPr>
          <w:rFonts w:cs="Arial"/>
        </w:rPr>
      </w:pPr>
      <w:r w:rsidRPr="002A75F2">
        <w:rPr>
          <w:rFonts w:cs="Arial"/>
        </w:rPr>
        <w:t>When characterizing risks, ensure that TRVs used in the assessment are appropriate for use with same chemical entity present on-site, where possible (as TRVs may have been developed for different chemical isomers, different speciation/oxidation state, different route of exposure).</w:t>
      </w:r>
    </w:p>
    <w:p w14:paraId="51AD524C" w14:textId="77777777" w:rsidR="00B736F9" w:rsidRPr="002A75F2" w:rsidRDefault="00B736F9" w:rsidP="000E72E5">
      <w:pPr>
        <w:pStyle w:val="ListBullet2"/>
        <w:rPr>
          <w:rFonts w:cs="Arial"/>
        </w:rPr>
      </w:pPr>
      <w:r w:rsidRPr="002A75F2">
        <w:rPr>
          <w:rFonts w:cs="Arial"/>
        </w:rPr>
        <w:t xml:space="preserve">The human receptor(s) or sub-group(s) evaluated should correspond to the human population for which the </w:t>
      </w:r>
      <w:smartTag w:uri="urn:schemas-microsoft-com:office:smarttags" w:element="stockticker">
        <w:r w:rsidR="009957C4" w:rsidRPr="002A75F2">
          <w:rPr>
            <w:rFonts w:cs="Arial"/>
          </w:rPr>
          <w:t>TRV</w:t>
        </w:r>
      </w:smartTag>
      <w:r w:rsidRPr="002A75F2">
        <w:rPr>
          <w:rFonts w:cs="Arial"/>
        </w:rPr>
        <w:t xml:space="preserve"> </w:t>
      </w:r>
      <w:r w:rsidR="00BD1363" w:rsidRPr="002A75F2">
        <w:rPr>
          <w:rFonts w:cs="Arial"/>
        </w:rPr>
        <w:t>was</w:t>
      </w:r>
      <w:r w:rsidR="00E76046" w:rsidRPr="002A75F2">
        <w:rPr>
          <w:rFonts w:cs="Arial"/>
        </w:rPr>
        <w:t xml:space="preserve"> </w:t>
      </w:r>
      <w:r w:rsidRPr="002A75F2">
        <w:rPr>
          <w:rFonts w:cs="Arial"/>
        </w:rPr>
        <w:t xml:space="preserve">developed. </w:t>
      </w:r>
    </w:p>
    <w:p w14:paraId="013B1577" w14:textId="7D4B7758" w:rsidR="00B736F9" w:rsidRPr="002A75F2" w:rsidRDefault="00B736F9" w:rsidP="000E72E5">
      <w:pPr>
        <w:pStyle w:val="ListBullet2"/>
        <w:rPr>
          <w:rFonts w:cs="Arial"/>
        </w:rPr>
      </w:pPr>
      <w:r w:rsidRPr="002A75F2">
        <w:rPr>
          <w:rFonts w:cs="Arial"/>
        </w:rPr>
        <w:t xml:space="preserve">Intake rates should be compared to TRVs that are based on administered doses and uptake rates should be compared to TRVs based on </w:t>
      </w:r>
      <w:r w:rsidR="0030023B" w:rsidRPr="002A75F2">
        <w:rPr>
          <w:rFonts w:cs="Arial"/>
        </w:rPr>
        <w:t>doses absorbed systemically</w:t>
      </w:r>
      <w:r w:rsidRPr="002A75F2">
        <w:rPr>
          <w:rFonts w:cs="Arial"/>
        </w:rPr>
        <w:t xml:space="preserve">. If there are no demonstrable differences in uptake between the media used in the toxicity </w:t>
      </w:r>
      <w:r w:rsidRPr="002A75F2">
        <w:rPr>
          <w:rFonts w:cs="Arial"/>
        </w:rPr>
        <w:lastRenderedPageBreak/>
        <w:t>study and the media for the relevant pathway addressed in the risk assessment, adjustment to reference doses for bioavailability should not be made.</w:t>
      </w:r>
    </w:p>
    <w:p w14:paraId="52B32044" w14:textId="0721F43B" w:rsidR="00B736F9" w:rsidRPr="002A75F2" w:rsidRDefault="00B736F9" w:rsidP="000E72E5">
      <w:pPr>
        <w:pStyle w:val="ListBullet2"/>
        <w:rPr>
          <w:rFonts w:cs="Arial"/>
        </w:rPr>
      </w:pPr>
      <w:r w:rsidRPr="002A75F2">
        <w:rPr>
          <w:rFonts w:cs="Arial"/>
        </w:rPr>
        <w:t xml:space="preserve">If a </w:t>
      </w:r>
      <w:r w:rsidR="00C926A4" w:rsidRPr="002A75F2">
        <w:rPr>
          <w:rFonts w:cs="Arial"/>
        </w:rPr>
        <w:t>QP</w:t>
      </w:r>
      <w:r w:rsidR="00C926A4" w:rsidRPr="002A75F2">
        <w:rPr>
          <w:rFonts w:cs="Arial"/>
          <w:vertAlign w:val="subscript"/>
        </w:rPr>
        <w:t>RA</w:t>
      </w:r>
      <w:r w:rsidRPr="002A75F2">
        <w:rPr>
          <w:rFonts w:cs="Arial"/>
        </w:rPr>
        <w:t xml:space="preserve"> chooses a probabilistic approach, in general, the resulting 95</w:t>
      </w:r>
      <w:r w:rsidRPr="002A75F2">
        <w:rPr>
          <w:rFonts w:cs="Arial"/>
          <w:vertAlign w:val="superscript"/>
        </w:rPr>
        <w:t>th</w:t>
      </w:r>
      <w:r w:rsidRPr="002A75F2">
        <w:rPr>
          <w:rFonts w:cs="Arial"/>
        </w:rPr>
        <w:t xml:space="preserve"> percentile of the exposure term is recommended for characterizing the </w:t>
      </w:r>
      <w:r w:rsidR="00E82308" w:rsidRPr="002A75F2">
        <w:rPr>
          <w:rFonts w:cs="Arial"/>
        </w:rPr>
        <w:t>reasonable maximum exposure</w:t>
      </w:r>
      <w:r w:rsidR="0030023B" w:rsidRPr="002A75F2">
        <w:rPr>
          <w:rFonts w:cs="Arial"/>
        </w:rPr>
        <w:t>, while both the arithmetic mean and median (50</w:t>
      </w:r>
      <w:r w:rsidR="0030023B" w:rsidRPr="002A75F2">
        <w:rPr>
          <w:rFonts w:cs="Arial"/>
          <w:vertAlign w:val="superscript"/>
        </w:rPr>
        <w:t>th</w:t>
      </w:r>
      <w:r w:rsidR="0030023B" w:rsidRPr="002A75F2">
        <w:rPr>
          <w:rFonts w:cs="Arial"/>
        </w:rPr>
        <w:t xml:space="preserve"> percentile) should be used to characterize the central tendency of the data</w:t>
      </w:r>
      <w:r w:rsidRPr="002A75F2">
        <w:rPr>
          <w:rFonts w:cs="Arial"/>
        </w:rPr>
        <w:t>.</w:t>
      </w:r>
      <w:r w:rsidR="0030023B" w:rsidRPr="002A75F2">
        <w:rPr>
          <w:rFonts w:cs="Arial"/>
        </w:rPr>
        <w:t xml:space="preserve"> </w:t>
      </w:r>
      <w:r w:rsidR="00C926A4" w:rsidRPr="002A75F2">
        <w:rPr>
          <w:rFonts w:cs="Arial"/>
        </w:rPr>
        <w:t>The QP</w:t>
      </w:r>
      <w:r w:rsidR="00C926A4" w:rsidRPr="002A75F2">
        <w:rPr>
          <w:rFonts w:cs="Arial"/>
          <w:vertAlign w:val="subscript"/>
        </w:rPr>
        <w:t>RA</w:t>
      </w:r>
      <w:r w:rsidR="00C926A4" w:rsidRPr="002A75F2">
        <w:rPr>
          <w:rFonts w:cs="Arial"/>
        </w:rPr>
        <w:t xml:space="preserve"> should provide supporting information, including the statistical distribution and accompanying rationale for all input variables, correlation between relevant input variables, the statistical sampling method and number of iterations and sensitivity analysis.</w:t>
      </w:r>
      <w:r w:rsidRPr="002A75F2">
        <w:rPr>
          <w:rFonts w:cs="Arial"/>
        </w:rPr>
        <w:t xml:space="preserve"> </w:t>
      </w:r>
      <w:r w:rsidR="006B5E50" w:rsidRPr="002A75F2">
        <w:rPr>
          <w:rFonts w:cs="Arial"/>
        </w:rPr>
        <w:t xml:space="preserve">Note that the Regulation requires explicit calculation of risks at the </w:t>
      </w:r>
      <w:r w:rsidR="00D64A63" w:rsidRPr="002A75F2">
        <w:rPr>
          <w:rFonts w:cs="Arial"/>
        </w:rPr>
        <w:t>property specific standard</w:t>
      </w:r>
      <w:r w:rsidR="006B5E50" w:rsidRPr="002A75F2">
        <w:rPr>
          <w:rFonts w:cs="Arial"/>
        </w:rPr>
        <w:t xml:space="preserve"> and risk management decisions are made with consideration to the </w:t>
      </w:r>
      <w:r w:rsidR="00D64A63" w:rsidRPr="002A75F2">
        <w:rPr>
          <w:rFonts w:cs="Arial"/>
        </w:rPr>
        <w:t>property specific standards</w:t>
      </w:r>
      <w:r w:rsidR="006B5E50" w:rsidRPr="002A75F2">
        <w:rPr>
          <w:rFonts w:cs="Arial"/>
        </w:rPr>
        <w:t xml:space="preserve">, and </w:t>
      </w:r>
      <w:proofErr w:type="spellStart"/>
      <w:r w:rsidR="006B5E50" w:rsidRPr="002A75F2">
        <w:rPr>
          <w:rFonts w:cs="Arial"/>
        </w:rPr>
        <w:t>not</w:t>
      </w:r>
      <w:proofErr w:type="spellEnd"/>
      <w:r w:rsidR="006B5E50" w:rsidRPr="002A75F2">
        <w:rPr>
          <w:rFonts w:cs="Arial"/>
        </w:rPr>
        <w:t xml:space="preserve"> other exposure point concentrations that may have been used in the </w:t>
      </w:r>
      <w:r w:rsidR="00D4507B" w:rsidRPr="002A75F2">
        <w:rPr>
          <w:rFonts w:cs="Arial"/>
        </w:rPr>
        <w:t>risk assessment</w:t>
      </w:r>
      <w:r w:rsidR="006B5E50" w:rsidRPr="002A75F2">
        <w:rPr>
          <w:rFonts w:cs="Arial"/>
        </w:rPr>
        <w:t>. See Section 6.2.5 of this Procedures document for additional detail.</w:t>
      </w:r>
    </w:p>
    <w:p w14:paraId="3CE9A6B9" w14:textId="37F2D1BD" w:rsidR="00C926A4" w:rsidRPr="002A75F2" w:rsidRDefault="00C926A4" w:rsidP="000E72E5">
      <w:pPr>
        <w:pStyle w:val="ListBullet2"/>
        <w:rPr>
          <w:rFonts w:cs="Arial"/>
        </w:rPr>
      </w:pPr>
      <w:r w:rsidRPr="002A75F2">
        <w:rPr>
          <w:rFonts w:cs="Arial"/>
        </w:rPr>
        <w:t xml:space="preserve">In the case of chemical mixtures </w:t>
      </w:r>
      <w:r w:rsidR="00FB474A" w:rsidRPr="002A75F2">
        <w:rPr>
          <w:rFonts w:cs="Arial"/>
        </w:rPr>
        <w:t>inducing</w:t>
      </w:r>
      <w:r w:rsidRPr="002A75F2">
        <w:rPr>
          <w:rFonts w:cs="Arial"/>
        </w:rPr>
        <w:t xml:space="preserve"> similar effects in the same target organs/tissues (</w:t>
      </w:r>
      <w:r w:rsidR="008A792B" w:rsidRPr="002A75F2">
        <w:rPr>
          <w:rFonts w:cs="Arial"/>
        </w:rPr>
        <w:t>e.g.</w:t>
      </w:r>
      <w:r w:rsidRPr="002A75F2">
        <w:rPr>
          <w:rFonts w:cs="Arial"/>
        </w:rPr>
        <w:t xml:space="preserve"> similar types of liver tumors) and/or acting through similar mechanisms or modes of action, the QP</w:t>
      </w:r>
      <w:r w:rsidRPr="002A75F2">
        <w:rPr>
          <w:rFonts w:cs="Arial"/>
          <w:vertAlign w:val="subscript"/>
        </w:rPr>
        <w:t>RA</w:t>
      </w:r>
      <w:r w:rsidRPr="002A75F2">
        <w:rPr>
          <w:rFonts w:cs="Arial"/>
        </w:rPr>
        <w:t xml:space="preserve"> should consider estimating the combined risk or hazard index for the mixture. A detailed discussion </w:t>
      </w:r>
      <w:r w:rsidR="00FB474A" w:rsidRPr="002A75F2">
        <w:rPr>
          <w:rFonts w:cs="Arial"/>
        </w:rPr>
        <w:t>should</w:t>
      </w:r>
      <w:r w:rsidRPr="002A75F2">
        <w:rPr>
          <w:rFonts w:cs="Arial"/>
        </w:rPr>
        <w:t xml:space="preserve"> accompany and support the proposed methodological approach.</w:t>
      </w:r>
    </w:p>
    <w:p w14:paraId="6AADDA3A" w14:textId="563D3534" w:rsidR="00D425DB" w:rsidRPr="002A75F2" w:rsidRDefault="00B736F9" w:rsidP="00840964">
      <w:pPr>
        <w:rPr>
          <w:rFonts w:cs="Arial"/>
        </w:rPr>
      </w:pPr>
      <w:r w:rsidRPr="002A75F2">
        <w:rPr>
          <w:rFonts w:cs="Arial"/>
        </w:rPr>
        <w:t xml:space="preserve">If a quantitative analysis of toxicity and/or exposure assessment has been undertaken, </w:t>
      </w:r>
      <w:r w:rsidR="00D425DB" w:rsidRPr="002A75F2">
        <w:rPr>
          <w:rFonts w:cs="Arial"/>
        </w:rPr>
        <w:t>risks values can then be derived in the risk assessment.</w:t>
      </w:r>
    </w:p>
    <w:p w14:paraId="2A99C6CD" w14:textId="77777777" w:rsidR="00B736F9" w:rsidRPr="002A75F2" w:rsidRDefault="00B736F9" w:rsidP="00840964">
      <w:pPr>
        <w:rPr>
          <w:rFonts w:cs="Arial"/>
        </w:rPr>
      </w:pPr>
      <w:r w:rsidRPr="002A75F2">
        <w:rPr>
          <w:rFonts w:cs="Arial"/>
        </w:rPr>
        <w:t>If a quantitative analysis of toxicity and/or exposure assessment was not undertaken, the justification for not providing a quantitative analysis must be provided and a qualitative characterization of risk must be provided.</w:t>
      </w:r>
    </w:p>
    <w:p w14:paraId="686C773E" w14:textId="3BFED687" w:rsidR="00B736F9" w:rsidRPr="002A75F2" w:rsidRDefault="00B736F9" w:rsidP="00DE496B">
      <w:pPr>
        <w:pStyle w:val="Heading3"/>
        <w:rPr>
          <w:rFonts w:cs="Arial"/>
        </w:rPr>
      </w:pPr>
      <w:bookmarkStart w:id="224" w:name="_Toc91393564"/>
      <w:bookmarkStart w:id="225" w:name="_Toc112727427"/>
      <w:bookmarkStart w:id="226" w:name="_Toc41905703"/>
      <w:r w:rsidRPr="002A75F2">
        <w:rPr>
          <w:rFonts w:cs="Arial"/>
        </w:rPr>
        <w:t>Quantitative Interpretation of Health Risks</w:t>
      </w:r>
      <w:bookmarkEnd w:id="224"/>
      <w:bookmarkEnd w:id="225"/>
      <w:bookmarkEnd w:id="226"/>
    </w:p>
    <w:p w14:paraId="24277E63" w14:textId="5B8D8F57" w:rsidR="009F3BDC" w:rsidRPr="002A75F2" w:rsidRDefault="00B736F9" w:rsidP="00840964">
      <w:pPr>
        <w:rPr>
          <w:rFonts w:cs="Arial"/>
        </w:rPr>
      </w:pPr>
      <w:r w:rsidRPr="002A75F2">
        <w:rPr>
          <w:rFonts w:cs="Arial"/>
        </w:rPr>
        <w:t xml:space="preserve">When a quantitative assessment of health risk is </w:t>
      </w:r>
      <w:r w:rsidR="003E7FED" w:rsidRPr="002A75F2">
        <w:rPr>
          <w:rFonts w:cs="Arial"/>
        </w:rPr>
        <w:t xml:space="preserve">one of </w:t>
      </w:r>
      <w:r w:rsidRPr="002A75F2">
        <w:rPr>
          <w:rFonts w:cs="Arial"/>
        </w:rPr>
        <w:t>the objective</w:t>
      </w:r>
      <w:r w:rsidR="003E7FED" w:rsidRPr="002A75F2">
        <w:rPr>
          <w:rFonts w:cs="Arial"/>
        </w:rPr>
        <w:t>s</w:t>
      </w:r>
      <w:r w:rsidRPr="002A75F2">
        <w:rPr>
          <w:rFonts w:cs="Arial"/>
        </w:rPr>
        <w:t xml:space="preserve"> of the HHRA, the minimum requirements, as specified in </w:t>
      </w:r>
      <w:r w:rsidR="00AC5773" w:rsidRPr="002A75F2">
        <w:rPr>
          <w:rFonts w:cs="Arial"/>
        </w:rPr>
        <w:t xml:space="preserve">Table 1 of Schedule C of </w:t>
      </w:r>
      <w:r w:rsidRPr="002A75F2">
        <w:rPr>
          <w:rFonts w:cs="Arial"/>
        </w:rPr>
        <w:t>the Regulation (reproduced below), are to be included in the RA report.</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2A75F2" w14:paraId="436DBD5E" w14:textId="77777777" w:rsidTr="005B40DA">
        <w:trPr>
          <w:trHeight w:val="20"/>
          <w:tblHeader/>
        </w:trPr>
        <w:tc>
          <w:tcPr>
            <w:tcW w:w="2468" w:type="dxa"/>
          </w:tcPr>
          <w:p w14:paraId="1A284EEB" w14:textId="77777777" w:rsidR="00C94B3B" w:rsidRPr="002A75F2" w:rsidRDefault="00C94B3B" w:rsidP="000C0EF2">
            <w:pPr>
              <w:pStyle w:val="table-e"/>
              <w:spacing w:line="240" w:lineRule="auto"/>
              <w:rPr>
                <w:b/>
                <w:sz w:val="24"/>
              </w:rPr>
            </w:pPr>
            <w:r w:rsidRPr="002A75F2">
              <w:rPr>
                <w:b/>
                <w:sz w:val="24"/>
              </w:rPr>
              <w:t>Column 1</w:t>
            </w:r>
            <w:r w:rsidRPr="002A75F2">
              <w:rPr>
                <w:b/>
                <w:sz w:val="24"/>
              </w:rPr>
              <w:br/>
              <w:t>Report Section</w:t>
            </w:r>
          </w:p>
        </w:tc>
        <w:tc>
          <w:tcPr>
            <w:tcW w:w="2014" w:type="dxa"/>
          </w:tcPr>
          <w:p w14:paraId="176854A1" w14:textId="77777777" w:rsidR="00C94B3B" w:rsidRPr="002A75F2" w:rsidRDefault="00C94B3B" w:rsidP="000C0EF2">
            <w:pPr>
              <w:pStyle w:val="table-e"/>
              <w:spacing w:line="240" w:lineRule="auto"/>
              <w:rPr>
                <w:b/>
                <w:sz w:val="24"/>
              </w:rPr>
            </w:pPr>
            <w:r w:rsidRPr="002A75F2">
              <w:rPr>
                <w:b/>
                <w:sz w:val="24"/>
              </w:rPr>
              <w:t>Column 2</w:t>
            </w:r>
            <w:r w:rsidRPr="002A75F2">
              <w:rPr>
                <w:b/>
                <w:sz w:val="24"/>
              </w:rPr>
              <w:br/>
              <w:t>Heading</w:t>
            </w:r>
          </w:p>
        </w:tc>
        <w:tc>
          <w:tcPr>
            <w:tcW w:w="1839" w:type="dxa"/>
          </w:tcPr>
          <w:p w14:paraId="1883745D" w14:textId="77777777" w:rsidR="00C94B3B" w:rsidRPr="002A75F2" w:rsidRDefault="00C94B3B" w:rsidP="000C0EF2">
            <w:pPr>
              <w:pStyle w:val="table-e"/>
              <w:spacing w:line="240" w:lineRule="auto"/>
              <w:rPr>
                <w:b/>
                <w:sz w:val="24"/>
              </w:rPr>
            </w:pPr>
            <w:r w:rsidRPr="002A75F2">
              <w:rPr>
                <w:b/>
                <w:sz w:val="24"/>
              </w:rPr>
              <w:t>Column 3</w:t>
            </w:r>
            <w:r w:rsidRPr="002A75F2">
              <w:rPr>
                <w:b/>
                <w:sz w:val="24"/>
              </w:rPr>
              <w:br/>
              <w:t>Sub-Heading</w:t>
            </w:r>
          </w:p>
        </w:tc>
        <w:tc>
          <w:tcPr>
            <w:tcW w:w="3759" w:type="dxa"/>
          </w:tcPr>
          <w:p w14:paraId="0613DF64" w14:textId="77777777" w:rsidR="00C94B3B" w:rsidRPr="002A75F2" w:rsidRDefault="00C94B3B" w:rsidP="000C0EF2">
            <w:pPr>
              <w:pStyle w:val="table-e"/>
              <w:spacing w:line="240" w:lineRule="auto"/>
              <w:rPr>
                <w:b/>
                <w:sz w:val="24"/>
              </w:rPr>
            </w:pPr>
            <w:r w:rsidRPr="002A75F2">
              <w:rPr>
                <w:b/>
                <w:sz w:val="24"/>
              </w:rPr>
              <w:t>Column 4</w:t>
            </w:r>
            <w:r w:rsidRPr="002A75F2">
              <w:rPr>
                <w:b/>
                <w:sz w:val="24"/>
              </w:rPr>
              <w:br/>
              <w:t>Minimum Requirements</w:t>
            </w:r>
          </w:p>
        </w:tc>
      </w:tr>
      <w:tr w:rsidR="00C94B3B" w:rsidRPr="002A75F2" w14:paraId="240AD14C" w14:textId="77777777" w:rsidTr="005B40DA">
        <w:trPr>
          <w:trHeight w:val="20"/>
        </w:trPr>
        <w:tc>
          <w:tcPr>
            <w:tcW w:w="2468" w:type="dxa"/>
          </w:tcPr>
          <w:p w14:paraId="6406A845" w14:textId="77777777" w:rsidR="00C94B3B" w:rsidRPr="002A75F2" w:rsidRDefault="00C94B3B" w:rsidP="000C0EF2">
            <w:pPr>
              <w:pStyle w:val="table-e"/>
              <w:spacing w:line="240" w:lineRule="auto"/>
              <w:rPr>
                <w:sz w:val="24"/>
              </w:rPr>
            </w:pPr>
            <w:r w:rsidRPr="002A75F2">
              <w:rPr>
                <w:sz w:val="24"/>
              </w:rPr>
              <w:t>4.  Human Health Risk Assessment (HHRA)</w:t>
            </w:r>
          </w:p>
        </w:tc>
        <w:tc>
          <w:tcPr>
            <w:tcW w:w="2014" w:type="dxa"/>
          </w:tcPr>
          <w:p w14:paraId="6E725932" w14:textId="77777777" w:rsidR="00C94B3B" w:rsidRPr="002A75F2" w:rsidRDefault="00C94B3B" w:rsidP="000C0EF2">
            <w:pPr>
              <w:pStyle w:val="table-e"/>
              <w:spacing w:line="240" w:lineRule="auto"/>
              <w:rPr>
                <w:sz w:val="24"/>
              </w:rPr>
            </w:pPr>
            <w:r w:rsidRPr="002A75F2">
              <w:rPr>
                <w:sz w:val="24"/>
              </w:rPr>
              <w:t>(d)  Risk Characterization</w:t>
            </w:r>
          </w:p>
          <w:p w14:paraId="33D4D637" w14:textId="77777777" w:rsidR="00C94B3B" w:rsidRPr="002A75F2" w:rsidRDefault="00C94B3B" w:rsidP="000C0EF2">
            <w:pPr>
              <w:pStyle w:val="table-e"/>
              <w:spacing w:line="240" w:lineRule="auto"/>
              <w:rPr>
                <w:sz w:val="24"/>
              </w:rPr>
            </w:pPr>
          </w:p>
        </w:tc>
        <w:tc>
          <w:tcPr>
            <w:tcW w:w="1839" w:type="dxa"/>
          </w:tcPr>
          <w:p w14:paraId="072AC9FC" w14:textId="77777777" w:rsidR="00C94B3B" w:rsidRPr="002A75F2" w:rsidRDefault="00C94B3B" w:rsidP="000C0EF2">
            <w:pPr>
              <w:pStyle w:val="table-e"/>
              <w:spacing w:line="240" w:lineRule="auto"/>
              <w:rPr>
                <w:sz w:val="24"/>
              </w:rPr>
            </w:pPr>
            <w:r w:rsidRPr="002A75F2">
              <w:rPr>
                <w:sz w:val="24"/>
              </w:rPr>
              <w:t>(ii)  Quantitative Interpretation of Health Risks</w:t>
            </w:r>
          </w:p>
        </w:tc>
        <w:tc>
          <w:tcPr>
            <w:tcW w:w="3759" w:type="dxa"/>
          </w:tcPr>
          <w:p w14:paraId="0F937F66" w14:textId="77777777" w:rsidR="00C94B3B" w:rsidRPr="002A75F2" w:rsidRDefault="00C94B3B" w:rsidP="000C0EF2">
            <w:pPr>
              <w:pStyle w:val="table-e"/>
              <w:spacing w:line="240" w:lineRule="auto"/>
              <w:rPr>
                <w:sz w:val="24"/>
              </w:rPr>
            </w:pPr>
            <w:r w:rsidRPr="002A75F2">
              <w:rPr>
                <w:sz w:val="24"/>
              </w:rPr>
              <w:t>A quantitative analysis undertaken for a contaminant of concern must include the following:</w:t>
            </w:r>
          </w:p>
          <w:p w14:paraId="288B1E09" w14:textId="77777777" w:rsidR="00C94B3B" w:rsidRPr="002A75F2" w:rsidRDefault="00C94B3B" w:rsidP="000C0EF2">
            <w:pPr>
              <w:pStyle w:val="table-e"/>
              <w:spacing w:line="240" w:lineRule="auto"/>
              <w:rPr>
                <w:sz w:val="24"/>
              </w:rPr>
            </w:pPr>
            <w:proofErr w:type="spellStart"/>
            <w:r w:rsidRPr="002A75F2">
              <w:rPr>
                <w:sz w:val="24"/>
              </w:rPr>
              <w:t>i</w:t>
            </w:r>
            <w:proofErr w:type="spellEnd"/>
            <w:r w:rsidRPr="002A75F2">
              <w:rPr>
                <w:sz w:val="24"/>
              </w:rPr>
              <w:t xml:space="preserve">.  Provide a comparison of the dose response assessment to the exposure estimate to derive the risk level or hazard quotient at the RA property in the absence of any measures that have been taken or are being proposed at the RA property which have the effect of </w:t>
            </w:r>
            <w:r w:rsidRPr="002A75F2">
              <w:rPr>
                <w:sz w:val="24"/>
              </w:rPr>
              <w:lastRenderedPageBreak/>
              <w:t>reducing the risk from the contaminant of concern.</w:t>
            </w:r>
          </w:p>
          <w:p w14:paraId="7C0BF8A9" w14:textId="77777777" w:rsidR="00C94B3B" w:rsidRPr="002A75F2" w:rsidRDefault="00C94B3B" w:rsidP="000C0EF2">
            <w:pPr>
              <w:pStyle w:val="table-e"/>
              <w:spacing w:line="240" w:lineRule="auto"/>
              <w:rPr>
                <w:sz w:val="24"/>
              </w:rPr>
            </w:pPr>
            <w:r w:rsidRPr="002A75F2">
              <w:rPr>
                <w:sz w:val="24"/>
              </w:rPr>
              <w:t>ii.  For each contaminant of concern with non-threshold toxic effects and taking into consideration any risk management measures that are being proposed in the risk assessment, propose and justify a human health standard for the contaminant, ensuring that the standard meets a target risk level of 1 × 10</w:t>
            </w:r>
            <w:r w:rsidRPr="002A75F2">
              <w:rPr>
                <w:sz w:val="24"/>
                <w:vertAlign w:val="superscript"/>
              </w:rPr>
              <w:t>–6</w:t>
            </w:r>
            <w:r w:rsidRPr="002A75F2">
              <w:rPr>
                <w:sz w:val="24"/>
              </w:rPr>
              <w:t xml:space="preserve"> for each environmental medium.</w:t>
            </w:r>
          </w:p>
          <w:p w14:paraId="724F70D7" w14:textId="77777777" w:rsidR="00C94B3B" w:rsidRPr="002A75F2" w:rsidRDefault="00C94B3B" w:rsidP="000C0EF2">
            <w:pPr>
              <w:pStyle w:val="table-e"/>
              <w:spacing w:line="240" w:lineRule="auto"/>
              <w:rPr>
                <w:sz w:val="24"/>
              </w:rPr>
            </w:pPr>
            <w:r w:rsidRPr="002A75F2">
              <w:rPr>
                <w:sz w:val="24"/>
              </w:rPr>
              <w:t xml:space="preserve">iii.  For each contaminant of concern with threshold toxic effects and taking into consideration any risk management measures that are being proposed in the risk assessment, propose and justify a human health standard for the contaminant, ensuring that each human receptor does not receive an estimated dose exceeding 0.2 × the limit dose (TDI, </w:t>
            </w:r>
            <w:proofErr w:type="spellStart"/>
            <w:r w:rsidRPr="002A75F2">
              <w:rPr>
                <w:sz w:val="24"/>
              </w:rPr>
              <w:t>RfD</w:t>
            </w:r>
            <w:proofErr w:type="spellEnd"/>
            <w:r w:rsidRPr="002A75F2">
              <w:rPr>
                <w:sz w:val="24"/>
              </w:rPr>
              <w:t xml:space="preserve"> or </w:t>
            </w:r>
            <w:proofErr w:type="spellStart"/>
            <w:r w:rsidRPr="002A75F2">
              <w:rPr>
                <w:sz w:val="24"/>
              </w:rPr>
              <w:t>RfC</w:t>
            </w:r>
            <w:proofErr w:type="spellEnd"/>
            <w:r w:rsidRPr="002A75F2">
              <w:rPr>
                <w:sz w:val="24"/>
              </w:rPr>
              <w:t>) for each environmental medium.  In this paragraph, “TDI” means tolerable daily intake, “</w:t>
            </w:r>
            <w:proofErr w:type="spellStart"/>
            <w:r w:rsidRPr="002A75F2">
              <w:rPr>
                <w:sz w:val="24"/>
              </w:rPr>
              <w:t>RfD</w:t>
            </w:r>
            <w:proofErr w:type="spellEnd"/>
            <w:r w:rsidRPr="002A75F2">
              <w:rPr>
                <w:sz w:val="24"/>
              </w:rPr>
              <w:t>” means the reference dose, “</w:t>
            </w:r>
            <w:proofErr w:type="spellStart"/>
            <w:r w:rsidRPr="002A75F2">
              <w:rPr>
                <w:sz w:val="24"/>
              </w:rPr>
              <w:t>RfC</w:t>
            </w:r>
            <w:proofErr w:type="spellEnd"/>
            <w:r w:rsidRPr="002A75F2">
              <w:rPr>
                <w:sz w:val="24"/>
              </w:rPr>
              <w:t xml:space="preserve">” means the reference concentration.  The units used to measure the TDI, the </w:t>
            </w:r>
            <w:proofErr w:type="spellStart"/>
            <w:r w:rsidRPr="002A75F2">
              <w:rPr>
                <w:sz w:val="24"/>
              </w:rPr>
              <w:t>RfD</w:t>
            </w:r>
            <w:proofErr w:type="spellEnd"/>
            <w:r w:rsidRPr="002A75F2">
              <w:rPr>
                <w:sz w:val="24"/>
              </w:rPr>
              <w:t xml:space="preserve"> and the </w:t>
            </w:r>
            <w:proofErr w:type="spellStart"/>
            <w:r w:rsidRPr="002A75F2">
              <w:rPr>
                <w:sz w:val="24"/>
              </w:rPr>
              <w:t>RfC</w:t>
            </w:r>
            <w:proofErr w:type="spellEnd"/>
            <w:r w:rsidRPr="002A75F2">
              <w:rPr>
                <w:sz w:val="24"/>
              </w:rPr>
              <w:t xml:space="preserve"> must be specified and conform to acceptable conventions.</w:t>
            </w:r>
          </w:p>
          <w:p w14:paraId="6CA8D546" w14:textId="77777777" w:rsidR="00C94B3B" w:rsidRPr="002A75F2" w:rsidRDefault="00C94B3B" w:rsidP="000C0EF2">
            <w:pPr>
              <w:pStyle w:val="table-e"/>
              <w:spacing w:line="240" w:lineRule="auto"/>
              <w:rPr>
                <w:sz w:val="24"/>
              </w:rPr>
            </w:pPr>
            <w:r w:rsidRPr="002A75F2">
              <w:rPr>
                <w:sz w:val="24"/>
              </w:rPr>
              <w:t xml:space="preserve">iv.  If, under paragraph iii, given the circumstances of the human receptors and the characteristics of the contaminant, it is unreasonable to apply a hazard quotient of less than or equal to 0.2 for each environmental medium, a higher hazard quotient may be proposed, </w:t>
            </w:r>
            <w:r w:rsidRPr="002A75F2">
              <w:rPr>
                <w:sz w:val="24"/>
              </w:rPr>
              <w:lastRenderedPageBreak/>
              <w:t>if the proposed quotient is accompanied with a detailed site specific multi-media exposure assessment that considers the transport of the contaminant across all environmental media to the human receptors by all exposure pathways and ensures that the standard achieves the same level of protection for each human receptor as is intended to be achieved by the applicable full depth generic site condition standard for that contaminant.</w:t>
            </w:r>
          </w:p>
        </w:tc>
      </w:tr>
    </w:tbl>
    <w:p w14:paraId="4E0C159E" w14:textId="79650378" w:rsidR="009F3BDC" w:rsidRPr="002A75F2" w:rsidRDefault="000E778F" w:rsidP="009F3BDC">
      <w:pPr>
        <w:rPr>
          <w:rFonts w:cs="Arial"/>
        </w:rPr>
      </w:pPr>
      <w:r w:rsidRPr="002A75F2">
        <w:rPr>
          <w:rFonts w:cs="Arial"/>
        </w:rPr>
        <w:lastRenderedPageBreak/>
        <w:t>The</w:t>
      </w:r>
      <w:r w:rsidR="009F3BDC" w:rsidRPr="002A75F2">
        <w:rPr>
          <w:rFonts w:cs="Arial"/>
        </w:rPr>
        <w:t xml:space="preserve"> </w:t>
      </w:r>
      <w:r w:rsidR="003E7FED" w:rsidRPr="002A75F2">
        <w:rPr>
          <w:rFonts w:cs="Arial"/>
        </w:rPr>
        <w:t>R</w:t>
      </w:r>
      <w:r w:rsidR="009F3BDC" w:rsidRPr="002A75F2">
        <w:rPr>
          <w:rFonts w:cs="Arial"/>
        </w:rPr>
        <w:t xml:space="preserve">egulation </w:t>
      </w:r>
      <w:r w:rsidRPr="002A75F2">
        <w:rPr>
          <w:rFonts w:cs="Arial"/>
        </w:rPr>
        <w:t xml:space="preserve">requires risk </w:t>
      </w:r>
      <w:r w:rsidR="00863ADD" w:rsidRPr="002A75F2">
        <w:rPr>
          <w:rFonts w:cs="Arial"/>
        </w:rPr>
        <w:t>calculation</w:t>
      </w:r>
      <w:r w:rsidR="00487548" w:rsidRPr="002A75F2">
        <w:rPr>
          <w:rFonts w:cs="Arial"/>
        </w:rPr>
        <w:t>s</w:t>
      </w:r>
      <w:r w:rsidR="00863ADD" w:rsidRPr="002A75F2">
        <w:rPr>
          <w:rFonts w:cs="Arial"/>
        </w:rPr>
        <w:t xml:space="preserve"> to be performed</w:t>
      </w:r>
      <w:r w:rsidR="009F3BDC" w:rsidRPr="002A75F2">
        <w:rPr>
          <w:rFonts w:cs="Arial"/>
        </w:rPr>
        <w:t xml:space="preserve"> </w:t>
      </w:r>
      <w:r w:rsidR="00E079F7" w:rsidRPr="002A75F2">
        <w:rPr>
          <w:rFonts w:cs="Arial"/>
        </w:rPr>
        <w:t xml:space="preserve">and reported </w:t>
      </w:r>
      <w:r w:rsidR="009F3BDC" w:rsidRPr="002A75F2">
        <w:rPr>
          <w:rFonts w:cs="Arial"/>
        </w:rPr>
        <w:t>without consideration of ri</w:t>
      </w:r>
      <w:r w:rsidR="00E079F7" w:rsidRPr="002A75F2">
        <w:rPr>
          <w:rFonts w:cs="Arial"/>
        </w:rPr>
        <w:t xml:space="preserve">sk management. </w:t>
      </w:r>
      <w:r w:rsidR="009F3BDC" w:rsidRPr="002A75F2">
        <w:rPr>
          <w:rFonts w:cs="Arial"/>
        </w:rPr>
        <w:t>The proportion of risk contributed by each media and exposure pathway should be identified on a purely science basis in order to i</w:t>
      </w:r>
      <w:r w:rsidR="00E079F7" w:rsidRPr="002A75F2">
        <w:rPr>
          <w:rFonts w:cs="Arial"/>
        </w:rPr>
        <w:t>nform risk management decisions.</w:t>
      </w:r>
    </w:p>
    <w:p w14:paraId="40A63367" w14:textId="63E962D0" w:rsidR="00E079F7" w:rsidRPr="002A75F2" w:rsidRDefault="000E778F" w:rsidP="009F3BDC">
      <w:pPr>
        <w:rPr>
          <w:rFonts w:cs="Arial"/>
        </w:rPr>
      </w:pPr>
      <w:r w:rsidRPr="002A75F2">
        <w:rPr>
          <w:rFonts w:cs="Arial"/>
        </w:rPr>
        <w:t xml:space="preserve">As a second step, a proposed property specific standard may be back-calculated, using the same exposure equations, to propose a </w:t>
      </w:r>
      <w:r w:rsidR="00857322" w:rsidRPr="002A75F2">
        <w:rPr>
          <w:rFonts w:cs="Arial"/>
        </w:rPr>
        <w:t>risk</w:t>
      </w:r>
      <w:r w:rsidR="005B336E" w:rsidRPr="002A75F2">
        <w:rPr>
          <w:rFonts w:cs="Arial"/>
        </w:rPr>
        <w:t>-</w:t>
      </w:r>
      <w:r w:rsidR="00857322" w:rsidRPr="002A75F2">
        <w:rPr>
          <w:rFonts w:cs="Arial"/>
        </w:rPr>
        <w:t xml:space="preserve">based </w:t>
      </w:r>
      <w:r w:rsidRPr="002A75F2">
        <w:rPr>
          <w:rFonts w:cs="Arial"/>
        </w:rPr>
        <w:t xml:space="preserve">cleanup standard for </w:t>
      </w:r>
      <w:r w:rsidR="00F72076" w:rsidRPr="002A75F2">
        <w:rPr>
          <w:rFonts w:cs="Arial"/>
        </w:rPr>
        <w:t xml:space="preserve">a </w:t>
      </w:r>
      <w:r w:rsidRPr="002A75F2">
        <w:rPr>
          <w:rFonts w:cs="Arial"/>
        </w:rPr>
        <w:t xml:space="preserve">contaminant which </w:t>
      </w:r>
      <w:r w:rsidR="005B336E" w:rsidRPr="002A75F2">
        <w:rPr>
          <w:rFonts w:cs="Arial"/>
        </w:rPr>
        <w:t xml:space="preserve">currently </w:t>
      </w:r>
      <w:r w:rsidRPr="002A75F2">
        <w:rPr>
          <w:rFonts w:cs="Arial"/>
        </w:rPr>
        <w:t>exceed</w:t>
      </w:r>
      <w:r w:rsidR="00BD1363" w:rsidRPr="002A75F2">
        <w:rPr>
          <w:rFonts w:cs="Arial"/>
        </w:rPr>
        <w:t>s</w:t>
      </w:r>
      <w:r w:rsidRPr="002A75F2">
        <w:rPr>
          <w:rFonts w:cs="Arial"/>
        </w:rPr>
        <w:t xml:space="preserve"> an acceptable level of risk. </w:t>
      </w:r>
      <w:r w:rsidR="00863ADD" w:rsidRPr="002A75F2">
        <w:rPr>
          <w:rFonts w:cs="Arial"/>
        </w:rPr>
        <w:t xml:space="preserve">Alternatively, </w:t>
      </w:r>
      <w:r w:rsidR="005B336E" w:rsidRPr="002A75F2">
        <w:rPr>
          <w:rFonts w:cs="Arial"/>
        </w:rPr>
        <w:t xml:space="preserve">existing contamination may be left in place and </w:t>
      </w:r>
      <w:r w:rsidR="00863ADD" w:rsidRPr="002A75F2">
        <w:rPr>
          <w:rFonts w:cs="Arial"/>
        </w:rPr>
        <w:t>risk management measures may be proposed which</w:t>
      </w:r>
      <w:r w:rsidR="00FA5A48" w:rsidRPr="002A75F2">
        <w:rPr>
          <w:rFonts w:cs="Arial"/>
        </w:rPr>
        <w:t xml:space="preserve"> </w:t>
      </w:r>
      <w:r w:rsidR="005B336E" w:rsidRPr="002A75F2">
        <w:rPr>
          <w:rFonts w:cs="Arial"/>
        </w:rPr>
        <w:t xml:space="preserve">will </w:t>
      </w:r>
      <w:r w:rsidR="00FA5A48" w:rsidRPr="002A75F2">
        <w:rPr>
          <w:rFonts w:cs="Arial"/>
        </w:rPr>
        <w:t>block the exposure pathway or limit exposure to the COC, and alter associated risk(s) from exposure to the COC</w:t>
      </w:r>
      <w:r w:rsidR="00863ADD" w:rsidRPr="002A75F2">
        <w:rPr>
          <w:rFonts w:cs="Arial"/>
        </w:rPr>
        <w:t>.</w:t>
      </w:r>
    </w:p>
    <w:p w14:paraId="430ECA90" w14:textId="6BEE9F7C" w:rsidR="00C25269" w:rsidRPr="002A75F2" w:rsidRDefault="008B3B0C" w:rsidP="00840964">
      <w:pPr>
        <w:rPr>
          <w:rFonts w:cs="Arial"/>
        </w:rPr>
      </w:pPr>
      <w:r w:rsidRPr="002A75F2">
        <w:rPr>
          <w:rFonts w:cs="Arial"/>
        </w:rPr>
        <w:t>Care should be taken in using back-calculations to estimate proposed property specific standards, as these calculation</w:t>
      </w:r>
      <w:r w:rsidR="000B1ADD" w:rsidRPr="002A75F2">
        <w:rPr>
          <w:rFonts w:cs="Arial"/>
        </w:rPr>
        <w:t>s</w:t>
      </w:r>
      <w:r w:rsidRPr="002A75F2">
        <w:rPr>
          <w:rFonts w:cs="Arial"/>
        </w:rPr>
        <w:t xml:space="preserve"> do not necessarily account for physical/chemical limitations such as the formation of pure chemical compound</w:t>
      </w:r>
      <w:r w:rsidR="00386B53" w:rsidRPr="002A75F2">
        <w:rPr>
          <w:rFonts w:cs="Arial"/>
        </w:rPr>
        <w:t xml:space="preserve"> or movement of contaminants between media (e.g. leaching)</w:t>
      </w:r>
      <w:r w:rsidRPr="002A75F2">
        <w:rPr>
          <w:rFonts w:cs="Arial"/>
        </w:rPr>
        <w:t xml:space="preserve">. </w:t>
      </w:r>
      <w:r w:rsidR="00863ADD" w:rsidRPr="002A75F2">
        <w:rPr>
          <w:rFonts w:cs="Arial"/>
        </w:rPr>
        <w:t xml:space="preserve">A contaminant concentration </w:t>
      </w:r>
      <w:r w:rsidR="0089143A" w:rsidRPr="002A75F2">
        <w:rPr>
          <w:rFonts w:cs="Arial"/>
        </w:rPr>
        <w:t xml:space="preserve">which has been determined to result in an acceptable level of risk to human health </w:t>
      </w:r>
      <w:r w:rsidR="00863ADD" w:rsidRPr="002A75F2">
        <w:rPr>
          <w:rFonts w:cs="Arial"/>
        </w:rPr>
        <w:t>may be proposed as a</w:t>
      </w:r>
      <w:r w:rsidR="00BF3CC3" w:rsidRPr="002A75F2">
        <w:rPr>
          <w:rFonts w:cs="Arial"/>
        </w:rPr>
        <w:t xml:space="preserve"> human health-based</w:t>
      </w:r>
      <w:r w:rsidR="00863ADD" w:rsidRPr="002A75F2">
        <w:rPr>
          <w:rFonts w:cs="Arial"/>
        </w:rPr>
        <w:t xml:space="preserve"> property specific standard.</w:t>
      </w:r>
      <w:r w:rsidR="00565C91" w:rsidRPr="002A75F2">
        <w:rPr>
          <w:rFonts w:cs="Arial"/>
        </w:rPr>
        <w:t xml:space="preserve"> </w:t>
      </w:r>
      <w:r w:rsidRPr="002A75F2">
        <w:rPr>
          <w:rFonts w:cs="Arial"/>
        </w:rPr>
        <w:t>However, t</w:t>
      </w:r>
      <w:r w:rsidR="00565C91" w:rsidRPr="002A75F2">
        <w:rPr>
          <w:rFonts w:cs="Arial"/>
        </w:rPr>
        <w:t xml:space="preserve">he </w:t>
      </w:r>
      <w:r w:rsidR="00657FDB" w:rsidRPr="002A75F2">
        <w:rPr>
          <w:rFonts w:cs="Arial"/>
        </w:rPr>
        <w:t>M</w:t>
      </w:r>
      <w:r w:rsidR="00565C91" w:rsidRPr="002A75F2">
        <w:rPr>
          <w:rFonts w:cs="Arial"/>
        </w:rPr>
        <w:t xml:space="preserve">inistry also expects the proposed standard to reasonably represent </w:t>
      </w:r>
      <w:r w:rsidR="001B1250" w:rsidRPr="002A75F2">
        <w:rPr>
          <w:rFonts w:cs="Arial"/>
        </w:rPr>
        <w:t xml:space="preserve">no more than </w:t>
      </w:r>
      <w:r w:rsidR="00565C91" w:rsidRPr="002A75F2">
        <w:rPr>
          <w:rFonts w:cs="Arial"/>
        </w:rPr>
        <w:t xml:space="preserve">an upper estimate of the </w:t>
      </w:r>
      <w:r w:rsidRPr="002A75F2">
        <w:rPr>
          <w:rFonts w:cs="Arial"/>
        </w:rPr>
        <w:t xml:space="preserve">actual </w:t>
      </w:r>
      <w:r w:rsidR="00565C91" w:rsidRPr="002A75F2">
        <w:rPr>
          <w:rFonts w:cs="Arial"/>
        </w:rPr>
        <w:t>concentrations remaining on</w:t>
      </w:r>
      <w:r w:rsidR="00A87E11" w:rsidRPr="002A75F2">
        <w:rPr>
          <w:rFonts w:cs="Arial"/>
        </w:rPr>
        <w:t>, in</w:t>
      </w:r>
      <w:r w:rsidR="00565C91" w:rsidRPr="002A75F2">
        <w:rPr>
          <w:rFonts w:cs="Arial"/>
        </w:rPr>
        <w:t xml:space="preserve"> </w:t>
      </w:r>
      <w:r w:rsidR="006D2338" w:rsidRPr="002A75F2">
        <w:rPr>
          <w:rFonts w:cs="Arial"/>
        </w:rPr>
        <w:t xml:space="preserve">or under </w:t>
      </w:r>
      <w:r w:rsidR="00565C91" w:rsidRPr="002A75F2">
        <w:rPr>
          <w:rFonts w:cs="Arial"/>
        </w:rPr>
        <w:t>the property</w:t>
      </w:r>
      <w:r w:rsidRPr="002A75F2">
        <w:rPr>
          <w:rFonts w:cs="Arial"/>
        </w:rPr>
        <w:t xml:space="preserve"> at the time the standards are to be used to file a</w:t>
      </w:r>
      <w:r w:rsidR="00957636" w:rsidRPr="002A75F2">
        <w:rPr>
          <w:rFonts w:cs="Arial"/>
        </w:rPr>
        <w:t>n</w:t>
      </w:r>
      <w:r w:rsidRPr="002A75F2">
        <w:rPr>
          <w:rFonts w:cs="Arial"/>
        </w:rPr>
        <w:t xml:space="preserve"> </w:t>
      </w:r>
      <w:smartTag w:uri="urn:schemas-microsoft-com:office:smarttags" w:element="stockticker">
        <w:r w:rsidRPr="002A75F2">
          <w:rPr>
            <w:rFonts w:cs="Arial"/>
          </w:rPr>
          <w:t>RSC</w:t>
        </w:r>
      </w:smartTag>
      <w:r w:rsidR="0089143A" w:rsidRPr="002A75F2">
        <w:rPr>
          <w:rFonts w:cs="Arial"/>
        </w:rPr>
        <w:t xml:space="preserve"> (refer to Section </w:t>
      </w:r>
      <w:r w:rsidR="008E72B7" w:rsidRPr="002A75F2">
        <w:rPr>
          <w:rFonts w:cs="Arial"/>
        </w:rPr>
        <w:t>3</w:t>
      </w:r>
      <w:r w:rsidR="0089143A" w:rsidRPr="002A75F2">
        <w:rPr>
          <w:rFonts w:cs="Arial"/>
        </w:rPr>
        <w:t>.</w:t>
      </w:r>
      <w:r w:rsidR="005B336E" w:rsidRPr="002A75F2">
        <w:rPr>
          <w:rFonts w:cs="Arial"/>
        </w:rPr>
        <w:t>3.2</w:t>
      </w:r>
      <w:r w:rsidR="0089143A" w:rsidRPr="002A75F2">
        <w:rPr>
          <w:rFonts w:cs="Arial"/>
        </w:rPr>
        <w:t xml:space="preserve"> of this </w:t>
      </w:r>
      <w:r w:rsidR="00386B53" w:rsidRPr="002A75F2">
        <w:rPr>
          <w:rFonts w:cs="Arial"/>
        </w:rPr>
        <w:t>P</w:t>
      </w:r>
      <w:r w:rsidR="0089143A" w:rsidRPr="002A75F2">
        <w:rPr>
          <w:rFonts w:cs="Arial"/>
        </w:rPr>
        <w:t>rocedure</w:t>
      </w:r>
      <w:r w:rsidR="00386B53" w:rsidRPr="002A75F2">
        <w:rPr>
          <w:rFonts w:cs="Arial"/>
        </w:rPr>
        <w:t>s</w:t>
      </w:r>
      <w:r w:rsidR="0089143A" w:rsidRPr="002A75F2">
        <w:rPr>
          <w:rFonts w:cs="Arial"/>
        </w:rPr>
        <w:t xml:space="preserve"> document)</w:t>
      </w:r>
      <w:r w:rsidRPr="002A75F2">
        <w:rPr>
          <w:rFonts w:cs="Arial"/>
        </w:rPr>
        <w:t>.</w:t>
      </w:r>
    </w:p>
    <w:p w14:paraId="297DCF7B" w14:textId="3C6949B7" w:rsidR="00C62998" w:rsidRPr="002A75F2" w:rsidRDefault="00C62998" w:rsidP="00C62998">
      <w:pPr>
        <w:rPr>
          <w:rFonts w:cs="Arial"/>
        </w:rPr>
      </w:pPr>
      <w:r w:rsidRPr="002A75F2">
        <w:rPr>
          <w:rFonts w:cs="Arial"/>
        </w:rPr>
        <w:t>Explicit calculation of health effect risk due to background exposure is not generally required as part of risk assessment. Background exposure could be considered for some COCs where it is known to be significant. QP</w:t>
      </w:r>
      <w:r w:rsidRPr="002A75F2">
        <w:rPr>
          <w:rFonts w:cs="Arial"/>
          <w:vertAlign w:val="subscript"/>
        </w:rPr>
        <w:t>RA</w:t>
      </w:r>
      <w:r w:rsidRPr="002A75F2">
        <w:rPr>
          <w:rFonts w:cs="Arial"/>
        </w:rPr>
        <w:t>’s are requested to contact the Ministry for guidance in such cases.</w:t>
      </w:r>
    </w:p>
    <w:p w14:paraId="5A8D5B01" w14:textId="77777777" w:rsidR="00AC7CAC" w:rsidRPr="002A75F2" w:rsidRDefault="000B6FCD" w:rsidP="00C62998">
      <w:pPr>
        <w:rPr>
          <w:rFonts w:cs="Arial"/>
        </w:rPr>
      </w:pPr>
      <w:bookmarkStart w:id="227" w:name="_4.4.1_Quantitative_Interpretation_o"/>
      <w:bookmarkEnd w:id="227"/>
      <w:r w:rsidRPr="002A75F2">
        <w:rPr>
          <w:rFonts w:cs="Arial"/>
        </w:rPr>
        <w:t xml:space="preserve">Additional guidance on meeting the requirements </w:t>
      </w:r>
      <w:r w:rsidR="00250B6C" w:rsidRPr="002A75F2">
        <w:rPr>
          <w:rFonts w:cs="Arial"/>
        </w:rPr>
        <w:t xml:space="preserve">for a </w:t>
      </w:r>
      <w:r w:rsidR="00E80629" w:rsidRPr="002A75F2">
        <w:rPr>
          <w:rFonts w:cs="Arial"/>
        </w:rPr>
        <w:t>quantitative</w:t>
      </w:r>
      <w:r w:rsidR="00250B6C" w:rsidRPr="002A75F2">
        <w:rPr>
          <w:rFonts w:cs="Arial"/>
        </w:rPr>
        <w:t xml:space="preserve"> assessment of risks is </w:t>
      </w:r>
      <w:r w:rsidRPr="002A75F2">
        <w:rPr>
          <w:rFonts w:cs="Arial"/>
        </w:rPr>
        <w:t>provided in the following sections</w:t>
      </w:r>
      <w:r w:rsidR="007E7F81" w:rsidRPr="002A75F2">
        <w:rPr>
          <w:rFonts w:cs="Arial"/>
        </w:rPr>
        <w:t xml:space="preserve"> of this </w:t>
      </w:r>
      <w:r w:rsidR="00344DDB" w:rsidRPr="002A75F2">
        <w:rPr>
          <w:rFonts w:cs="Arial"/>
        </w:rPr>
        <w:t>P</w:t>
      </w:r>
      <w:r w:rsidR="007E7F81" w:rsidRPr="002A75F2">
        <w:rPr>
          <w:rFonts w:cs="Arial"/>
        </w:rPr>
        <w:t>rocedures document</w:t>
      </w:r>
      <w:r w:rsidRPr="002A75F2">
        <w:rPr>
          <w:rFonts w:cs="Arial"/>
        </w:rPr>
        <w:t>.</w:t>
      </w:r>
    </w:p>
    <w:p w14:paraId="7BE90D7A" w14:textId="77777777" w:rsidR="00B736F9" w:rsidRPr="002A75F2" w:rsidRDefault="00B736F9" w:rsidP="00FF0580">
      <w:pPr>
        <w:pStyle w:val="Heading4"/>
        <w:rPr>
          <w:rFonts w:cs="Arial"/>
        </w:rPr>
      </w:pPr>
      <w:r w:rsidRPr="002A75F2">
        <w:rPr>
          <w:rFonts w:cs="Arial"/>
        </w:rPr>
        <w:lastRenderedPageBreak/>
        <w:t>Non</w:t>
      </w:r>
      <w:r w:rsidR="0028730E" w:rsidRPr="002A75F2">
        <w:rPr>
          <w:rFonts w:cs="Arial"/>
        </w:rPr>
        <w:t>-</w:t>
      </w:r>
      <w:r w:rsidRPr="002A75F2">
        <w:rPr>
          <w:rFonts w:cs="Arial"/>
        </w:rPr>
        <w:t>Threshold Effects</w:t>
      </w:r>
    </w:p>
    <w:p w14:paraId="36B6F28A" w14:textId="1118B836" w:rsidR="00B736F9" w:rsidRPr="002A75F2" w:rsidRDefault="00D26C35" w:rsidP="00840964">
      <w:pPr>
        <w:rPr>
          <w:rFonts w:cs="Arial"/>
        </w:rPr>
      </w:pPr>
      <w:r w:rsidRPr="002A75F2">
        <w:rPr>
          <w:rFonts w:cs="Arial"/>
        </w:rPr>
        <w:t>For non-threshold COCs (carcinogens acting through mechanisms presuming the absence of a biological threshold) an incremental lifetime cancer risk (ILCR) of one-in-a-million (1 x 10</w:t>
      </w:r>
      <w:r w:rsidRPr="002A75F2">
        <w:rPr>
          <w:rFonts w:cs="Arial"/>
          <w:vertAlign w:val="superscript"/>
        </w:rPr>
        <w:t>-6</w:t>
      </w:r>
      <w:r w:rsidRPr="002A75F2">
        <w:rPr>
          <w:rFonts w:cs="Arial"/>
        </w:rPr>
        <w:t xml:space="preserve">) must be applied to each calculation similarly to the way the generic </w:t>
      </w:r>
      <w:r w:rsidR="005B614D" w:rsidRPr="002A75F2">
        <w:rPr>
          <w:rFonts w:cs="Arial"/>
        </w:rPr>
        <w:t>site condition standards</w:t>
      </w:r>
      <w:r w:rsidRPr="002A75F2">
        <w:rPr>
          <w:rFonts w:cs="Arial"/>
        </w:rPr>
        <w:t xml:space="preserve"> are calculated. For each receptor, risks from exposures to soil and groundwater should each be calculated using an ILCR of 1 x 10</w:t>
      </w:r>
      <w:r w:rsidRPr="002A75F2">
        <w:rPr>
          <w:rFonts w:cs="Arial"/>
          <w:vertAlign w:val="superscript"/>
        </w:rPr>
        <w:t>-6</w:t>
      </w:r>
      <w:r w:rsidRPr="002A75F2">
        <w:rPr>
          <w:rFonts w:cs="Arial"/>
        </w:rPr>
        <w:t xml:space="preserve">. As with the generic </w:t>
      </w:r>
      <w:r w:rsidR="005C53DA" w:rsidRPr="002A75F2">
        <w:rPr>
          <w:rFonts w:cs="Arial"/>
        </w:rPr>
        <w:t>site condition standards</w:t>
      </w:r>
      <w:r w:rsidRPr="002A75F2">
        <w:rPr>
          <w:rFonts w:cs="Arial"/>
        </w:rPr>
        <w:t>, there should be separate calculations for direct contact with soil, soil particulate inhalation, inhalation of volatile contaminants in soil, direct contact with groundwater, and inhalation of volatile contaminants in groundwater – each calculation using the target ILCR of 1 x 10</w:t>
      </w:r>
      <w:r w:rsidRPr="002A75F2">
        <w:rPr>
          <w:rFonts w:cs="Arial"/>
          <w:vertAlign w:val="superscript"/>
        </w:rPr>
        <w:t>-6</w:t>
      </w:r>
      <w:r w:rsidRPr="002A75F2">
        <w:rPr>
          <w:rFonts w:cs="Arial"/>
        </w:rPr>
        <w:t xml:space="preserve"> for each receptor.</w:t>
      </w:r>
    </w:p>
    <w:p w14:paraId="23835D4B" w14:textId="77777777" w:rsidR="00B736F9" w:rsidRPr="002A75F2" w:rsidRDefault="00B736F9" w:rsidP="00FF0580">
      <w:pPr>
        <w:pStyle w:val="Heading4"/>
        <w:rPr>
          <w:rFonts w:cs="Arial"/>
        </w:rPr>
      </w:pPr>
      <w:r w:rsidRPr="002A75F2">
        <w:rPr>
          <w:rFonts w:cs="Arial"/>
        </w:rPr>
        <w:t>Threshold Effects</w:t>
      </w:r>
    </w:p>
    <w:p w14:paraId="019ED2D4" w14:textId="77777777" w:rsidR="00E5494B" w:rsidRPr="002A75F2" w:rsidRDefault="006C24BC" w:rsidP="00E223A4">
      <w:pPr>
        <w:rPr>
          <w:rFonts w:cs="Arial"/>
        </w:rPr>
      </w:pPr>
      <w:r w:rsidRPr="002A75F2">
        <w:rPr>
          <w:rFonts w:cs="Arial"/>
        </w:rPr>
        <w:t xml:space="preserve">For </w:t>
      </w:r>
      <w:r w:rsidR="00D26C35" w:rsidRPr="002A75F2">
        <w:rPr>
          <w:rFonts w:cs="Arial"/>
        </w:rPr>
        <w:t>threshold COCs</w:t>
      </w:r>
      <w:r w:rsidRPr="002A75F2">
        <w:rPr>
          <w:rFonts w:cs="Arial"/>
        </w:rPr>
        <w:t xml:space="preserve"> (including some carcinogens) acting through mechanisms that presume a biological threshold,</w:t>
      </w:r>
      <w:r w:rsidR="00B736F9" w:rsidRPr="002A75F2">
        <w:rPr>
          <w:rFonts w:cs="Arial"/>
        </w:rPr>
        <w:t xml:space="preserve"> potential adverse health effects should be evaluated and characterized by comparing an exposure level over a specified period of time (</w:t>
      </w:r>
      <w:r w:rsidR="008A792B" w:rsidRPr="002A75F2">
        <w:rPr>
          <w:rFonts w:cs="Arial"/>
        </w:rPr>
        <w:t xml:space="preserve">e.g. </w:t>
      </w:r>
      <w:r w:rsidR="00B736F9" w:rsidRPr="002A75F2">
        <w:rPr>
          <w:rFonts w:cs="Arial"/>
        </w:rPr>
        <w:t xml:space="preserve">lifetime) with an appropriate </w:t>
      </w:r>
      <w:smartTag w:uri="urn:schemas-microsoft-com:office:smarttags" w:element="stockticker">
        <w:r w:rsidR="00B736F9" w:rsidRPr="002A75F2">
          <w:rPr>
            <w:rFonts w:cs="Arial"/>
          </w:rPr>
          <w:t>TRV</w:t>
        </w:r>
      </w:smartTag>
      <w:r w:rsidR="00B736F9" w:rsidRPr="002A75F2">
        <w:rPr>
          <w:rFonts w:cs="Arial"/>
        </w:rPr>
        <w:t xml:space="preserve"> derived for a similar exposure period</w:t>
      </w:r>
      <w:r w:rsidR="00E5494B" w:rsidRPr="002A75F2">
        <w:rPr>
          <w:rFonts w:cs="Arial"/>
        </w:rPr>
        <w:t xml:space="preserve"> using the following formula: </w:t>
      </w:r>
    </w:p>
    <w:p w14:paraId="450AB48E" w14:textId="77777777" w:rsidR="00B736F9" w:rsidRPr="002A75F2" w:rsidRDefault="00E5494B" w:rsidP="00AD3D3D">
      <w:pPr>
        <w:ind w:left="720" w:firstLine="720"/>
        <w:rPr>
          <w:rFonts w:cs="Arial"/>
        </w:rPr>
      </w:pPr>
      <w:r w:rsidRPr="002A75F2">
        <w:rPr>
          <w:rFonts w:cs="Arial"/>
        </w:rPr>
        <w:t>Hazard Quotient (HQ) = exposure/TRV</w:t>
      </w:r>
    </w:p>
    <w:p w14:paraId="46BD8580" w14:textId="7C5F9767" w:rsidR="00142E3B" w:rsidRPr="002A75F2" w:rsidRDefault="00D26C35" w:rsidP="00142E3B">
      <w:pPr>
        <w:rPr>
          <w:rFonts w:cs="Arial"/>
        </w:rPr>
      </w:pPr>
      <w:r w:rsidRPr="002A75F2">
        <w:rPr>
          <w:rFonts w:cs="Arial"/>
        </w:rPr>
        <w:t xml:space="preserve">As with the generic </w:t>
      </w:r>
      <w:r w:rsidR="005C53DA" w:rsidRPr="002A75F2">
        <w:rPr>
          <w:rFonts w:cs="Arial"/>
        </w:rPr>
        <w:t>site condition standards</w:t>
      </w:r>
      <w:r w:rsidRPr="002A75F2">
        <w:rPr>
          <w:rFonts w:cs="Arial"/>
        </w:rPr>
        <w:t xml:space="preserve">, there should be separate calculations for direct contact with soil, soil particulate inhalation, inhalation of volatile contaminants in soil, direct contact with groundwater, and inhalation of volatile contaminants in groundwater – each calculation using the default source allocation factor (SAF) of 20% of the TRV for each receptor. </w:t>
      </w:r>
      <w:r w:rsidR="00142E3B" w:rsidRPr="002A75F2">
        <w:rPr>
          <w:rFonts w:cs="Arial"/>
        </w:rPr>
        <w:t>The QP</w:t>
      </w:r>
      <w:r w:rsidR="00142E3B" w:rsidRPr="002A75F2">
        <w:rPr>
          <w:rFonts w:cs="Arial"/>
          <w:vertAlign w:val="subscript"/>
        </w:rPr>
        <w:t>RA</w:t>
      </w:r>
      <w:r w:rsidR="00142E3B" w:rsidRPr="002A75F2">
        <w:rPr>
          <w:rFonts w:cs="Arial"/>
        </w:rPr>
        <w:t xml:space="preserve"> should consider </w:t>
      </w:r>
      <w:r w:rsidR="0062172B" w:rsidRPr="002A75F2">
        <w:rPr>
          <w:rFonts w:cs="Arial"/>
        </w:rPr>
        <w:t xml:space="preserve">using a default </w:t>
      </w:r>
      <w:r w:rsidR="00DF1CBC" w:rsidRPr="002A75F2">
        <w:rPr>
          <w:rFonts w:cs="Arial"/>
        </w:rPr>
        <w:t>SAF</w:t>
      </w:r>
      <w:r w:rsidR="00142E3B" w:rsidRPr="002A75F2">
        <w:rPr>
          <w:rFonts w:cs="Arial"/>
        </w:rPr>
        <w:t xml:space="preserve"> of 20% of the </w:t>
      </w:r>
      <w:smartTag w:uri="urn:schemas-microsoft-com:office:smarttags" w:element="stockticker">
        <w:r w:rsidR="00142E3B" w:rsidRPr="002A75F2">
          <w:rPr>
            <w:rFonts w:cs="Arial"/>
          </w:rPr>
          <w:t>TRV</w:t>
        </w:r>
      </w:smartTag>
      <w:r w:rsidR="00142E3B" w:rsidRPr="002A75F2">
        <w:rPr>
          <w:rFonts w:cs="Arial"/>
        </w:rPr>
        <w:t xml:space="preserve"> when developing the property specific standard as standard practice, </w:t>
      </w:r>
      <w:r w:rsidR="00545006" w:rsidRPr="002A75F2">
        <w:rPr>
          <w:rFonts w:cs="Arial"/>
        </w:rPr>
        <w:t xml:space="preserve">which is </w:t>
      </w:r>
      <w:r w:rsidR="00142E3B" w:rsidRPr="002A75F2">
        <w:rPr>
          <w:rFonts w:cs="Arial"/>
        </w:rPr>
        <w:t xml:space="preserve">consistent with the </w:t>
      </w:r>
      <w:r w:rsidR="00250B6C" w:rsidRPr="002A75F2">
        <w:rPr>
          <w:rFonts w:cs="Arial"/>
        </w:rPr>
        <w:t xml:space="preserve">Ministry’s </w:t>
      </w:r>
      <w:r w:rsidR="00142E3B" w:rsidRPr="002A75F2">
        <w:rPr>
          <w:rFonts w:cs="Arial"/>
        </w:rPr>
        <w:t xml:space="preserve">development of the generic </w:t>
      </w:r>
      <w:r w:rsidR="005C53DA" w:rsidRPr="002A75F2">
        <w:rPr>
          <w:rFonts w:cs="Arial"/>
        </w:rPr>
        <w:t>site condition standards</w:t>
      </w:r>
      <w:r w:rsidR="00142E3B" w:rsidRPr="002A75F2">
        <w:rPr>
          <w:rFonts w:cs="Arial"/>
        </w:rPr>
        <w:t xml:space="preserve"> and </w:t>
      </w:r>
      <w:r w:rsidR="00545006" w:rsidRPr="002A75F2">
        <w:rPr>
          <w:rFonts w:cs="Arial"/>
        </w:rPr>
        <w:t xml:space="preserve">the </w:t>
      </w:r>
      <w:r w:rsidR="00142E3B" w:rsidRPr="002A75F2">
        <w:rPr>
          <w:rFonts w:cs="Arial"/>
        </w:rPr>
        <w:t>approved model.</w:t>
      </w:r>
    </w:p>
    <w:p w14:paraId="6FB7639A" w14:textId="636F818F" w:rsidR="001E325A" w:rsidRPr="002A75F2" w:rsidRDefault="001E325A" w:rsidP="001E325A">
      <w:pPr>
        <w:rPr>
          <w:rFonts w:cs="Arial"/>
        </w:rPr>
      </w:pPr>
      <w:r w:rsidRPr="002A75F2">
        <w:rPr>
          <w:rFonts w:cs="Arial"/>
        </w:rPr>
        <w:t xml:space="preserve">Note that modelled transport of contamination in the </w:t>
      </w:r>
      <w:proofErr w:type="spellStart"/>
      <w:r w:rsidRPr="002A75F2">
        <w:rPr>
          <w:rFonts w:cs="Arial"/>
        </w:rPr>
        <w:t>vapour</w:t>
      </w:r>
      <w:proofErr w:type="spellEnd"/>
      <w:r w:rsidRPr="002A75F2">
        <w:rPr>
          <w:rFonts w:cs="Arial"/>
        </w:rPr>
        <w:t xml:space="preserve"> phase originating from soil and groundwater sources are usually considered separately and do not need to be considered additive. </w:t>
      </w:r>
      <w:r w:rsidR="00DF1CBC" w:rsidRPr="002A75F2">
        <w:rPr>
          <w:rFonts w:cs="Arial"/>
        </w:rPr>
        <w:t>In other words, a</w:t>
      </w:r>
      <w:r w:rsidRPr="002A75F2">
        <w:rPr>
          <w:rFonts w:cs="Arial"/>
        </w:rPr>
        <w:t xml:space="preserve"> property specific standard proposed for soil should result in no more than 20% of the </w:t>
      </w:r>
      <w:smartTag w:uri="urn:schemas-microsoft-com:office:smarttags" w:element="stockticker">
        <w:r w:rsidRPr="002A75F2">
          <w:rPr>
            <w:rFonts w:cs="Arial"/>
          </w:rPr>
          <w:t>TRV</w:t>
        </w:r>
      </w:smartTag>
      <w:r w:rsidRPr="002A75F2">
        <w:rPr>
          <w:rFonts w:cs="Arial"/>
        </w:rPr>
        <w:t xml:space="preserve"> allocated to exposure to </w:t>
      </w:r>
      <w:proofErr w:type="spellStart"/>
      <w:r w:rsidRPr="002A75F2">
        <w:rPr>
          <w:rFonts w:cs="Arial"/>
        </w:rPr>
        <w:t>vapours</w:t>
      </w:r>
      <w:proofErr w:type="spellEnd"/>
      <w:r w:rsidRPr="002A75F2">
        <w:rPr>
          <w:rFonts w:cs="Arial"/>
        </w:rPr>
        <w:t xml:space="preserve"> volatilized from soil. A property specific standard proposed for groundwater should result in no more than 20% of the </w:t>
      </w:r>
      <w:smartTag w:uri="urn:schemas-microsoft-com:office:smarttags" w:element="stockticker">
        <w:r w:rsidRPr="002A75F2">
          <w:rPr>
            <w:rFonts w:cs="Arial"/>
          </w:rPr>
          <w:t>TRV</w:t>
        </w:r>
      </w:smartTag>
      <w:r w:rsidRPr="002A75F2">
        <w:rPr>
          <w:rFonts w:cs="Arial"/>
        </w:rPr>
        <w:t xml:space="preserve"> allocated to exposure to </w:t>
      </w:r>
      <w:proofErr w:type="spellStart"/>
      <w:r w:rsidRPr="002A75F2">
        <w:rPr>
          <w:rFonts w:cs="Arial"/>
        </w:rPr>
        <w:t>vapours</w:t>
      </w:r>
      <w:proofErr w:type="spellEnd"/>
      <w:r w:rsidRPr="002A75F2">
        <w:rPr>
          <w:rFonts w:cs="Arial"/>
        </w:rPr>
        <w:t xml:space="preserve"> volatilized from groundwater.</w:t>
      </w:r>
    </w:p>
    <w:p w14:paraId="6974FE8F" w14:textId="32B576C0" w:rsidR="001E325A" w:rsidRPr="002A75F2" w:rsidRDefault="00DF1CBC" w:rsidP="001E325A">
      <w:pPr>
        <w:rPr>
          <w:rFonts w:cs="Arial"/>
        </w:rPr>
      </w:pPr>
      <w:r w:rsidRPr="002A75F2">
        <w:rPr>
          <w:rFonts w:cs="Arial"/>
        </w:rPr>
        <w:t>Alternate SAFs</w:t>
      </w:r>
      <w:r w:rsidR="008B3B0C" w:rsidRPr="002A75F2">
        <w:rPr>
          <w:rFonts w:cs="Arial"/>
        </w:rPr>
        <w:t xml:space="preserve"> are allowed under the </w:t>
      </w:r>
      <w:r w:rsidR="00FC5EF4" w:rsidRPr="002A75F2">
        <w:rPr>
          <w:rFonts w:cs="Arial"/>
        </w:rPr>
        <w:t>R</w:t>
      </w:r>
      <w:r w:rsidR="008B3B0C" w:rsidRPr="002A75F2">
        <w:rPr>
          <w:rFonts w:cs="Arial"/>
        </w:rPr>
        <w:t xml:space="preserve">egulation providing they are </w:t>
      </w:r>
      <w:r w:rsidR="00D905AC" w:rsidRPr="002A75F2">
        <w:rPr>
          <w:rFonts w:cs="Arial"/>
        </w:rPr>
        <w:t>supported</w:t>
      </w:r>
      <w:r w:rsidR="008B3B0C" w:rsidRPr="002A75F2">
        <w:rPr>
          <w:rFonts w:cs="Arial"/>
        </w:rPr>
        <w:t xml:space="preserve"> through a </w:t>
      </w:r>
      <w:r w:rsidR="00D905AC" w:rsidRPr="002A75F2">
        <w:rPr>
          <w:rFonts w:cs="Arial"/>
        </w:rPr>
        <w:t>property-specific</w:t>
      </w:r>
      <w:r w:rsidR="008B3B0C" w:rsidRPr="002A75F2">
        <w:rPr>
          <w:rFonts w:cs="Arial"/>
        </w:rPr>
        <w:t xml:space="preserve"> multi</w:t>
      </w:r>
      <w:r w:rsidR="00FC5EF4" w:rsidRPr="002A75F2">
        <w:rPr>
          <w:rFonts w:cs="Arial"/>
        </w:rPr>
        <w:t>-</w:t>
      </w:r>
      <w:r w:rsidR="008B3B0C" w:rsidRPr="002A75F2">
        <w:rPr>
          <w:rFonts w:cs="Arial"/>
        </w:rPr>
        <w:t xml:space="preserve">media assessment of exposure </w:t>
      </w:r>
      <w:r w:rsidR="00D905AC" w:rsidRPr="002A75F2">
        <w:rPr>
          <w:rFonts w:cs="Arial"/>
        </w:rPr>
        <w:t>where th</w:t>
      </w:r>
      <w:r w:rsidR="008B3B0C" w:rsidRPr="002A75F2">
        <w:rPr>
          <w:rFonts w:cs="Arial"/>
        </w:rPr>
        <w:t>e total exposure does not exceed the TRV</w:t>
      </w:r>
      <w:r w:rsidR="00D905AC" w:rsidRPr="002A75F2">
        <w:rPr>
          <w:rFonts w:cs="Arial"/>
        </w:rPr>
        <w:t xml:space="preserve"> for each COC</w:t>
      </w:r>
      <w:r w:rsidR="0082009E" w:rsidRPr="002A75F2">
        <w:rPr>
          <w:rFonts w:cs="Arial"/>
        </w:rPr>
        <w:t>.</w:t>
      </w:r>
    </w:p>
    <w:p w14:paraId="48569847" w14:textId="05C30B42" w:rsidR="001E325A" w:rsidRPr="002A75F2" w:rsidRDefault="00545006" w:rsidP="001E325A">
      <w:pPr>
        <w:rPr>
          <w:rFonts w:cs="Arial"/>
        </w:rPr>
      </w:pPr>
      <w:r w:rsidRPr="002A75F2">
        <w:rPr>
          <w:rFonts w:cs="Arial"/>
        </w:rPr>
        <w:t xml:space="preserve">Note that for some contaminants and for some </w:t>
      </w:r>
      <w:r w:rsidR="001E1F3E" w:rsidRPr="002A75F2">
        <w:rPr>
          <w:rFonts w:cs="Arial"/>
        </w:rPr>
        <w:t xml:space="preserve">specific </w:t>
      </w:r>
      <w:r w:rsidRPr="002A75F2">
        <w:rPr>
          <w:rFonts w:cs="Arial"/>
        </w:rPr>
        <w:t xml:space="preserve">exposure scenarios, an allocation of other than 20% was used by the Ministry in the development of the generic </w:t>
      </w:r>
      <w:r w:rsidR="005C53DA" w:rsidRPr="002A75F2">
        <w:rPr>
          <w:rFonts w:cs="Arial"/>
        </w:rPr>
        <w:t>site condition standards</w:t>
      </w:r>
      <w:r w:rsidRPr="002A75F2">
        <w:rPr>
          <w:rFonts w:cs="Arial"/>
        </w:rPr>
        <w:t xml:space="preserve"> and/or included in the approved model. A multi-media assessment will not be required in cases where these Ministry </w:t>
      </w:r>
      <w:r w:rsidR="00D905AC" w:rsidRPr="002A75F2">
        <w:rPr>
          <w:rFonts w:cs="Arial"/>
        </w:rPr>
        <w:t>SAFs</w:t>
      </w:r>
      <w:r w:rsidRPr="002A75F2">
        <w:rPr>
          <w:rFonts w:cs="Arial"/>
        </w:rPr>
        <w:t xml:space="preserve"> are used.</w:t>
      </w:r>
      <w:r w:rsidR="001E325A" w:rsidRPr="002A75F2">
        <w:rPr>
          <w:rFonts w:cs="Arial"/>
        </w:rPr>
        <w:t xml:space="preserve"> </w:t>
      </w:r>
    </w:p>
    <w:p w14:paraId="3D1CBDF3" w14:textId="77777777" w:rsidR="00B736F9" w:rsidRPr="002A75F2" w:rsidRDefault="0046547B" w:rsidP="00FF0580">
      <w:pPr>
        <w:pStyle w:val="Heading4"/>
        <w:rPr>
          <w:rFonts w:cs="Arial"/>
        </w:rPr>
      </w:pPr>
      <w:r w:rsidRPr="002A75F2">
        <w:rPr>
          <w:rFonts w:cs="Arial"/>
        </w:rPr>
        <w:t>Use</w:t>
      </w:r>
      <w:r w:rsidR="00FB613E" w:rsidRPr="002A75F2">
        <w:rPr>
          <w:rFonts w:cs="Arial"/>
        </w:rPr>
        <w:t xml:space="preserve"> of Toxic Equivalency F</w:t>
      </w:r>
      <w:r w:rsidR="009847B3" w:rsidRPr="002A75F2">
        <w:rPr>
          <w:rFonts w:cs="Arial"/>
        </w:rPr>
        <w:t>actors</w:t>
      </w:r>
    </w:p>
    <w:p w14:paraId="12AFEB2C" w14:textId="26939362" w:rsidR="00F35BE0" w:rsidRPr="002A75F2" w:rsidRDefault="00FB474A" w:rsidP="00F35BE0">
      <w:pPr>
        <w:rPr>
          <w:rFonts w:cs="Arial"/>
        </w:rPr>
      </w:pPr>
      <w:r w:rsidRPr="002A75F2">
        <w:rPr>
          <w:rFonts w:cs="Arial"/>
        </w:rPr>
        <w:t xml:space="preserve">The </w:t>
      </w:r>
      <w:r w:rsidR="00657FDB" w:rsidRPr="002A75F2">
        <w:rPr>
          <w:rFonts w:cs="Arial"/>
        </w:rPr>
        <w:t>M</w:t>
      </w:r>
      <w:r w:rsidR="002A6EE0" w:rsidRPr="002A75F2">
        <w:rPr>
          <w:rFonts w:cs="Arial"/>
        </w:rPr>
        <w:t>inistry</w:t>
      </w:r>
      <w:r w:rsidRPr="002A75F2">
        <w:rPr>
          <w:rFonts w:cs="Arial"/>
        </w:rPr>
        <w:t xml:space="preserve"> has selected a Toxicity Equivalency Factor (</w:t>
      </w:r>
      <w:smartTag w:uri="urn:schemas-microsoft-com:office:smarttags" w:element="stockticker">
        <w:r w:rsidRPr="002A75F2">
          <w:rPr>
            <w:rFonts w:cs="Arial"/>
          </w:rPr>
          <w:t>TEF</w:t>
        </w:r>
      </w:smartTag>
      <w:r w:rsidRPr="002A75F2">
        <w:rPr>
          <w:rFonts w:cs="Arial"/>
        </w:rPr>
        <w:t xml:space="preserve">) approach as the basis for standardizing the toxicity of </w:t>
      </w:r>
      <w:r w:rsidR="00FF6A08" w:rsidRPr="002A75F2">
        <w:rPr>
          <w:rFonts w:cs="Arial"/>
        </w:rPr>
        <w:t xml:space="preserve">some groups of </w:t>
      </w:r>
      <w:r w:rsidRPr="002A75F2">
        <w:rPr>
          <w:rFonts w:cs="Arial"/>
        </w:rPr>
        <w:t xml:space="preserve">structurally similar compounds displaying similar </w:t>
      </w:r>
      <w:r w:rsidRPr="002A75F2">
        <w:rPr>
          <w:rFonts w:cs="Arial"/>
        </w:rPr>
        <w:lastRenderedPageBreak/>
        <w:t>toxicity profiles</w:t>
      </w:r>
      <w:r w:rsidR="003B70B4" w:rsidRPr="002A75F2">
        <w:rPr>
          <w:rFonts w:cs="Arial"/>
        </w:rPr>
        <w:t>. Examples include</w:t>
      </w:r>
      <w:r w:rsidRPr="002A75F2">
        <w:rPr>
          <w:rFonts w:cs="Arial"/>
        </w:rPr>
        <w:t xml:space="preserve"> dioxin-like compounds and carcinogenic polycyclic aromatic hydrocarbons (PAHs)</w:t>
      </w:r>
      <w:r w:rsidR="006A1306" w:rsidRPr="002A75F2">
        <w:rPr>
          <w:rFonts w:cs="Arial"/>
        </w:rPr>
        <w:t>, which are discussed below</w:t>
      </w:r>
      <w:r w:rsidR="00CC17BC" w:rsidRPr="002A75F2">
        <w:rPr>
          <w:rFonts w:cs="Arial"/>
        </w:rPr>
        <w:t>.</w:t>
      </w:r>
      <w:r w:rsidR="00F35BE0" w:rsidRPr="002A75F2">
        <w:rPr>
          <w:rFonts w:cs="Arial"/>
        </w:rPr>
        <w:t xml:space="preserve"> </w:t>
      </w:r>
    </w:p>
    <w:p w14:paraId="01DDACF0" w14:textId="77777777" w:rsidR="006A1306" w:rsidRPr="002A75F2" w:rsidRDefault="006A1306" w:rsidP="006A1306">
      <w:pPr>
        <w:rPr>
          <w:rFonts w:cs="Arial"/>
          <w:u w:val="single"/>
        </w:rPr>
      </w:pPr>
      <w:r w:rsidRPr="002A75F2">
        <w:rPr>
          <w:rFonts w:cs="Arial"/>
          <w:u w:val="single"/>
        </w:rPr>
        <w:t>Dioxins, Furans, and Dioxin-like PCBs</w:t>
      </w:r>
    </w:p>
    <w:p w14:paraId="30401E46" w14:textId="59185159" w:rsidR="006A1306" w:rsidRPr="002A75F2" w:rsidRDefault="006A1306" w:rsidP="006A1306">
      <w:pPr>
        <w:rPr>
          <w:rFonts w:cs="Arial"/>
        </w:rPr>
      </w:pPr>
      <w:r w:rsidRPr="002A75F2">
        <w:rPr>
          <w:rFonts w:cs="Arial"/>
        </w:rPr>
        <w:t xml:space="preserve">Mixtures of </w:t>
      </w:r>
      <w:r w:rsidR="00FF6A08" w:rsidRPr="002A75F2">
        <w:rPr>
          <w:rFonts w:cs="Arial"/>
        </w:rPr>
        <w:t>p</w:t>
      </w:r>
      <w:r w:rsidRPr="002A75F2">
        <w:rPr>
          <w:rFonts w:cs="Arial"/>
        </w:rPr>
        <w:t xml:space="preserve">olychlorinated dibenzo-p-dioxins (PCDDs), polychlorinated dibenzofurans (PCDFs), and polychlorinated biphenyls (PCBs) compounds are aryl hydrocarbon receptor agonists that share a common mechanism of action that is consistent with an additive model. This model uses the relative potency determined for individual PCDD, PCDF, and PCB compounds for producing toxic or biological effects relative to </w:t>
      </w:r>
      <w:r w:rsidR="00FF6A08" w:rsidRPr="002A75F2">
        <w:rPr>
          <w:rFonts w:cs="Arial"/>
        </w:rPr>
        <w:t>the</w:t>
      </w:r>
      <w:r w:rsidRPr="002A75F2">
        <w:rPr>
          <w:rFonts w:cs="Arial"/>
        </w:rPr>
        <w:t xml:space="preserve"> reference compound, 2,3,7,8- </w:t>
      </w:r>
      <w:proofErr w:type="spellStart"/>
      <w:r w:rsidRPr="002A75F2">
        <w:rPr>
          <w:rFonts w:cs="Arial"/>
        </w:rPr>
        <w:t>tetrachlorodibenzo</w:t>
      </w:r>
      <w:proofErr w:type="spellEnd"/>
      <w:r w:rsidRPr="002A75F2">
        <w:rPr>
          <w:rFonts w:cs="Arial"/>
        </w:rPr>
        <w:t>-p-dioxin (TCDD).</w:t>
      </w:r>
    </w:p>
    <w:p w14:paraId="26D627EB" w14:textId="4EFCF38D" w:rsidR="006A1306" w:rsidRPr="002A75F2" w:rsidRDefault="006A1306" w:rsidP="00840964">
      <w:pPr>
        <w:rPr>
          <w:rFonts w:cs="Arial"/>
        </w:rPr>
      </w:pPr>
      <w:r w:rsidRPr="002A75F2">
        <w:rPr>
          <w:rFonts w:cs="Arial"/>
        </w:rPr>
        <w:t>The total toxic equivalent (TEQ) is defined by the sum of the products of the concentration of each compound multiplied by its toxic equivalen</w:t>
      </w:r>
      <w:r w:rsidR="00FF6A08" w:rsidRPr="002A75F2">
        <w:rPr>
          <w:rFonts w:cs="Arial"/>
        </w:rPr>
        <w:t>cy</w:t>
      </w:r>
      <w:r w:rsidRPr="002A75F2">
        <w:rPr>
          <w:rFonts w:cs="Arial"/>
        </w:rPr>
        <w:t xml:space="preserve"> factor (TEF) value and is an estimate of the total TEQ of the mixture. Mixtures and their TEF values should be listed along with the methodology used to derive the total </w:t>
      </w:r>
      <w:r w:rsidR="00FF6A08" w:rsidRPr="002A75F2">
        <w:rPr>
          <w:rFonts w:cs="Arial"/>
        </w:rPr>
        <w:t xml:space="preserve">TEQ for </w:t>
      </w:r>
      <w:r w:rsidRPr="002A75F2">
        <w:rPr>
          <w:rFonts w:cs="Arial"/>
        </w:rPr>
        <w:t>dioxins, furans, and dioxin-like PCB</w:t>
      </w:r>
      <w:r w:rsidR="00FF6A08" w:rsidRPr="002A75F2">
        <w:rPr>
          <w:rFonts w:cs="Arial"/>
        </w:rPr>
        <w:t>s</w:t>
      </w:r>
      <w:r w:rsidRPr="002A75F2">
        <w:rPr>
          <w:rFonts w:cs="Arial"/>
        </w:rPr>
        <w:t>.</w:t>
      </w:r>
    </w:p>
    <w:p w14:paraId="00C62D9A" w14:textId="77777777" w:rsidR="006A1306" w:rsidRPr="002A75F2" w:rsidRDefault="006A1306" w:rsidP="00840964">
      <w:pPr>
        <w:rPr>
          <w:rFonts w:cs="Arial"/>
          <w:u w:val="single"/>
        </w:rPr>
      </w:pPr>
      <w:r w:rsidRPr="002A75F2">
        <w:rPr>
          <w:rFonts w:cs="Arial"/>
          <w:u w:val="single"/>
        </w:rPr>
        <w:t>Polycyclic Aromatic Hydrocarbons</w:t>
      </w:r>
      <w:r w:rsidR="00FF6A08" w:rsidRPr="002A75F2">
        <w:rPr>
          <w:rFonts w:cs="Arial"/>
          <w:u w:val="single"/>
        </w:rPr>
        <w:t xml:space="preserve"> (PAHs)</w:t>
      </w:r>
    </w:p>
    <w:p w14:paraId="4DD02E82" w14:textId="100DB29F" w:rsidR="00B736F9" w:rsidRPr="002A75F2" w:rsidRDefault="00D37C6D" w:rsidP="00840964">
      <w:pPr>
        <w:rPr>
          <w:rFonts w:cs="Arial"/>
        </w:rPr>
      </w:pPr>
      <w:r w:rsidRPr="002A75F2">
        <w:rPr>
          <w:rFonts w:cs="Arial"/>
        </w:rPr>
        <w:t>Carcinogenic PAHs are considered additive and should be assessed using a TEF approach (based on potency relative to B[a]P) where risk should not exceed 1 x 10</w:t>
      </w:r>
      <w:r w:rsidRPr="002A75F2">
        <w:rPr>
          <w:rFonts w:cs="Arial"/>
          <w:vertAlign w:val="superscript"/>
        </w:rPr>
        <w:t>-6</w:t>
      </w:r>
      <w:r w:rsidRPr="002A75F2">
        <w:rPr>
          <w:rFonts w:cs="Arial"/>
        </w:rPr>
        <w:t xml:space="preserve"> for all carcinogenic PAHs combined.</w:t>
      </w:r>
    </w:p>
    <w:p w14:paraId="46950898" w14:textId="77777777" w:rsidR="002A6F85" w:rsidRPr="002A75F2" w:rsidRDefault="002A6F85" w:rsidP="00840964">
      <w:pPr>
        <w:rPr>
          <w:rFonts w:cs="Arial"/>
          <w:u w:val="single"/>
        </w:rPr>
      </w:pPr>
      <w:r w:rsidRPr="002A75F2">
        <w:rPr>
          <w:rFonts w:cs="Arial"/>
          <w:u w:val="single"/>
        </w:rPr>
        <w:t>Other Chemicals</w:t>
      </w:r>
    </w:p>
    <w:p w14:paraId="5E778C94" w14:textId="31E24D09" w:rsidR="00B736F9" w:rsidRPr="002A75F2" w:rsidRDefault="00B736F9" w:rsidP="00840964">
      <w:pPr>
        <w:rPr>
          <w:rFonts w:cs="Arial"/>
        </w:rPr>
      </w:pPr>
      <w:r w:rsidRPr="002A75F2">
        <w:rPr>
          <w:rFonts w:cs="Arial"/>
        </w:rPr>
        <w:t xml:space="preserve">For other COCs which do not have a similar mechanism of toxic action, the aggregation of risks </w:t>
      </w:r>
      <w:r w:rsidR="00FF6A08" w:rsidRPr="002A75F2">
        <w:rPr>
          <w:rFonts w:cs="Arial"/>
        </w:rPr>
        <w:t>is</w:t>
      </w:r>
      <w:r w:rsidRPr="002A75F2">
        <w:rPr>
          <w:rFonts w:cs="Arial"/>
        </w:rPr>
        <w:t xml:space="preserve"> not required. Similarly, </w:t>
      </w:r>
      <w:r w:rsidR="005F12B4" w:rsidRPr="002A75F2">
        <w:rPr>
          <w:rFonts w:cs="Arial"/>
        </w:rPr>
        <w:t xml:space="preserve">hazard quotients </w:t>
      </w:r>
      <w:r w:rsidR="009E2A89" w:rsidRPr="002A75F2">
        <w:rPr>
          <w:rFonts w:cs="Arial"/>
        </w:rPr>
        <w:t>for</w:t>
      </w:r>
      <w:r w:rsidR="005F12B4" w:rsidRPr="002A75F2">
        <w:rPr>
          <w:rFonts w:cs="Arial"/>
        </w:rPr>
        <w:t xml:space="preserve"> contami</w:t>
      </w:r>
      <w:r w:rsidR="009E2A89" w:rsidRPr="002A75F2">
        <w:rPr>
          <w:rFonts w:cs="Arial"/>
        </w:rPr>
        <w:t>n</w:t>
      </w:r>
      <w:r w:rsidR="005F12B4" w:rsidRPr="002A75F2">
        <w:rPr>
          <w:rFonts w:cs="Arial"/>
        </w:rPr>
        <w:t xml:space="preserve">ants </w:t>
      </w:r>
      <w:r w:rsidRPr="002A75F2">
        <w:rPr>
          <w:rFonts w:cs="Arial"/>
        </w:rPr>
        <w:t>for which the exposure limits are based on different adverse effects and mediated by different mechanisms of action should not be added.</w:t>
      </w:r>
      <w:r w:rsidR="000874CF" w:rsidRPr="002A75F2">
        <w:rPr>
          <w:rFonts w:cs="Arial"/>
        </w:rPr>
        <w:t xml:space="preserve"> </w:t>
      </w:r>
      <w:r w:rsidRPr="002A75F2">
        <w:rPr>
          <w:rFonts w:cs="Arial"/>
        </w:rPr>
        <w:t>However, this approach is acceptable when adequate evidence suggests it is appropriate to aggregate risk levels to account for systematic effects in which multiple chemicals act by the same toxicity mechanism and/or on the same organs.</w:t>
      </w:r>
    </w:p>
    <w:p w14:paraId="2B58F00B" w14:textId="3BB79B51" w:rsidR="00B736F9" w:rsidRPr="002A75F2" w:rsidRDefault="00B736F9" w:rsidP="00840964">
      <w:pPr>
        <w:rPr>
          <w:rFonts w:cs="Arial"/>
        </w:rPr>
      </w:pPr>
      <w:r w:rsidRPr="002A75F2">
        <w:rPr>
          <w:rFonts w:cs="Arial"/>
        </w:rPr>
        <w:t>Examples of contaminant groups that may be aggregated this way include but are not limited to PCBs, organophosphorus insecticides and some volatile organics. Various jurisdictions have published general guidelines on risk assessment of mixtures</w:t>
      </w:r>
      <w:r w:rsidR="005F12B4" w:rsidRPr="002A75F2">
        <w:rPr>
          <w:rFonts w:cs="Arial"/>
        </w:rPr>
        <w:t>. T</w:t>
      </w:r>
      <w:r w:rsidRPr="002A75F2">
        <w:rPr>
          <w:rFonts w:cs="Arial"/>
        </w:rPr>
        <w:t xml:space="preserve">he </w:t>
      </w:r>
      <w:r w:rsidR="000767FF" w:rsidRPr="002A75F2">
        <w:rPr>
          <w:rFonts w:cs="Arial"/>
        </w:rPr>
        <w:t>QP</w:t>
      </w:r>
      <w:r w:rsidR="000767FF" w:rsidRPr="002A75F2">
        <w:rPr>
          <w:rFonts w:cs="Arial"/>
          <w:vertAlign w:val="subscript"/>
        </w:rPr>
        <w:t>RA</w:t>
      </w:r>
      <w:r w:rsidRPr="002A75F2">
        <w:rPr>
          <w:rFonts w:cs="Arial"/>
        </w:rPr>
        <w:t xml:space="preserve"> should exercise best professional judgment when using these guidelines and in deciding which contaminants should be treated as a group.</w:t>
      </w:r>
      <w:bookmarkStart w:id="228" w:name="_Toc74119407"/>
      <w:bookmarkStart w:id="229" w:name="_Toc74119418"/>
      <w:bookmarkStart w:id="230" w:name="_Toc74450897"/>
    </w:p>
    <w:bookmarkEnd w:id="228"/>
    <w:p w14:paraId="0DFDAD84" w14:textId="77777777" w:rsidR="00B736F9" w:rsidRPr="002A75F2" w:rsidRDefault="00B736F9" w:rsidP="00FF0580">
      <w:pPr>
        <w:pStyle w:val="Heading4"/>
        <w:rPr>
          <w:rFonts w:cs="Arial"/>
        </w:rPr>
      </w:pPr>
      <w:r w:rsidRPr="002A75F2">
        <w:rPr>
          <w:rFonts w:cs="Arial"/>
        </w:rPr>
        <w:t xml:space="preserve">Adjustment for </w:t>
      </w:r>
      <w:r w:rsidR="00D37C6D" w:rsidRPr="002A75F2">
        <w:rPr>
          <w:rFonts w:cs="Arial"/>
        </w:rPr>
        <w:t xml:space="preserve">Relative </w:t>
      </w:r>
      <w:r w:rsidRPr="002A75F2">
        <w:rPr>
          <w:rFonts w:cs="Arial"/>
        </w:rPr>
        <w:t>Bioavailability</w:t>
      </w:r>
    </w:p>
    <w:p w14:paraId="57F65A6C" w14:textId="3FA0EF3F" w:rsidR="00D37C6D" w:rsidRPr="002A75F2" w:rsidRDefault="00D37C6D" w:rsidP="00D37C6D">
      <w:pPr>
        <w:rPr>
          <w:rFonts w:cs="Arial"/>
        </w:rPr>
      </w:pPr>
      <w:r w:rsidRPr="002A75F2">
        <w:rPr>
          <w:rFonts w:cs="Arial"/>
        </w:rPr>
        <w:t xml:space="preserve">As with the calculations of the </w:t>
      </w:r>
      <w:r w:rsidR="005C53DA" w:rsidRPr="002A75F2">
        <w:rPr>
          <w:rFonts w:cs="Arial"/>
        </w:rPr>
        <w:t>site condition standards</w:t>
      </w:r>
      <w:r w:rsidRPr="002A75F2">
        <w:rPr>
          <w:rFonts w:cs="Arial"/>
        </w:rPr>
        <w:t>, adjustments may be made for relative bioavailability.</w:t>
      </w:r>
      <w:r w:rsidR="0019237A" w:rsidRPr="002A75F2">
        <w:rPr>
          <w:rFonts w:cs="Arial"/>
        </w:rPr>
        <w:t xml:space="preserve"> </w:t>
      </w:r>
      <w:r w:rsidRPr="002A75F2">
        <w:rPr>
          <w:rFonts w:cs="Arial"/>
        </w:rPr>
        <w:t>If the QP</w:t>
      </w:r>
      <w:r w:rsidR="005C53DA" w:rsidRPr="002A75F2">
        <w:rPr>
          <w:rFonts w:cs="Arial"/>
          <w:vertAlign w:val="subscript"/>
        </w:rPr>
        <w:t>RA</w:t>
      </w:r>
      <w:r w:rsidRPr="002A75F2">
        <w:rPr>
          <w:rFonts w:cs="Arial"/>
        </w:rPr>
        <w:t xml:space="preserve"> can demonstrate that a COC’s </w:t>
      </w:r>
      <w:r w:rsidR="00EC2DDF" w:rsidRPr="002A75F2">
        <w:rPr>
          <w:rFonts w:cs="Arial"/>
        </w:rPr>
        <w:t>bioavailability</w:t>
      </w:r>
      <w:r w:rsidRPr="002A75F2">
        <w:rPr>
          <w:rFonts w:cs="Arial"/>
        </w:rPr>
        <w:t xml:space="preserve"> for the receptor, medium, and exposure conditions is considerably different from the bioavailability assumed or estimated for the subjects, medium, and exposure conditions in the key study of the TRV used, an adjustment is warranted. Bioavailability adjustments should be justified scientifically.</w:t>
      </w:r>
    </w:p>
    <w:p w14:paraId="20F7C74A" w14:textId="77777777" w:rsidR="00744AAF" w:rsidRPr="000C60E1" w:rsidRDefault="00D37C6D" w:rsidP="00D37C6D">
      <w:pPr>
        <w:rPr>
          <w:rFonts w:cs="Arial"/>
        </w:rPr>
      </w:pPr>
      <w:r w:rsidRPr="002A75F2">
        <w:rPr>
          <w:rFonts w:cs="Arial"/>
        </w:rPr>
        <w:t xml:space="preserve">Guidance on methods for using </w:t>
      </w:r>
      <w:proofErr w:type="spellStart"/>
      <w:r w:rsidRPr="002A75F2">
        <w:rPr>
          <w:rFonts w:cs="Arial"/>
        </w:rPr>
        <w:t>bioaccessibility</w:t>
      </w:r>
      <w:proofErr w:type="spellEnd"/>
      <w:r w:rsidRPr="002A75F2">
        <w:rPr>
          <w:rFonts w:cs="Arial"/>
        </w:rPr>
        <w:t xml:space="preserve"> adjustments as a surrogate for bioavailability are available from Health Canada and US EPA.</w:t>
      </w:r>
    </w:p>
    <w:p w14:paraId="5CA5247E" w14:textId="77777777" w:rsidR="00B736F9" w:rsidRPr="000C60E1" w:rsidRDefault="00B736F9" w:rsidP="00DE496B">
      <w:pPr>
        <w:pStyle w:val="Heading3"/>
        <w:rPr>
          <w:rFonts w:cs="Arial"/>
        </w:rPr>
      </w:pPr>
      <w:bookmarkStart w:id="231" w:name="_Toc91393565"/>
      <w:bookmarkStart w:id="232" w:name="_Toc112727428"/>
      <w:bookmarkStart w:id="233" w:name="_Toc41905704"/>
      <w:r w:rsidRPr="000C60E1">
        <w:rPr>
          <w:rFonts w:cs="Arial"/>
        </w:rPr>
        <w:lastRenderedPageBreak/>
        <w:t xml:space="preserve">Qualitative Interpretation of </w:t>
      </w:r>
      <w:r w:rsidR="00056B5F" w:rsidRPr="000C60E1">
        <w:rPr>
          <w:rFonts w:cs="Arial"/>
        </w:rPr>
        <w:t xml:space="preserve">Health </w:t>
      </w:r>
      <w:r w:rsidRPr="000C60E1">
        <w:rPr>
          <w:rFonts w:cs="Arial"/>
        </w:rPr>
        <w:t>Risk</w:t>
      </w:r>
      <w:bookmarkEnd w:id="231"/>
      <w:bookmarkEnd w:id="232"/>
      <w:bookmarkEnd w:id="233"/>
    </w:p>
    <w:p w14:paraId="4675E1F8" w14:textId="788A4444" w:rsidR="00B736F9" w:rsidRPr="000C60E1" w:rsidRDefault="00B736F9" w:rsidP="00840964">
      <w:pPr>
        <w:rPr>
          <w:rFonts w:cs="Arial"/>
        </w:rPr>
      </w:pPr>
      <w:r w:rsidRPr="000C60E1">
        <w:rPr>
          <w:rFonts w:cs="Arial"/>
        </w:rPr>
        <w:t xml:space="preserve">The </w:t>
      </w:r>
      <w:r w:rsidR="000767FF" w:rsidRPr="000C60E1">
        <w:rPr>
          <w:rFonts w:cs="Arial"/>
        </w:rPr>
        <w:t>QP</w:t>
      </w:r>
      <w:r w:rsidR="000767FF" w:rsidRPr="000C60E1">
        <w:rPr>
          <w:rFonts w:cs="Arial"/>
          <w:vertAlign w:val="subscript"/>
        </w:rPr>
        <w:t>RA</w:t>
      </w:r>
      <w:r w:rsidRPr="000C60E1">
        <w:rPr>
          <w:rFonts w:cs="Arial"/>
        </w:rPr>
        <w:t xml:space="preserve"> may make use of both quantitative and qualitative options in assessing risk. </w:t>
      </w:r>
      <w:r w:rsidR="00F434E9" w:rsidRPr="000C60E1">
        <w:rPr>
          <w:rFonts w:cs="Arial"/>
        </w:rPr>
        <w:t>A qualitative assessment of risk relies primarily on a descriptive justification for the use of infor</w:t>
      </w:r>
      <w:r w:rsidR="00FE54E3" w:rsidRPr="000C60E1">
        <w:rPr>
          <w:rFonts w:cs="Arial"/>
        </w:rPr>
        <w:t>mation not specific to the site</w:t>
      </w:r>
      <w:r w:rsidR="00F434E9" w:rsidRPr="000C60E1">
        <w:rPr>
          <w:rFonts w:cs="Arial"/>
        </w:rPr>
        <w:t xml:space="preserve">. </w:t>
      </w:r>
      <w:r w:rsidRPr="000C60E1">
        <w:rPr>
          <w:rFonts w:cs="Arial"/>
        </w:rPr>
        <w:t xml:space="preserve">In a qualitative analysis, the </w:t>
      </w:r>
      <w:r w:rsidR="000767FF" w:rsidRPr="000C60E1">
        <w:rPr>
          <w:rFonts w:cs="Arial"/>
        </w:rPr>
        <w:t>QP</w:t>
      </w:r>
      <w:r w:rsidR="000767FF" w:rsidRPr="000C60E1">
        <w:rPr>
          <w:rFonts w:cs="Arial"/>
          <w:vertAlign w:val="subscript"/>
        </w:rPr>
        <w:t>RA</w:t>
      </w:r>
      <w:r w:rsidRPr="000C60E1">
        <w:rPr>
          <w:rFonts w:cs="Arial"/>
        </w:rPr>
        <w:t xml:space="preserve"> should </w:t>
      </w:r>
      <w:r w:rsidR="0041523C" w:rsidRPr="000C60E1">
        <w:rPr>
          <w:rFonts w:cs="Arial"/>
        </w:rPr>
        <w:t xml:space="preserve">explain why a qualitative approach was used and justify </w:t>
      </w:r>
      <w:r w:rsidRPr="000C60E1">
        <w:rPr>
          <w:rFonts w:cs="Arial"/>
        </w:rPr>
        <w:t xml:space="preserve">why a quantitative analysis was not </w:t>
      </w:r>
      <w:r w:rsidR="00F434E9" w:rsidRPr="000C60E1">
        <w:rPr>
          <w:rFonts w:cs="Arial"/>
        </w:rPr>
        <w:t>appropriate or not required</w:t>
      </w:r>
      <w:r w:rsidRPr="000C60E1">
        <w:rPr>
          <w:rFonts w:cs="Arial"/>
        </w:rPr>
        <w:t>.</w:t>
      </w:r>
      <w:r w:rsidR="000874CF">
        <w:rPr>
          <w:rFonts w:cs="Arial"/>
        </w:rPr>
        <w:t xml:space="preserve"> </w:t>
      </w:r>
      <w:r w:rsidR="00F434E9" w:rsidRPr="000C60E1">
        <w:rPr>
          <w:rFonts w:cs="Arial"/>
        </w:rPr>
        <w:t>The QP</w:t>
      </w:r>
      <w:r w:rsidR="00FB0178" w:rsidRPr="000C60E1">
        <w:rPr>
          <w:rFonts w:cs="Arial"/>
          <w:vertAlign w:val="subscript"/>
        </w:rPr>
        <w:t>RA</w:t>
      </w:r>
      <w:r w:rsidR="00F434E9" w:rsidRPr="000C60E1">
        <w:rPr>
          <w:rFonts w:cs="Arial"/>
        </w:rPr>
        <w:t xml:space="preserve"> must also indicate</w:t>
      </w:r>
      <w:r w:rsidRPr="000C60E1">
        <w:rPr>
          <w:rFonts w:cs="Arial"/>
        </w:rPr>
        <w:t xml:space="preserve"> the process </w:t>
      </w:r>
      <w:r w:rsidR="00F434E9" w:rsidRPr="000C60E1">
        <w:rPr>
          <w:rFonts w:cs="Arial"/>
        </w:rPr>
        <w:t xml:space="preserve">to be </w:t>
      </w:r>
      <w:r w:rsidRPr="000C60E1">
        <w:rPr>
          <w:rFonts w:cs="Arial"/>
        </w:rPr>
        <w:t>used in the qualitative analysis;</w:t>
      </w:r>
      <w:r w:rsidR="0020588A" w:rsidRPr="000C60E1">
        <w:rPr>
          <w:rFonts w:cs="Arial"/>
        </w:rPr>
        <w:t xml:space="preserve"> for example,</w:t>
      </w:r>
      <w:r w:rsidRPr="000C60E1">
        <w:rPr>
          <w:rFonts w:cs="Arial"/>
        </w:rPr>
        <w:t xml:space="preserve"> a non-numeric</w:t>
      </w:r>
      <w:r w:rsidR="00FE54E3" w:rsidRPr="000C60E1">
        <w:rPr>
          <w:rFonts w:cs="Arial"/>
        </w:rPr>
        <w:t xml:space="preserve"> (descriptive)</w:t>
      </w:r>
      <w:r w:rsidRPr="000C60E1">
        <w:rPr>
          <w:rFonts w:cs="Arial"/>
        </w:rPr>
        <w:t xml:space="preserve"> characterization of risk or a </w:t>
      </w:r>
      <w:r w:rsidR="00275360" w:rsidRPr="000C60E1">
        <w:rPr>
          <w:rFonts w:cs="Arial"/>
        </w:rPr>
        <w:t xml:space="preserve">conservative </w:t>
      </w:r>
      <w:r w:rsidRPr="000C60E1">
        <w:rPr>
          <w:rFonts w:cs="Arial"/>
        </w:rPr>
        <w:t>numeric assessment of exposure or toxicity for screening purposes and risk prioritization</w:t>
      </w:r>
      <w:r w:rsidR="006A0D37" w:rsidRPr="000C60E1">
        <w:rPr>
          <w:rFonts w:cs="Arial"/>
        </w:rPr>
        <w:t xml:space="preserve"> (e.g. use of M</w:t>
      </w:r>
      <w:r w:rsidR="00F57554" w:rsidRPr="000C60E1">
        <w:rPr>
          <w:rFonts w:cs="Arial"/>
        </w:rPr>
        <w:t>inistry</w:t>
      </w:r>
      <w:r w:rsidR="006A0D37" w:rsidRPr="000C60E1">
        <w:rPr>
          <w:rFonts w:cs="Arial"/>
        </w:rPr>
        <w:t xml:space="preserve"> component values)</w:t>
      </w:r>
      <w:r w:rsidRPr="000C60E1">
        <w:rPr>
          <w:rFonts w:cs="Arial"/>
        </w:rPr>
        <w:t>. Qualitative risk assessment must also address any risk management measures that are being proposed for the property, and justify a property-specific human health-based standard for the contaminant.</w:t>
      </w:r>
    </w:p>
    <w:p w14:paraId="336ACC06" w14:textId="77777777" w:rsidR="00B736F9" w:rsidRPr="000C60E1" w:rsidRDefault="002354C3" w:rsidP="00840964">
      <w:pPr>
        <w:rPr>
          <w:rFonts w:cs="Arial"/>
        </w:rPr>
      </w:pPr>
      <w:r w:rsidRPr="000C60E1">
        <w:rPr>
          <w:rFonts w:cs="Arial"/>
        </w:rPr>
        <w:t>An e</w:t>
      </w:r>
      <w:r w:rsidR="00B736F9" w:rsidRPr="000C60E1">
        <w:rPr>
          <w:rFonts w:cs="Arial"/>
        </w:rPr>
        <w:t xml:space="preserve">xample of </w:t>
      </w:r>
      <w:r w:rsidRPr="000C60E1">
        <w:rPr>
          <w:rFonts w:cs="Arial"/>
        </w:rPr>
        <w:t xml:space="preserve">a </w:t>
      </w:r>
      <w:r w:rsidR="00B736F9" w:rsidRPr="000C60E1">
        <w:rPr>
          <w:rFonts w:cs="Arial"/>
        </w:rPr>
        <w:t>situation suitable for a qualitative interpretation of risk would include the following</w:t>
      </w:r>
      <w:r w:rsidRPr="000C60E1">
        <w:rPr>
          <w:rFonts w:cs="Arial"/>
        </w:rPr>
        <w:t>:</w:t>
      </w:r>
    </w:p>
    <w:p w14:paraId="2321CF5C" w14:textId="77777777" w:rsidR="00B736F9" w:rsidRPr="000C60E1" w:rsidRDefault="00B736F9" w:rsidP="000E72E5">
      <w:pPr>
        <w:pStyle w:val="ListBullet2"/>
        <w:rPr>
          <w:rFonts w:cs="Arial"/>
        </w:rPr>
      </w:pPr>
      <w:r w:rsidRPr="000C60E1">
        <w:rPr>
          <w:rFonts w:cs="Arial"/>
        </w:rPr>
        <w:t xml:space="preserve">Based on the exposure assessment and the toxicity </w:t>
      </w:r>
      <w:r w:rsidRPr="002A75F2">
        <w:rPr>
          <w:rFonts w:cs="Arial"/>
        </w:rPr>
        <w:t xml:space="preserve">assessment, the </w:t>
      </w:r>
      <w:r w:rsidR="00187A1B" w:rsidRPr="002A75F2">
        <w:rPr>
          <w:rFonts w:cs="Arial"/>
        </w:rPr>
        <w:t xml:space="preserve">generic </w:t>
      </w:r>
      <w:r w:rsidRPr="002A75F2">
        <w:rPr>
          <w:rFonts w:cs="Arial"/>
        </w:rPr>
        <w:t xml:space="preserve">human health component values contained in the </w:t>
      </w:r>
      <w:r w:rsidR="00187A1B" w:rsidRPr="002A75F2">
        <w:rPr>
          <w:rFonts w:cs="Arial"/>
        </w:rPr>
        <w:t>Ministry’s approved model</w:t>
      </w:r>
      <w:r w:rsidR="009847B3" w:rsidRPr="002A75F2">
        <w:rPr>
          <w:rFonts w:cs="Arial"/>
        </w:rPr>
        <w:t xml:space="preserve"> </w:t>
      </w:r>
      <w:r w:rsidRPr="002A75F2">
        <w:rPr>
          <w:rFonts w:cs="Arial"/>
        </w:rPr>
        <w:t>are protective</w:t>
      </w:r>
      <w:r w:rsidRPr="000C60E1">
        <w:rPr>
          <w:rFonts w:cs="Arial"/>
        </w:rPr>
        <w:t xml:space="preserve"> of the human receptors at the site</w:t>
      </w:r>
      <w:r w:rsidR="00B34E7F" w:rsidRPr="000C60E1">
        <w:rPr>
          <w:rFonts w:cs="Arial"/>
        </w:rPr>
        <w:t>.</w:t>
      </w:r>
    </w:p>
    <w:p w14:paraId="631CB358" w14:textId="77777777" w:rsidR="00B736F9" w:rsidRPr="000C60E1" w:rsidRDefault="00B736F9" w:rsidP="00840964">
      <w:pPr>
        <w:rPr>
          <w:rFonts w:cs="Arial"/>
        </w:rPr>
      </w:pPr>
      <w:r w:rsidRPr="000C60E1">
        <w:rPr>
          <w:rFonts w:cs="Arial"/>
        </w:rPr>
        <w:t xml:space="preserve">The minimum requirements for reporting a qualitative characterization of risk are reproduced from the </w:t>
      </w:r>
      <w:r w:rsidR="00855A6A" w:rsidRPr="000C60E1">
        <w:rPr>
          <w:rFonts w:cs="Arial"/>
        </w:rPr>
        <w:t>R</w:t>
      </w:r>
      <w:r w:rsidRPr="000C60E1">
        <w:rPr>
          <w:rFonts w:cs="Arial"/>
        </w:rPr>
        <w:t>egulation Schedule C Table 1,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26CBBAA2" w14:textId="77777777" w:rsidTr="005B40DA">
        <w:trPr>
          <w:trHeight w:val="20"/>
          <w:tblHeader/>
        </w:trPr>
        <w:tc>
          <w:tcPr>
            <w:tcW w:w="2468" w:type="dxa"/>
          </w:tcPr>
          <w:p w14:paraId="5F191647" w14:textId="77777777" w:rsidR="00C94B3B" w:rsidRPr="000C0EF2" w:rsidRDefault="00C94B3B"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60787D6E"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0970C46C"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462C2672"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3457AD4C" w14:textId="77777777" w:rsidTr="005B40DA">
        <w:trPr>
          <w:trHeight w:val="20"/>
        </w:trPr>
        <w:tc>
          <w:tcPr>
            <w:tcW w:w="2468" w:type="dxa"/>
          </w:tcPr>
          <w:p w14:paraId="70C39CCF"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1B63A7BD" w14:textId="77777777" w:rsidR="00C94B3B" w:rsidRPr="000C0EF2" w:rsidRDefault="00C94B3B" w:rsidP="000C0EF2">
            <w:pPr>
              <w:pStyle w:val="table-e"/>
              <w:spacing w:line="240" w:lineRule="auto"/>
              <w:rPr>
                <w:sz w:val="24"/>
              </w:rPr>
            </w:pPr>
            <w:r w:rsidRPr="000C0EF2">
              <w:rPr>
                <w:sz w:val="24"/>
              </w:rPr>
              <w:t>(d)  Risk Characterization</w:t>
            </w:r>
          </w:p>
        </w:tc>
        <w:tc>
          <w:tcPr>
            <w:tcW w:w="1839" w:type="dxa"/>
          </w:tcPr>
          <w:p w14:paraId="5926BEEC" w14:textId="77777777" w:rsidR="00C94B3B" w:rsidRPr="000C0EF2" w:rsidRDefault="00C94B3B" w:rsidP="000C0EF2">
            <w:pPr>
              <w:pStyle w:val="table-e"/>
              <w:spacing w:line="240" w:lineRule="auto"/>
              <w:rPr>
                <w:sz w:val="24"/>
              </w:rPr>
            </w:pPr>
            <w:r w:rsidRPr="000C0EF2">
              <w:rPr>
                <w:sz w:val="24"/>
              </w:rPr>
              <w:t>(iii)  Qualitative Interpretation of Health Risks</w:t>
            </w:r>
          </w:p>
          <w:p w14:paraId="3E774597" w14:textId="77777777" w:rsidR="00C94B3B" w:rsidRPr="000C0EF2" w:rsidRDefault="00C94B3B" w:rsidP="000C0EF2">
            <w:pPr>
              <w:pStyle w:val="table-e"/>
              <w:spacing w:line="240" w:lineRule="auto"/>
              <w:rPr>
                <w:sz w:val="24"/>
              </w:rPr>
            </w:pPr>
          </w:p>
        </w:tc>
        <w:tc>
          <w:tcPr>
            <w:tcW w:w="3759" w:type="dxa"/>
          </w:tcPr>
          <w:p w14:paraId="00B5943E" w14:textId="77777777" w:rsidR="00C94B3B" w:rsidRPr="000C0EF2" w:rsidRDefault="00C94B3B" w:rsidP="000C0EF2">
            <w:pPr>
              <w:pStyle w:val="table-e"/>
              <w:spacing w:line="240" w:lineRule="auto"/>
              <w:rPr>
                <w:sz w:val="24"/>
              </w:rPr>
            </w:pPr>
            <w:r w:rsidRPr="000C0EF2">
              <w:rPr>
                <w:sz w:val="24"/>
              </w:rPr>
              <w:t>A qualitative analysis undertaken for a contaminant of concern must include the following:</w:t>
            </w:r>
          </w:p>
          <w:p w14:paraId="5104AE98" w14:textId="77777777" w:rsidR="00C94B3B" w:rsidRPr="000C0EF2" w:rsidRDefault="00C94B3B" w:rsidP="000C0EF2">
            <w:pPr>
              <w:pStyle w:val="table-e"/>
              <w:spacing w:line="240" w:lineRule="auto"/>
              <w:rPr>
                <w:sz w:val="24"/>
              </w:rPr>
            </w:pPr>
            <w:proofErr w:type="spellStart"/>
            <w:r w:rsidRPr="000C0EF2">
              <w:rPr>
                <w:sz w:val="24"/>
              </w:rPr>
              <w:t>i</w:t>
            </w:r>
            <w:proofErr w:type="spellEnd"/>
            <w:r w:rsidRPr="000C0EF2">
              <w:rPr>
                <w:sz w:val="24"/>
              </w:rPr>
              <w:t>.  Provide a justification for why a quantitative analysis was not undertaken.</w:t>
            </w:r>
          </w:p>
          <w:p w14:paraId="3BAACD2B" w14:textId="77777777" w:rsidR="00C94B3B" w:rsidRPr="000C0EF2" w:rsidRDefault="00C94B3B" w:rsidP="000C0EF2">
            <w:pPr>
              <w:pStyle w:val="table-e"/>
              <w:spacing w:line="240" w:lineRule="auto"/>
              <w:rPr>
                <w:sz w:val="24"/>
              </w:rPr>
            </w:pPr>
            <w:r w:rsidRPr="000C0EF2">
              <w:rPr>
                <w:sz w:val="24"/>
              </w:rPr>
              <w:t xml:space="preserve">ii.  Describe the justification process being used as part of the qualitative analysis. The justification process includes a non-numeric characterization of risk and may include a numeric assessment of exposure or toxicity for screening purposes and risk </w:t>
            </w:r>
            <w:r w:rsidRPr="000C0EF2">
              <w:rPr>
                <w:sz w:val="24"/>
                <w:lang w:val="en-CA"/>
              </w:rPr>
              <w:t>prioritization.</w:t>
            </w:r>
          </w:p>
          <w:p w14:paraId="228DC8A9" w14:textId="77777777" w:rsidR="00C94B3B" w:rsidRPr="000C0EF2" w:rsidRDefault="00C94B3B" w:rsidP="000C0EF2">
            <w:pPr>
              <w:pStyle w:val="table-e"/>
              <w:spacing w:line="240" w:lineRule="auto"/>
              <w:rPr>
                <w:sz w:val="24"/>
              </w:rPr>
            </w:pPr>
            <w:r w:rsidRPr="000C0EF2">
              <w:rPr>
                <w:sz w:val="24"/>
              </w:rPr>
              <w:t>iii.  Taking into consideration any risk management measures that are being proposed for the RA property, propose and justify a human health standard for the contaminant.</w:t>
            </w:r>
          </w:p>
        </w:tc>
      </w:tr>
    </w:tbl>
    <w:p w14:paraId="22A01567" w14:textId="77777777" w:rsidR="00B736F9" w:rsidRPr="000C60E1" w:rsidRDefault="00B736F9" w:rsidP="00DE496B">
      <w:pPr>
        <w:pStyle w:val="Heading3"/>
        <w:rPr>
          <w:rFonts w:cs="Arial"/>
        </w:rPr>
      </w:pPr>
      <w:bookmarkStart w:id="234" w:name="_Toc91393566"/>
      <w:bookmarkStart w:id="235" w:name="_Toc112727429"/>
      <w:bookmarkStart w:id="236" w:name="_Toc41905705"/>
      <w:r w:rsidRPr="000C60E1">
        <w:rPr>
          <w:rFonts w:cs="Arial"/>
        </w:rPr>
        <w:lastRenderedPageBreak/>
        <w:t>Special Considerations</w:t>
      </w:r>
      <w:bookmarkEnd w:id="234"/>
      <w:bookmarkEnd w:id="235"/>
      <w:bookmarkEnd w:id="236"/>
    </w:p>
    <w:p w14:paraId="7261CD42" w14:textId="681F22AA" w:rsidR="00F57554" w:rsidRPr="000C60E1" w:rsidRDefault="00B736F9" w:rsidP="00840964">
      <w:pPr>
        <w:rPr>
          <w:rFonts w:cs="Arial"/>
        </w:rPr>
      </w:pPr>
      <w:r w:rsidRPr="000C60E1">
        <w:rPr>
          <w:rFonts w:cs="Arial"/>
        </w:rPr>
        <w:t>Whether a qualitative or quantitative assessment of risk is undertaken, any risk characterization considerations associated with the site being defined as an environmentally sensitive area</w:t>
      </w:r>
      <w:r w:rsidR="00DF2101" w:rsidRPr="000C60E1">
        <w:rPr>
          <w:rFonts w:cs="Arial"/>
        </w:rPr>
        <w:t xml:space="preserve">, shallow soil property and/or </w:t>
      </w:r>
      <w:r w:rsidR="000736F6" w:rsidRPr="000C60E1">
        <w:rPr>
          <w:rFonts w:cs="Arial"/>
        </w:rPr>
        <w:t xml:space="preserve">a property </w:t>
      </w:r>
      <w:r w:rsidR="00DF2101" w:rsidRPr="000C60E1">
        <w:rPr>
          <w:rFonts w:cs="Arial"/>
        </w:rPr>
        <w:t xml:space="preserve">located within 30 </w:t>
      </w:r>
      <w:proofErr w:type="spellStart"/>
      <w:r w:rsidR="00DF2101" w:rsidRPr="000C60E1">
        <w:rPr>
          <w:rFonts w:cs="Arial"/>
        </w:rPr>
        <w:t>metr</w:t>
      </w:r>
      <w:r w:rsidR="00D97159">
        <w:rPr>
          <w:rFonts w:cs="Arial"/>
        </w:rPr>
        <w:t>e</w:t>
      </w:r>
      <w:r w:rsidR="00DF2101" w:rsidRPr="000C60E1">
        <w:rPr>
          <w:rFonts w:cs="Arial"/>
        </w:rPr>
        <w:t>s</w:t>
      </w:r>
      <w:proofErr w:type="spellEnd"/>
      <w:r w:rsidR="00DF2101" w:rsidRPr="000C60E1">
        <w:rPr>
          <w:rFonts w:cs="Arial"/>
        </w:rPr>
        <w:t xml:space="preserve"> of a water body</w:t>
      </w:r>
      <w:r w:rsidRPr="000C60E1">
        <w:rPr>
          <w:rFonts w:cs="Arial"/>
        </w:rPr>
        <w:t xml:space="preserve"> must be highlighted in a separate section </w:t>
      </w:r>
      <w:r w:rsidR="004F439A" w:rsidRPr="000C60E1">
        <w:rPr>
          <w:rFonts w:cs="Arial"/>
        </w:rPr>
        <w:t>of</w:t>
      </w:r>
      <w:r w:rsidRPr="000C60E1">
        <w:rPr>
          <w:rFonts w:cs="Arial"/>
        </w:rPr>
        <w:t xml:space="preserve"> the report. </w:t>
      </w:r>
      <w:r w:rsidR="00271A6D" w:rsidRPr="000C60E1">
        <w:rPr>
          <w:rFonts w:cs="Arial"/>
        </w:rPr>
        <w:t xml:space="preserve">Conditions that trigger environmentally sensitive areas, shallow soil properties and properties near water bodies are included in the </w:t>
      </w:r>
      <w:r w:rsidR="00DF2101" w:rsidRPr="000C60E1">
        <w:rPr>
          <w:rFonts w:cs="Arial"/>
        </w:rPr>
        <w:t>Regulation</w:t>
      </w:r>
      <w:r w:rsidR="00271A6D" w:rsidRPr="000C60E1">
        <w:rPr>
          <w:rFonts w:cs="Arial"/>
        </w:rPr>
        <w:t xml:space="preserve">: </w:t>
      </w:r>
    </w:p>
    <w:p w14:paraId="2D0C49B3" w14:textId="77777777" w:rsidR="00F57554" w:rsidRPr="000C60E1" w:rsidRDefault="001C1D66" w:rsidP="00A47B50">
      <w:pPr>
        <w:numPr>
          <w:ilvl w:val="0"/>
          <w:numId w:val="22"/>
        </w:numPr>
        <w:shd w:val="clear" w:color="auto" w:fill="D9D9D9"/>
        <w:rPr>
          <w:rFonts w:cs="Arial"/>
        </w:rPr>
      </w:pPr>
      <w:r w:rsidRPr="000C60E1">
        <w:rPr>
          <w:rFonts w:cs="Arial"/>
        </w:rPr>
        <w:t>Section</w:t>
      </w:r>
      <w:r w:rsidR="00F57554" w:rsidRPr="000C60E1">
        <w:rPr>
          <w:rFonts w:cs="Arial"/>
        </w:rPr>
        <w:t xml:space="preserve"> 41 of the Regulation</w:t>
      </w:r>
      <w:r w:rsidR="00271A6D" w:rsidRPr="000C60E1">
        <w:rPr>
          <w:rFonts w:cs="Arial"/>
        </w:rPr>
        <w:t xml:space="preserve"> (Site condition standards, environmentally sensitive areas)</w:t>
      </w:r>
    </w:p>
    <w:p w14:paraId="4B742115" w14:textId="77777777" w:rsidR="00F57554" w:rsidRPr="000C60E1" w:rsidRDefault="001C1D66" w:rsidP="00A47B50">
      <w:pPr>
        <w:numPr>
          <w:ilvl w:val="0"/>
          <w:numId w:val="22"/>
        </w:numPr>
        <w:shd w:val="clear" w:color="auto" w:fill="D9D9D9"/>
        <w:rPr>
          <w:rFonts w:cs="Arial"/>
        </w:rPr>
      </w:pPr>
      <w:r w:rsidRPr="000C60E1">
        <w:rPr>
          <w:rFonts w:cs="Arial"/>
        </w:rPr>
        <w:t>Section</w:t>
      </w:r>
      <w:r w:rsidR="00F57554" w:rsidRPr="000C60E1">
        <w:rPr>
          <w:rFonts w:cs="Arial"/>
        </w:rPr>
        <w:t xml:space="preserve"> 43.1 of the Regulation</w:t>
      </w:r>
      <w:r w:rsidR="00271A6D" w:rsidRPr="000C60E1">
        <w:rPr>
          <w:rFonts w:cs="Arial"/>
        </w:rPr>
        <w:t xml:space="preserve"> (Site condition standards, shallow soil property or water body)</w:t>
      </w:r>
    </w:p>
    <w:p w14:paraId="4126004A" w14:textId="455D5C31" w:rsidR="00B736F9" w:rsidRPr="000C60E1" w:rsidRDefault="00B736F9" w:rsidP="00840964">
      <w:pPr>
        <w:rPr>
          <w:rFonts w:cs="Arial"/>
        </w:rPr>
      </w:pPr>
      <w:r w:rsidRPr="000C60E1">
        <w:rPr>
          <w:rFonts w:cs="Arial"/>
        </w:rPr>
        <w:t>The reason for the environmentally sensitive designation should be identified</w:t>
      </w:r>
      <w:r w:rsidR="00271A6D" w:rsidRPr="000C60E1">
        <w:rPr>
          <w:rFonts w:cs="Arial"/>
        </w:rPr>
        <w:t>. F</w:t>
      </w:r>
      <w:r w:rsidR="00CB7B18" w:rsidRPr="000C60E1">
        <w:rPr>
          <w:rFonts w:cs="Arial"/>
        </w:rPr>
        <w:t xml:space="preserve">or environmentally sensitive sites, shallow soil sites and sites located within 30 </w:t>
      </w:r>
      <w:proofErr w:type="spellStart"/>
      <w:r w:rsidR="00CB7B18" w:rsidRPr="000C60E1">
        <w:rPr>
          <w:rFonts w:cs="Arial"/>
        </w:rPr>
        <w:t>metr</w:t>
      </w:r>
      <w:r w:rsidR="00D97159">
        <w:rPr>
          <w:rFonts w:cs="Arial"/>
        </w:rPr>
        <w:t>e</w:t>
      </w:r>
      <w:r w:rsidR="00CB7B18" w:rsidRPr="000C60E1">
        <w:rPr>
          <w:rFonts w:cs="Arial"/>
        </w:rPr>
        <w:t>s</w:t>
      </w:r>
      <w:proofErr w:type="spellEnd"/>
      <w:r w:rsidR="00CB7B18" w:rsidRPr="000C60E1">
        <w:rPr>
          <w:rFonts w:cs="Arial"/>
        </w:rPr>
        <w:t xml:space="preserve"> of water bodies, </w:t>
      </w:r>
      <w:r w:rsidRPr="000C60E1">
        <w:rPr>
          <w:rFonts w:cs="Arial"/>
        </w:rPr>
        <w:t xml:space="preserve">the expected impact </w:t>
      </w:r>
      <w:r w:rsidR="00CB7B18" w:rsidRPr="000C60E1">
        <w:rPr>
          <w:rFonts w:cs="Arial"/>
        </w:rPr>
        <w:t xml:space="preserve">this may have </w:t>
      </w:r>
      <w:r w:rsidRPr="000C60E1">
        <w:rPr>
          <w:rFonts w:cs="Arial"/>
        </w:rPr>
        <w:t xml:space="preserve">on the estimation of human health risk, if any, should be described. </w:t>
      </w:r>
    </w:p>
    <w:p w14:paraId="69E5F2AB" w14:textId="6DCEB5C7" w:rsidR="00B736F9" w:rsidRPr="000C60E1" w:rsidRDefault="00CB7B18" w:rsidP="00840964">
      <w:pPr>
        <w:rPr>
          <w:rFonts w:cs="Arial"/>
        </w:rPr>
      </w:pPr>
      <w:r w:rsidRPr="000C60E1">
        <w:rPr>
          <w:rFonts w:cs="Arial"/>
        </w:rPr>
        <w:t xml:space="preserve">For example, the </w:t>
      </w:r>
      <w:r w:rsidR="00B736F9" w:rsidRPr="000C60E1">
        <w:rPr>
          <w:rFonts w:cs="Arial"/>
        </w:rPr>
        <w:t xml:space="preserve">reason for </w:t>
      </w:r>
      <w:r w:rsidR="00FE45AD" w:rsidRPr="000C60E1">
        <w:rPr>
          <w:rFonts w:cs="Arial"/>
        </w:rPr>
        <w:t xml:space="preserve">an </w:t>
      </w:r>
      <w:r w:rsidR="00B736F9" w:rsidRPr="000C60E1">
        <w:rPr>
          <w:rFonts w:cs="Arial"/>
        </w:rPr>
        <w:t xml:space="preserve">environmentally sensitive designation </w:t>
      </w:r>
      <w:r w:rsidR="00E156ED" w:rsidRPr="000C60E1">
        <w:rPr>
          <w:rFonts w:cs="Arial"/>
        </w:rPr>
        <w:t xml:space="preserve">may be </w:t>
      </w:r>
      <w:r w:rsidR="00B736F9" w:rsidRPr="000C60E1">
        <w:rPr>
          <w:rFonts w:cs="Arial"/>
        </w:rPr>
        <w:t xml:space="preserve">due to the presence of </w:t>
      </w:r>
      <w:r w:rsidR="00E156ED" w:rsidRPr="000C60E1">
        <w:rPr>
          <w:rFonts w:cs="Arial"/>
        </w:rPr>
        <w:t>susceptible contaminant transport pathways which may enhance human exposure to contaminants. If this is the case</w:t>
      </w:r>
      <w:r w:rsidR="00B736F9" w:rsidRPr="000C60E1">
        <w:rPr>
          <w:rFonts w:cs="Arial"/>
        </w:rPr>
        <w:t xml:space="preserve">, this section of the </w:t>
      </w:r>
      <w:r w:rsidR="0041572E" w:rsidRPr="000C60E1">
        <w:rPr>
          <w:rFonts w:cs="Arial"/>
        </w:rPr>
        <w:t>RA report</w:t>
      </w:r>
      <w:r w:rsidR="00B736F9" w:rsidRPr="000C60E1">
        <w:rPr>
          <w:rFonts w:cs="Arial"/>
        </w:rPr>
        <w:t xml:space="preserve"> should reference </w:t>
      </w:r>
      <w:r w:rsidR="00E156ED" w:rsidRPr="000C60E1">
        <w:rPr>
          <w:rFonts w:cs="Arial"/>
        </w:rPr>
        <w:t>how the susceptible pathways</w:t>
      </w:r>
      <w:r w:rsidR="00B736F9" w:rsidRPr="000C60E1">
        <w:rPr>
          <w:rFonts w:cs="Arial"/>
        </w:rPr>
        <w:t xml:space="preserve"> are addressed and indicate </w:t>
      </w:r>
      <w:r w:rsidR="00E156ED" w:rsidRPr="000C60E1">
        <w:rPr>
          <w:rFonts w:cs="Arial"/>
        </w:rPr>
        <w:t xml:space="preserve">how </w:t>
      </w:r>
      <w:r w:rsidR="00B736F9" w:rsidRPr="000C60E1">
        <w:rPr>
          <w:rFonts w:cs="Arial"/>
        </w:rPr>
        <w:t xml:space="preserve">the human health standards proposed for the site are expected to be protective of </w:t>
      </w:r>
      <w:r w:rsidR="00E156ED" w:rsidRPr="000C60E1">
        <w:rPr>
          <w:rFonts w:cs="Arial"/>
        </w:rPr>
        <w:t xml:space="preserve">human exposure through </w:t>
      </w:r>
      <w:r w:rsidR="00B736F9" w:rsidRPr="000C60E1">
        <w:rPr>
          <w:rFonts w:cs="Arial"/>
        </w:rPr>
        <w:t xml:space="preserve">those </w:t>
      </w:r>
      <w:r w:rsidR="00E156ED" w:rsidRPr="000C60E1">
        <w:rPr>
          <w:rFonts w:cs="Arial"/>
        </w:rPr>
        <w:t>pathways</w:t>
      </w:r>
      <w:r w:rsidR="00B736F9" w:rsidRPr="000C60E1">
        <w:rPr>
          <w:rFonts w:cs="Arial"/>
        </w:rPr>
        <w:t>.</w:t>
      </w:r>
    </w:p>
    <w:p w14:paraId="359B7784" w14:textId="77777777" w:rsidR="00CB7B18" w:rsidRPr="000C60E1" w:rsidRDefault="00B736F9" w:rsidP="00840964">
      <w:pPr>
        <w:rPr>
          <w:rFonts w:cs="Arial"/>
        </w:rPr>
      </w:pPr>
      <w:r w:rsidRPr="000C60E1">
        <w:rPr>
          <w:rFonts w:cs="Arial"/>
        </w:rPr>
        <w:t xml:space="preserve">Minimum requirements for reporting </w:t>
      </w:r>
      <w:r w:rsidR="006C3E2D" w:rsidRPr="000C60E1">
        <w:rPr>
          <w:rFonts w:cs="Arial"/>
        </w:rPr>
        <w:t>S</w:t>
      </w:r>
      <w:r w:rsidRPr="000C60E1">
        <w:rPr>
          <w:rFonts w:cs="Arial"/>
        </w:rPr>
        <w:t xml:space="preserve">pecial </w:t>
      </w:r>
      <w:r w:rsidR="006C3E2D" w:rsidRPr="000C60E1">
        <w:rPr>
          <w:rFonts w:cs="Arial"/>
        </w:rPr>
        <w:t>C</w:t>
      </w:r>
      <w:r w:rsidRPr="000C60E1">
        <w:rPr>
          <w:rFonts w:cs="Arial"/>
        </w:rPr>
        <w:t xml:space="preserve">onsiderations </w:t>
      </w:r>
      <w:r w:rsidR="00CB7B18" w:rsidRPr="000C60E1">
        <w:rPr>
          <w:rFonts w:cs="Arial"/>
        </w:rPr>
        <w:t>are</w:t>
      </w:r>
      <w:r w:rsidRPr="000C60E1">
        <w:rPr>
          <w:rFonts w:cs="Arial"/>
        </w:rPr>
        <w:t xml:space="preserve"> </w:t>
      </w:r>
      <w:r w:rsidR="00E830E2" w:rsidRPr="000C60E1">
        <w:rPr>
          <w:rFonts w:cs="Arial"/>
        </w:rPr>
        <w:t xml:space="preserve">found in Table 1 of </w:t>
      </w:r>
      <w:r w:rsidRPr="000C60E1">
        <w:rPr>
          <w:rFonts w:cs="Arial"/>
        </w:rPr>
        <w:t xml:space="preserve">Schedule C </w:t>
      </w:r>
      <w:r w:rsidR="00E830E2" w:rsidRPr="000C60E1">
        <w:rPr>
          <w:rFonts w:cs="Arial"/>
        </w:rPr>
        <w:t xml:space="preserve">of the Regulation </w:t>
      </w:r>
      <w:r w:rsidR="00CB7B18" w:rsidRPr="000C60E1">
        <w:rPr>
          <w:rFonts w:cs="Arial"/>
        </w:rPr>
        <w:t xml:space="preserve">and </w:t>
      </w:r>
      <w:r w:rsidRPr="000C60E1">
        <w:rPr>
          <w:rFonts w:cs="Arial"/>
        </w:rPr>
        <w:t>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53193E33" w14:textId="77777777" w:rsidTr="005B40DA">
        <w:trPr>
          <w:trHeight w:val="20"/>
          <w:tblHeader/>
        </w:trPr>
        <w:tc>
          <w:tcPr>
            <w:tcW w:w="2468" w:type="dxa"/>
          </w:tcPr>
          <w:p w14:paraId="2844E449" w14:textId="77777777" w:rsidR="00C94B3B" w:rsidRPr="000C0EF2" w:rsidRDefault="00C94B3B"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75F69C7B"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0DE2454"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52477EB"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7FC04B7D" w14:textId="77777777" w:rsidTr="005B40DA">
        <w:trPr>
          <w:trHeight w:val="20"/>
        </w:trPr>
        <w:tc>
          <w:tcPr>
            <w:tcW w:w="2468" w:type="dxa"/>
          </w:tcPr>
          <w:p w14:paraId="0A73FD7A"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1ECFE7B8" w14:textId="77777777" w:rsidR="00C94B3B" w:rsidRPr="000C0EF2" w:rsidRDefault="00C94B3B" w:rsidP="000C0EF2">
            <w:pPr>
              <w:pStyle w:val="table-e"/>
              <w:spacing w:line="240" w:lineRule="auto"/>
              <w:rPr>
                <w:sz w:val="24"/>
              </w:rPr>
            </w:pPr>
            <w:r w:rsidRPr="000C0EF2">
              <w:rPr>
                <w:sz w:val="24"/>
              </w:rPr>
              <w:t>(d)  Risk Characterization</w:t>
            </w:r>
          </w:p>
        </w:tc>
        <w:tc>
          <w:tcPr>
            <w:tcW w:w="1839" w:type="dxa"/>
          </w:tcPr>
          <w:p w14:paraId="28F952BD" w14:textId="77777777" w:rsidR="00C94B3B" w:rsidRPr="000C0EF2" w:rsidRDefault="00C94B3B" w:rsidP="000C0EF2">
            <w:pPr>
              <w:pStyle w:val="table-e"/>
              <w:spacing w:line="240" w:lineRule="auto"/>
              <w:rPr>
                <w:sz w:val="24"/>
              </w:rPr>
            </w:pPr>
            <w:r w:rsidRPr="000C0EF2">
              <w:rPr>
                <w:sz w:val="24"/>
              </w:rPr>
              <w:t>(iv)  Special Considerations</w:t>
            </w:r>
          </w:p>
        </w:tc>
        <w:tc>
          <w:tcPr>
            <w:tcW w:w="3759" w:type="dxa"/>
          </w:tcPr>
          <w:p w14:paraId="7FE7EEC7" w14:textId="77777777" w:rsidR="00C94B3B" w:rsidRPr="000C0EF2" w:rsidRDefault="00C94B3B" w:rsidP="000C0EF2">
            <w:pPr>
              <w:pStyle w:val="table-e"/>
              <w:spacing w:line="240" w:lineRule="auto"/>
              <w:rPr>
                <w:sz w:val="24"/>
              </w:rPr>
            </w:pPr>
            <w:r w:rsidRPr="000C0EF2">
              <w:rPr>
                <w:sz w:val="24"/>
              </w:rPr>
              <w:t>If section 41 or 43.1 of the regulation applies to a RA property, the justification for the health standard being proposed for the RA property must take into account the site conditions that make section 41 or 43.1 of the regulation apply to the RA property.</w:t>
            </w:r>
          </w:p>
        </w:tc>
      </w:tr>
    </w:tbl>
    <w:p w14:paraId="0F1CFCB7" w14:textId="77777777" w:rsidR="00B736F9" w:rsidRPr="000C60E1" w:rsidRDefault="00B736F9" w:rsidP="00DE496B">
      <w:pPr>
        <w:pStyle w:val="Heading3"/>
        <w:rPr>
          <w:rFonts w:cs="Arial"/>
        </w:rPr>
      </w:pPr>
      <w:bookmarkStart w:id="237" w:name="_Toc91393567"/>
      <w:bookmarkStart w:id="238" w:name="_Toc112727430"/>
      <w:bookmarkStart w:id="239" w:name="_Toc41905706"/>
      <w:r w:rsidRPr="000C60E1">
        <w:rPr>
          <w:rFonts w:cs="Arial"/>
        </w:rPr>
        <w:t>Interpretation of Off-Site Health</w:t>
      </w:r>
      <w:bookmarkEnd w:id="237"/>
      <w:bookmarkEnd w:id="238"/>
      <w:r w:rsidR="00287614" w:rsidRPr="000C60E1">
        <w:rPr>
          <w:rFonts w:cs="Arial"/>
        </w:rPr>
        <w:t xml:space="preserve"> Risks</w:t>
      </w:r>
      <w:bookmarkEnd w:id="239"/>
    </w:p>
    <w:p w14:paraId="6617A729" w14:textId="2E2083C3" w:rsidR="00B736F9" w:rsidRPr="000C60E1" w:rsidRDefault="00B736F9" w:rsidP="00840964">
      <w:pPr>
        <w:rPr>
          <w:rFonts w:cs="Arial"/>
        </w:rPr>
      </w:pPr>
      <w:r w:rsidRPr="000C60E1">
        <w:rPr>
          <w:rFonts w:cs="Arial"/>
        </w:rPr>
        <w:t xml:space="preserve">Whether a qualitative or quantitative assessment of risk is undertaken, the </w:t>
      </w:r>
      <w:r w:rsidR="000767FF" w:rsidRPr="000C60E1">
        <w:rPr>
          <w:rFonts w:cs="Arial"/>
        </w:rPr>
        <w:t>QP</w:t>
      </w:r>
      <w:r w:rsidR="000767FF" w:rsidRPr="000C60E1">
        <w:rPr>
          <w:rFonts w:cs="Arial"/>
          <w:vertAlign w:val="subscript"/>
        </w:rPr>
        <w:t>RA</w:t>
      </w:r>
      <w:r w:rsidRPr="000C60E1">
        <w:rPr>
          <w:rFonts w:cs="Arial"/>
        </w:rPr>
        <w:t xml:space="preserve"> must highlight in a separate section of the report any considerations associated with off-site human receptors</w:t>
      </w:r>
      <w:r w:rsidR="003B70B4" w:rsidRPr="000C60E1">
        <w:rPr>
          <w:rFonts w:cs="Arial"/>
        </w:rPr>
        <w:t>. Specifically, the QP</w:t>
      </w:r>
      <w:r w:rsidR="003B70B4" w:rsidRPr="000C60E1">
        <w:rPr>
          <w:rFonts w:cs="Arial"/>
          <w:vertAlign w:val="subscript"/>
        </w:rPr>
        <w:t>RA</w:t>
      </w:r>
      <w:r w:rsidR="003B70B4" w:rsidRPr="000C60E1">
        <w:rPr>
          <w:rFonts w:cs="Arial"/>
        </w:rPr>
        <w:t xml:space="preserve"> must indicate</w:t>
      </w:r>
      <w:r w:rsidRPr="000C60E1">
        <w:rPr>
          <w:rFonts w:cs="Arial"/>
        </w:rPr>
        <w:t xml:space="preserve"> if the </w:t>
      </w:r>
      <w:r w:rsidR="00DD12C5" w:rsidRPr="000C60E1">
        <w:rPr>
          <w:rFonts w:cs="Arial"/>
        </w:rPr>
        <w:t xml:space="preserve">proposed </w:t>
      </w:r>
      <w:r w:rsidRPr="000C60E1">
        <w:rPr>
          <w:rFonts w:cs="Arial"/>
        </w:rPr>
        <w:t>human health standards</w:t>
      </w:r>
      <w:r w:rsidR="00DD12C5" w:rsidRPr="000C60E1">
        <w:rPr>
          <w:rFonts w:cs="Arial"/>
        </w:rPr>
        <w:t>, if applied</w:t>
      </w:r>
      <w:r w:rsidRPr="000C60E1">
        <w:rPr>
          <w:rFonts w:cs="Arial"/>
        </w:rPr>
        <w:t xml:space="preserve"> </w:t>
      </w:r>
      <w:r w:rsidR="00DD12C5" w:rsidRPr="000C60E1">
        <w:rPr>
          <w:rFonts w:cs="Arial"/>
        </w:rPr>
        <w:t>to</w:t>
      </w:r>
      <w:r w:rsidRPr="000C60E1">
        <w:rPr>
          <w:rFonts w:cs="Arial"/>
        </w:rPr>
        <w:t xml:space="preserve"> the </w:t>
      </w:r>
      <w:r w:rsidR="00DD12C5" w:rsidRPr="000C60E1">
        <w:rPr>
          <w:rFonts w:cs="Arial"/>
        </w:rPr>
        <w:t>RA property</w:t>
      </w:r>
      <w:r w:rsidRPr="000C60E1">
        <w:rPr>
          <w:rFonts w:cs="Arial"/>
        </w:rPr>
        <w:t xml:space="preserve"> are </w:t>
      </w:r>
      <w:r w:rsidR="007D63CB" w:rsidRPr="000C60E1">
        <w:rPr>
          <w:rFonts w:cs="Arial"/>
        </w:rPr>
        <w:t xml:space="preserve">likely </w:t>
      </w:r>
      <w:r w:rsidRPr="000C60E1">
        <w:rPr>
          <w:rFonts w:cs="Arial"/>
        </w:rPr>
        <w:t xml:space="preserve">to </w:t>
      </w:r>
      <w:r w:rsidR="007D63CB" w:rsidRPr="000C60E1">
        <w:rPr>
          <w:rFonts w:cs="Arial"/>
        </w:rPr>
        <w:t>result in an exceedance of the applicable full depth generic site condition standards at the location of</w:t>
      </w:r>
      <w:r w:rsidR="00DD12C5" w:rsidRPr="000C60E1">
        <w:rPr>
          <w:rFonts w:cs="Arial"/>
        </w:rPr>
        <w:t xml:space="preserve"> off-site</w:t>
      </w:r>
      <w:r w:rsidR="00A5349D" w:rsidRPr="000C60E1">
        <w:rPr>
          <w:rFonts w:cs="Arial"/>
        </w:rPr>
        <w:t xml:space="preserve"> </w:t>
      </w:r>
      <w:r w:rsidR="007D63CB" w:rsidRPr="000C60E1">
        <w:rPr>
          <w:rFonts w:cs="Arial"/>
        </w:rPr>
        <w:t xml:space="preserve">human </w:t>
      </w:r>
      <w:r w:rsidR="00A5349D" w:rsidRPr="000C60E1">
        <w:rPr>
          <w:rFonts w:cs="Arial"/>
        </w:rPr>
        <w:t xml:space="preserve">receptors. </w:t>
      </w:r>
    </w:p>
    <w:p w14:paraId="3474AFF4" w14:textId="77777777" w:rsidR="00B736F9" w:rsidRPr="000C60E1" w:rsidRDefault="00B736F9" w:rsidP="00840964">
      <w:pPr>
        <w:rPr>
          <w:rFonts w:cs="Arial"/>
        </w:rPr>
      </w:pPr>
      <w:r w:rsidRPr="000C60E1">
        <w:rPr>
          <w:rFonts w:cs="Arial"/>
        </w:rPr>
        <w:lastRenderedPageBreak/>
        <w:t>The minimum require</w:t>
      </w:r>
      <w:r w:rsidR="00A5349D" w:rsidRPr="000C60E1">
        <w:rPr>
          <w:rFonts w:cs="Arial"/>
        </w:rPr>
        <w:t>ments for interpretation of off-</w:t>
      </w:r>
      <w:r w:rsidRPr="000C60E1">
        <w:rPr>
          <w:rFonts w:cs="Arial"/>
        </w:rPr>
        <w:t>site health risks are found in</w:t>
      </w:r>
      <w:r w:rsidR="00E830E2" w:rsidRPr="000C60E1">
        <w:rPr>
          <w:rFonts w:cs="Arial"/>
        </w:rPr>
        <w:t xml:space="preserve"> Table 1 of Schedule C of </w:t>
      </w:r>
      <w:r w:rsidRPr="000C60E1">
        <w:rPr>
          <w:rFonts w:cs="Arial"/>
        </w:rPr>
        <w:t xml:space="preserve">the </w:t>
      </w:r>
      <w:r w:rsidR="00855A6A" w:rsidRPr="000C60E1">
        <w:rPr>
          <w:rFonts w:cs="Arial"/>
        </w:rPr>
        <w:t>R</w:t>
      </w:r>
      <w:r w:rsidRPr="000C60E1">
        <w:rPr>
          <w:rFonts w:cs="Arial"/>
        </w:rPr>
        <w:t>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2CF2D94A" w14:textId="77777777" w:rsidTr="005B40DA">
        <w:trPr>
          <w:trHeight w:val="20"/>
          <w:tblHeader/>
        </w:trPr>
        <w:tc>
          <w:tcPr>
            <w:tcW w:w="2468" w:type="dxa"/>
          </w:tcPr>
          <w:p w14:paraId="7B8EF83B" w14:textId="77777777" w:rsidR="00C94B3B" w:rsidRPr="000C0EF2" w:rsidRDefault="00C94B3B"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36D5F269"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48C16D1A"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F8358CF"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tr w:rsidR="00C94B3B" w:rsidRPr="000C0EF2" w14:paraId="6D298237" w14:textId="77777777" w:rsidTr="005B40DA">
        <w:trPr>
          <w:trHeight w:val="20"/>
        </w:trPr>
        <w:tc>
          <w:tcPr>
            <w:tcW w:w="2468" w:type="dxa"/>
          </w:tcPr>
          <w:p w14:paraId="7B86A86C"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77F82E71" w14:textId="77777777" w:rsidR="00C94B3B" w:rsidRPr="000C0EF2" w:rsidRDefault="00C94B3B" w:rsidP="000C0EF2">
            <w:pPr>
              <w:pStyle w:val="table-e"/>
              <w:spacing w:line="240" w:lineRule="auto"/>
              <w:rPr>
                <w:sz w:val="24"/>
              </w:rPr>
            </w:pPr>
            <w:r w:rsidRPr="000C0EF2">
              <w:rPr>
                <w:sz w:val="24"/>
              </w:rPr>
              <w:t>(d)  Risk Characterization</w:t>
            </w:r>
          </w:p>
        </w:tc>
        <w:tc>
          <w:tcPr>
            <w:tcW w:w="1839" w:type="dxa"/>
          </w:tcPr>
          <w:p w14:paraId="071AA4F5" w14:textId="77777777" w:rsidR="00C94B3B" w:rsidRPr="000C0EF2" w:rsidRDefault="00C94B3B" w:rsidP="000C0EF2">
            <w:pPr>
              <w:pStyle w:val="table-e"/>
              <w:spacing w:line="240" w:lineRule="auto"/>
              <w:rPr>
                <w:sz w:val="24"/>
              </w:rPr>
            </w:pPr>
            <w:r w:rsidRPr="000C0EF2">
              <w:rPr>
                <w:sz w:val="24"/>
              </w:rPr>
              <w:t>(v)  Interpretation of Off-Site Health Risks</w:t>
            </w:r>
          </w:p>
        </w:tc>
        <w:tc>
          <w:tcPr>
            <w:tcW w:w="3759" w:type="dxa"/>
          </w:tcPr>
          <w:p w14:paraId="243700E1" w14:textId="77777777" w:rsidR="00C94B3B" w:rsidRPr="000C0EF2" w:rsidRDefault="00C94B3B" w:rsidP="000C0EF2">
            <w:pPr>
              <w:pStyle w:val="table-e"/>
              <w:spacing w:line="240" w:lineRule="auto"/>
              <w:rPr>
                <w:sz w:val="24"/>
              </w:rPr>
            </w:pPr>
            <w:r w:rsidRPr="000C0EF2">
              <w:rPr>
                <w:sz w:val="24"/>
              </w:rPr>
              <w:t>For each contaminant of concern, assess whether the human health standard being proposed for the RA property is likely to result in a concentration greater than the applicable full depth site condition standard at the nearest human receptor located off the RA property and, if this is the case for any contaminant, specify the contaminant, the applicable site condition for that contaminant and the property where the human receptor is located and describe the human receptors that may be impacted.</w:t>
            </w:r>
          </w:p>
        </w:tc>
      </w:tr>
    </w:tbl>
    <w:p w14:paraId="6C7566F2" w14:textId="2B4E216C" w:rsidR="00B736F9" w:rsidRPr="002A75F2" w:rsidRDefault="00B736F9" w:rsidP="00840964">
      <w:pPr>
        <w:rPr>
          <w:rFonts w:cs="Arial"/>
        </w:rPr>
      </w:pPr>
      <w:r w:rsidRPr="000C60E1">
        <w:rPr>
          <w:rFonts w:cs="Arial"/>
        </w:rPr>
        <w:t xml:space="preserve">For each </w:t>
      </w:r>
      <w:smartTag w:uri="urn:schemas-microsoft-com:office:smarttags" w:element="stockticker">
        <w:r w:rsidRPr="000C60E1">
          <w:rPr>
            <w:rFonts w:cs="Arial"/>
          </w:rPr>
          <w:t>COC</w:t>
        </w:r>
      </w:smartTag>
      <w:r w:rsidRPr="000C60E1">
        <w:rPr>
          <w:rFonts w:cs="Arial"/>
        </w:rPr>
        <w:t xml:space="preserve">, the </w:t>
      </w:r>
      <w:r w:rsidR="000767FF" w:rsidRPr="000C60E1">
        <w:rPr>
          <w:rFonts w:cs="Arial"/>
        </w:rPr>
        <w:t>QP</w:t>
      </w:r>
      <w:r w:rsidR="000767FF" w:rsidRPr="000C60E1">
        <w:rPr>
          <w:rFonts w:cs="Arial"/>
          <w:vertAlign w:val="subscript"/>
        </w:rPr>
        <w:t>RA</w:t>
      </w:r>
      <w:r w:rsidRPr="000C60E1">
        <w:rPr>
          <w:rFonts w:cs="Arial"/>
        </w:rPr>
        <w:t xml:space="preserve"> must assess whether the human health standard being proposed for the RA property is likely to result in a concentration greater than the applicable full depth site condition standard at the nearest human receptor located off the RA property</w:t>
      </w:r>
      <w:r w:rsidR="003B70B4" w:rsidRPr="000C60E1">
        <w:rPr>
          <w:rFonts w:cs="Arial"/>
        </w:rPr>
        <w:t>. I</w:t>
      </w:r>
      <w:r w:rsidRPr="000C60E1">
        <w:rPr>
          <w:rFonts w:cs="Arial"/>
        </w:rPr>
        <w:t xml:space="preserve">f this is the case for any contaminant, </w:t>
      </w:r>
      <w:r w:rsidR="003B70B4" w:rsidRPr="002A75F2">
        <w:rPr>
          <w:rFonts w:cs="Arial"/>
        </w:rPr>
        <w:t>the QP</w:t>
      </w:r>
      <w:r w:rsidR="003B70B4" w:rsidRPr="002A75F2">
        <w:rPr>
          <w:rFonts w:cs="Arial"/>
          <w:vertAlign w:val="subscript"/>
        </w:rPr>
        <w:t>RA</w:t>
      </w:r>
      <w:r w:rsidR="003B70B4" w:rsidRPr="002A75F2">
        <w:rPr>
          <w:rFonts w:cs="Arial"/>
        </w:rPr>
        <w:t xml:space="preserve"> must </w:t>
      </w:r>
      <w:r w:rsidRPr="002A75F2">
        <w:rPr>
          <w:rFonts w:cs="Arial"/>
        </w:rPr>
        <w:t>specify the contaminant, the applicable site condition standard for that contaminant and the property where the receptor is located and describe the human receptors that may be impacted.</w:t>
      </w:r>
      <w:r w:rsidR="00231954" w:rsidRPr="002A75F2">
        <w:rPr>
          <w:rFonts w:cs="Arial"/>
        </w:rPr>
        <w:t xml:space="preserve"> </w:t>
      </w:r>
      <w:bookmarkStart w:id="240" w:name="_Hlk35875156"/>
      <w:r w:rsidR="00231954" w:rsidRPr="002A75F2">
        <w:rPr>
          <w:rFonts w:cs="Arial"/>
        </w:rPr>
        <w:t>It is recommended that this information be provided in tabular format.</w:t>
      </w:r>
      <w:bookmarkEnd w:id="240"/>
    </w:p>
    <w:p w14:paraId="6EFB5290" w14:textId="77777777" w:rsidR="00006FC1" w:rsidRPr="002A75F2" w:rsidRDefault="00006FC1" w:rsidP="00FA03F1">
      <w:pPr>
        <w:rPr>
          <w:rFonts w:cs="Arial"/>
        </w:rPr>
      </w:pPr>
      <w:r w:rsidRPr="002A75F2">
        <w:rPr>
          <w:rFonts w:cs="Arial"/>
        </w:rPr>
        <w:t xml:space="preserve">In addition, </w:t>
      </w:r>
      <w:r w:rsidR="000C58C6" w:rsidRPr="002A75F2">
        <w:rPr>
          <w:rFonts w:cs="Arial"/>
        </w:rPr>
        <w:t xml:space="preserve">for </w:t>
      </w:r>
      <w:r w:rsidRPr="002A75F2">
        <w:rPr>
          <w:rFonts w:cs="Arial"/>
        </w:rPr>
        <w:t>properties with volatile COCs in soil and/or groundwater</w:t>
      </w:r>
      <w:r w:rsidR="000C58C6" w:rsidRPr="002A75F2">
        <w:rPr>
          <w:rFonts w:cs="Arial"/>
        </w:rPr>
        <w:t>, the QP</w:t>
      </w:r>
      <w:r w:rsidR="000C58C6" w:rsidRPr="002A75F2">
        <w:rPr>
          <w:rFonts w:cs="Arial"/>
          <w:vertAlign w:val="subscript"/>
        </w:rPr>
        <w:t>RA</w:t>
      </w:r>
      <w:r w:rsidR="000C58C6" w:rsidRPr="002A75F2">
        <w:rPr>
          <w:rFonts w:cs="Arial"/>
        </w:rPr>
        <w:t xml:space="preserve"> </w:t>
      </w:r>
      <w:r w:rsidRPr="002A75F2">
        <w:rPr>
          <w:rFonts w:cs="Arial"/>
        </w:rPr>
        <w:t xml:space="preserve">should also discuss the potential for the migration of soil </w:t>
      </w:r>
      <w:proofErr w:type="spellStart"/>
      <w:r w:rsidRPr="002A75F2">
        <w:rPr>
          <w:rFonts w:cs="Arial"/>
        </w:rPr>
        <w:t>vapour</w:t>
      </w:r>
      <w:proofErr w:type="spellEnd"/>
      <w:r w:rsidRPr="002A75F2">
        <w:rPr>
          <w:rFonts w:cs="Arial"/>
        </w:rPr>
        <w:t xml:space="preserve"> off-site</w:t>
      </w:r>
      <w:r w:rsidR="006F3D6D" w:rsidRPr="002A75F2">
        <w:rPr>
          <w:rFonts w:cs="Arial"/>
        </w:rPr>
        <w:t xml:space="preserve"> in this section of the report</w:t>
      </w:r>
      <w:r w:rsidRPr="002A75F2">
        <w:rPr>
          <w:rFonts w:cs="Arial"/>
        </w:rPr>
        <w:t>.</w:t>
      </w:r>
    </w:p>
    <w:p w14:paraId="3A9B59DF" w14:textId="77777777" w:rsidR="00FA03F1" w:rsidRPr="000C60E1" w:rsidRDefault="00FA03F1" w:rsidP="00FA03F1">
      <w:pPr>
        <w:rPr>
          <w:rFonts w:cs="Arial"/>
        </w:rPr>
      </w:pPr>
      <w:r w:rsidRPr="002A75F2">
        <w:rPr>
          <w:rFonts w:cs="Arial"/>
        </w:rPr>
        <w:t>The information included in this sub-heading</w:t>
      </w:r>
      <w:r w:rsidRPr="000C60E1">
        <w:rPr>
          <w:rFonts w:cs="Arial"/>
        </w:rPr>
        <w:t xml:space="preserve"> is expected to be consistent with the mandatory certifications made by the QP</w:t>
      </w:r>
      <w:r w:rsidRPr="000C60E1">
        <w:rPr>
          <w:rFonts w:cs="Arial"/>
          <w:vertAlign w:val="subscript"/>
        </w:rPr>
        <w:t>RA</w:t>
      </w:r>
      <w:r w:rsidRPr="000C60E1">
        <w:rPr>
          <w:rFonts w:cs="Arial"/>
        </w:rPr>
        <w:t>, (specifically whether the final certification statement listed in subsection 5</w:t>
      </w:r>
      <w:r w:rsidR="00E830E2" w:rsidRPr="000C60E1">
        <w:rPr>
          <w:rFonts w:cs="Arial"/>
        </w:rPr>
        <w:t xml:space="preserve"> </w:t>
      </w:r>
      <w:r w:rsidRPr="000C60E1">
        <w:rPr>
          <w:rFonts w:cs="Arial"/>
        </w:rPr>
        <w:t>(3)</w:t>
      </w:r>
      <w:r w:rsidR="00E830E2" w:rsidRPr="000C60E1">
        <w:rPr>
          <w:rFonts w:cs="Arial"/>
        </w:rPr>
        <w:t xml:space="preserve"> of Schedule C</w:t>
      </w:r>
      <w:r w:rsidRPr="000C60E1">
        <w:rPr>
          <w:rFonts w:cs="Arial"/>
        </w:rPr>
        <w:t>, which is regarding potential for off-site migration, is included).</w:t>
      </w:r>
    </w:p>
    <w:p w14:paraId="74D387B7" w14:textId="580F4EFF" w:rsidR="00B736F9" w:rsidRPr="000C60E1" w:rsidRDefault="00B736F9" w:rsidP="00840964">
      <w:pPr>
        <w:rPr>
          <w:rFonts w:cs="Arial"/>
        </w:rPr>
      </w:pPr>
      <w:r w:rsidRPr="000C60E1">
        <w:rPr>
          <w:rFonts w:cs="Arial"/>
        </w:rPr>
        <w:t xml:space="preserve">For a given </w:t>
      </w:r>
      <w:smartTag w:uri="urn:schemas-microsoft-com:office:smarttags" w:element="stockticker">
        <w:r w:rsidRPr="000C60E1">
          <w:rPr>
            <w:rFonts w:cs="Arial"/>
          </w:rPr>
          <w:t>COC</w:t>
        </w:r>
      </w:smartTag>
      <w:r w:rsidRPr="000C60E1">
        <w:rPr>
          <w:rFonts w:cs="Arial"/>
        </w:rPr>
        <w:t xml:space="preserve">, the outcome from any off-site exceedance of the applicable full depth site condition standards resulting from the property will be determined by the </w:t>
      </w:r>
      <w:r w:rsidR="00657FDB" w:rsidRPr="000C60E1">
        <w:rPr>
          <w:rFonts w:cs="Arial"/>
        </w:rPr>
        <w:t>M</w:t>
      </w:r>
      <w:r w:rsidR="00683E92" w:rsidRPr="000C60E1">
        <w:rPr>
          <w:rFonts w:cs="Arial"/>
        </w:rPr>
        <w:t>inistry</w:t>
      </w:r>
      <w:r w:rsidRPr="000C60E1">
        <w:rPr>
          <w:rFonts w:cs="Arial"/>
        </w:rPr>
        <w:t xml:space="preserve"> District Office, which will prioritize any action that may be warranted on a specific property on a case by case basis.</w:t>
      </w:r>
    </w:p>
    <w:p w14:paraId="720A7129" w14:textId="77777777" w:rsidR="00B736F9" w:rsidRPr="000C60E1" w:rsidRDefault="00B736F9" w:rsidP="00DE496B">
      <w:pPr>
        <w:pStyle w:val="Heading3"/>
        <w:rPr>
          <w:rFonts w:cs="Arial"/>
        </w:rPr>
      </w:pPr>
      <w:bookmarkStart w:id="241" w:name="_Toc91393568"/>
      <w:bookmarkStart w:id="242" w:name="_Toc112727431"/>
      <w:bookmarkStart w:id="243" w:name="_Toc41905707"/>
      <w:r w:rsidRPr="000C60E1">
        <w:rPr>
          <w:rFonts w:cs="Arial"/>
        </w:rPr>
        <w:t>Discussion of Uncertainty</w:t>
      </w:r>
      <w:bookmarkEnd w:id="241"/>
      <w:bookmarkEnd w:id="242"/>
      <w:bookmarkEnd w:id="243"/>
    </w:p>
    <w:p w14:paraId="15A43180" w14:textId="34AE9C18" w:rsidR="007D63CB" w:rsidRPr="000C60E1" w:rsidRDefault="00B736F9" w:rsidP="00840964">
      <w:pPr>
        <w:rPr>
          <w:rFonts w:cs="Arial"/>
        </w:rPr>
      </w:pPr>
      <w:r w:rsidRPr="000C60E1">
        <w:rPr>
          <w:rFonts w:cs="Arial"/>
        </w:rPr>
        <w:t xml:space="preserve">There are areas of uncertainty in both toxicity and exposure assessment. Minimum requirements for the discussion of uncertainty in risk characterization are provided in </w:t>
      </w:r>
      <w:r w:rsidR="00E830E2" w:rsidRPr="000C60E1">
        <w:rPr>
          <w:rFonts w:cs="Arial"/>
        </w:rPr>
        <w:t xml:space="preserve">Table 1 of Schedule C of </w:t>
      </w:r>
      <w:r w:rsidRPr="000C60E1">
        <w:rPr>
          <w:rFonts w:cs="Arial"/>
        </w:rPr>
        <w:t xml:space="preserve">the </w:t>
      </w:r>
      <w:r w:rsidR="00855A6A" w:rsidRPr="000C60E1">
        <w:rPr>
          <w:rFonts w:cs="Arial"/>
        </w:rPr>
        <w:t>R</w:t>
      </w:r>
      <w:r w:rsidRPr="000C60E1">
        <w:rPr>
          <w:rFonts w:cs="Arial"/>
        </w:rPr>
        <w:t>egulation and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C94B3B" w:rsidRPr="000C0EF2" w14:paraId="24985224" w14:textId="77777777" w:rsidTr="005B40DA">
        <w:trPr>
          <w:trHeight w:val="20"/>
          <w:tblHeader/>
        </w:trPr>
        <w:tc>
          <w:tcPr>
            <w:tcW w:w="2468" w:type="dxa"/>
          </w:tcPr>
          <w:p w14:paraId="570BBBDD" w14:textId="77777777" w:rsidR="00C94B3B" w:rsidRPr="000C0EF2" w:rsidRDefault="00C94B3B" w:rsidP="000C0EF2">
            <w:pPr>
              <w:pStyle w:val="table-e"/>
              <w:spacing w:line="240" w:lineRule="auto"/>
              <w:rPr>
                <w:b/>
                <w:sz w:val="24"/>
              </w:rPr>
            </w:pPr>
            <w:bookmarkStart w:id="244" w:name="_Hlk35866936"/>
            <w:r w:rsidRPr="000C0EF2">
              <w:rPr>
                <w:b/>
                <w:sz w:val="24"/>
              </w:rPr>
              <w:lastRenderedPageBreak/>
              <w:t>Column 1</w:t>
            </w:r>
            <w:r w:rsidRPr="000C0EF2">
              <w:rPr>
                <w:b/>
                <w:sz w:val="24"/>
              </w:rPr>
              <w:br/>
              <w:t>Report Section</w:t>
            </w:r>
          </w:p>
        </w:tc>
        <w:tc>
          <w:tcPr>
            <w:tcW w:w="2014" w:type="dxa"/>
          </w:tcPr>
          <w:p w14:paraId="7832E83F" w14:textId="77777777" w:rsidR="00C94B3B" w:rsidRPr="000C0EF2" w:rsidRDefault="00C94B3B"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5404A65B" w14:textId="77777777" w:rsidR="00C94B3B" w:rsidRPr="000C0EF2" w:rsidRDefault="00C94B3B"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516ED96F" w14:textId="77777777" w:rsidR="00C94B3B" w:rsidRPr="000C0EF2" w:rsidRDefault="00C94B3B" w:rsidP="000C0EF2">
            <w:pPr>
              <w:pStyle w:val="table-e"/>
              <w:spacing w:line="240" w:lineRule="auto"/>
              <w:rPr>
                <w:b/>
                <w:sz w:val="24"/>
              </w:rPr>
            </w:pPr>
            <w:r w:rsidRPr="000C0EF2">
              <w:rPr>
                <w:b/>
                <w:sz w:val="24"/>
              </w:rPr>
              <w:t>Column 4</w:t>
            </w:r>
            <w:r w:rsidRPr="000C0EF2">
              <w:rPr>
                <w:b/>
                <w:sz w:val="24"/>
              </w:rPr>
              <w:br/>
              <w:t>Minimum Requirements</w:t>
            </w:r>
          </w:p>
        </w:tc>
      </w:tr>
      <w:bookmarkEnd w:id="244"/>
      <w:tr w:rsidR="00C94B3B" w:rsidRPr="000C0EF2" w14:paraId="1F29CEF8" w14:textId="77777777" w:rsidTr="005B40DA">
        <w:trPr>
          <w:trHeight w:val="20"/>
        </w:trPr>
        <w:tc>
          <w:tcPr>
            <w:tcW w:w="2468" w:type="dxa"/>
          </w:tcPr>
          <w:p w14:paraId="0293E841" w14:textId="77777777" w:rsidR="00C94B3B" w:rsidRPr="000C0EF2" w:rsidRDefault="00C94B3B" w:rsidP="000C0EF2">
            <w:pPr>
              <w:pStyle w:val="table-e"/>
              <w:spacing w:line="240" w:lineRule="auto"/>
              <w:rPr>
                <w:sz w:val="24"/>
              </w:rPr>
            </w:pPr>
            <w:r w:rsidRPr="000C0EF2">
              <w:rPr>
                <w:sz w:val="24"/>
              </w:rPr>
              <w:t>4.  Human Health Risk Assessment (HHRA)</w:t>
            </w:r>
          </w:p>
        </w:tc>
        <w:tc>
          <w:tcPr>
            <w:tcW w:w="2014" w:type="dxa"/>
          </w:tcPr>
          <w:p w14:paraId="7F41A96D" w14:textId="77777777" w:rsidR="00C94B3B" w:rsidRPr="000C0EF2" w:rsidRDefault="00C94B3B" w:rsidP="000C0EF2">
            <w:pPr>
              <w:pStyle w:val="table-e"/>
              <w:spacing w:line="240" w:lineRule="auto"/>
              <w:rPr>
                <w:sz w:val="24"/>
              </w:rPr>
            </w:pPr>
            <w:r w:rsidRPr="000C0EF2">
              <w:rPr>
                <w:sz w:val="24"/>
              </w:rPr>
              <w:t>(d)  Risk Characterization</w:t>
            </w:r>
          </w:p>
        </w:tc>
        <w:tc>
          <w:tcPr>
            <w:tcW w:w="1839" w:type="dxa"/>
          </w:tcPr>
          <w:p w14:paraId="150DB410" w14:textId="77777777" w:rsidR="00C94B3B" w:rsidRPr="000C0EF2" w:rsidRDefault="00C94B3B" w:rsidP="000C0EF2">
            <w:pPr>
              <w:pStyle w:val="table-e"/>
              <w:spacing w:line="240" w:lineRule="auto"/>
              <w:rPr>
                <w:sz w:val="24"/>
              </w:rPr>
            </w:pPr>
            <w:r w:rsidRPr="000C0EF2">
              <w:rPr>
                <w:sz w:val="24"/>
              </w:rPr>
              <w:t>(vi)  Discussion of Uncertainty</w:t>
            </w:r>
          </w:p>
        </w:tc>
        <w:tc>
          <w:tcPr>
            <w:tcW w:w="3759" w:type="dxa"/>
          </w:tcPr>
          <w:p w14:paraId="49C17EC9" w14:textId="77777777" w:rsidR="00C94B3B" w:rsidRPr="000C0EF2" w:rsidRDefault="00C94B3B" w:rsidP="000C0EF2">
            <w:pPr>
              <w:pStyle w:val="table-e"/>
              <w:spacing w:line="240" w:lineRule="auto"/>
              <w:rPr>
                <w:sz w:val="24"/>
              </w:rPr>
            </w:pPr>
            <w:r w:rsidRPr="000C0EF2">
              <w:rPr>
                <w:sz w:val="24"/>
              </w:rPr>
              <w:t>Having regard to the discussions of uncertainty under Heading (b) (Exposure Assessment) and Heading (c) (Toxicity Assessment), state how such uncertainty could affect the interpretation of risk in this report section and the need to manage such risks.</w:t>
            </w:r>
          </w:p>
        </w:tc>
      </w:tr>
    </w:tbl>
    <w:p w14:paraId="21F5D3CA" w14:textId="77777777" w:rsidR="00B736F9" w:rsidRPr="000C60E1" w:rsidRDefault="00B736F9" w:rsidP="00840964">
      <w:pPr>
        <w:rPr>
          <w:rFonts w:cs="Arial"/>
        </w:rPr>
      </w:pPr>
      <w:r w:rsidRPr="000C60E1">
        <w:rPr>
          <w:rFonts w:cs="Arial"/>
        </w:rPr>
        <w:t>Uncertainty of the overall risk assessment process should be quantified where appropriate and discussed explicitly, including the following:</w:t>
      </w:r>
    </w:p>
    <w:p w14:paraId="6ECAC219" w14:textId="77777777" w:rsidR="00B736F9" w:rsidRPr="000C60E1" w:rsidRDefault="00B736F9" w:rsidP="000E72E5">
      <w:pPr>
        <w:pStyle w:val="ListBullet2"/>
        <w:rPr>
          <w:rFonts w:cs="Arial"/>
        </w:rPr>
      </w:pPr>
      <w:r w:rsidRPr="000C60E1">
        <w:rPr>
          <w:rFonts w:cs="Arial"/>
        </w:rPr>
        <w:t>Description of the risks in terms of magnitudes</w:t>
      </w:r>
      <w:r w:rsidR="00FE54E3" w:rsidRPr="000C60E1">
        <w:rPr>
          <w:rFonts w:cs="Arial"/>
        </w:rPr>
        <w:t xml:space="preserve"> and</w:t>
      </w:r>
      <w:r w:rsidRPr="000C60E1">
        <w:rPr>
          <w:rFonts w:cs="Arial"/>
        </w:rPr>
        <w:t xml:space="preserve"> types </w:t>
      </w:r>
      <w:r w:rsidR="00FE54E3" w:rsidRPr="000C60E1">
        <w:rPr>
          <w:rFonts w:cs="Arial"/>
        </w:rPr>
        <w:t xml:space="preserve">of </w:t>
      </w:r>
      <w:r w:rsidRPr="000C60E1">
        <w:rPr>
          <w:rFonts w:cs="Arial"/>
        </w:rPr>
        <w:t>uncertainties involved,</w:t>
      </w:r>
    </w:p>
    <w:p w14:paraId="7385317D" w14:textId="77777777" w:rsidR="00B736F9" w:rsidRPr="000C60E1" w:rsidRDefault="00B736F9" w:rsidP="000E72E5">
      <w:pPr>
        <w:pStyle w:val="ListBullet2"/>
        <w:rPr>
          <w:rFonts w:cs="Arial"/>
        </w:rPr>
      </w:pPr>
      <w:r w:rsidRPr="000C60E1">
        <w:rPr>
          <w:rFonts w:cs="Arial"/>
        </w:rPr>
        <w:t>Interpretation of the significance on the overall assessment of risk, and</w:t>
      </w:r>
    </w:p>
    <w:p w14:paraId="57C884B7" w14:textId="77777777" w:rsidR="00B07E17" w:rsidRPr="000C60E1" w:rsidRDefault="00B736F9" w:rsidP="000E72E5">
      <w:pPr>
        <w:pStyle w:val="ListBullet2"/>
        <w:rPr>
          <w:rFonts w:cs="Arial"/>
        </w:rPr>
      </w:pPr>
      <w:r w:rsidRPr="000C60E1">
        <w:rPr>
          <w:rFonts w:cs="Arial"/>
        </w:rPr>
        <w:t>Factoring of information on the uncertainty in risk estimates, be it overestimation or underestimation, into the risk management decision in designing a suitable risk reduction strategy.</w:t>
      </w:r>
    </w:p>
    <w:p w14:paraId="42984782" w14:textId="0F007719" w:rsidR="006F61F7" w:rsidRPr="000C60E1" w:rsidRDefault="007520CE" w:rsidP="006F61F7">
      <w:pPr>
        <w:rPr>
          <w:rFonts w:cs="Arial"/>
        </w:rPr>
      </w:pPr>
      <w:r w:rsidRPr="000C60E1">
        <w:rPr>
          <w:rFonts w:cs="Arial"/>
        </w:rPr>
        <w:t xml:space="preserve">Uncertainty related to the toxicity assessment includes the accuracy of the </w:t>
      </w:r>
      <w:smartTag w:uri="urn:schemas-microsoft-com:office:smarttags" w:element="stockticker">
        <w:r w:rsidRPr="000C60E1">
          <w:rPr>
            <w:rFonts w:cs="Arial"/>
          </w:rPr>
          <w:t>TRV</w:t>
        </w:r>
      </w:smartTag>
      <w:r w:rsidRPr="000C60E1">
        <w:rPr>
          <w:rFonts w:cs="Arial"/>
        </w:rPr>
        <w:t xml:space="preserve"> considering available toxicity data, the use of uncertainty factors to account for route to route and species to species extrapolation and the use of relative absorption factors to account for bioavailability. The combined effect of uncertainty on the conservatism of the </w:t>
      </w:r>
      <w:smartTag w:uri="urn:schemas-microsoft-com:office:smarttags" w:element="stockticker">
        <w:r w:rsidRPr="000C60E1">
          <w:rPr>
            <w:rFonts w:cs="Arial"/>
          </w:rPr>
          <w:t>TRV</w:t>
        </w:r>
      </w:smartTag>
      <w:r w:rsidRPr="000C60E1">
        <w:rPr>
          <w:rFonts w:cs="Arial"/>
        </w:rPr>
        <w:t xml:space="preserve"> should be discussed in terms of the identifi</w:t>
      </w:r>
      <w:r w:rsidR="00AA392B" w:rsidRPr="000C60E1">
        <w:rPr>
          <w:rFonts w:cs="Arial"/>
        </w:rPr>
        <w:t>cation of significant</w:t>
      </w:r>
      <w:r w:rsidRPr="000C60E1">
        <w:rPr>
          <w:rFonts w:cs="Arial"/>
        </w:rPr>
        <w:t xml:space="preserve"> risks.</w:t>
      </w:r>
    </w:p>
    <w:p w14:paraId="66FC16B3" w14:textId="1FE5BABF" w:rsidR="007520CE" w:rsidRPr="000C60E1" w:rsidRDefault="007520CE" w:rsidP="006F61F7">
      <w:pPr>
        <w:rPr>
          <w:rFonts w:cs="Arial"/>
        </w:rPr>
      </w:pPr>
      <w:r w:rsidRPr="000C60E1">
        <w:rPr>
          <w:rFonts w:cs="Arial"/>
        </w:rPr>
        <w:t xml:space="preserve">Uncertainty related to the exposure assessment includes the accuracy of predicted contaminant </w:t>
      </w:r>
      <w:r w:rsidRPr="002A75F2">
        <w:rPr>
          <w:rFonts w:cs="Arial"/>
        </w:rPr>
        <w:t>concentrations in environmental media based on the availability of measured, site</w:t>
      </w:r>
      <w:r w:rsidR="00E07B06" w:rsidRPr="002A75F2">
        <w:rPr>
          <w:rFonts w:cs="Arial"/>
        </w:rPr>
        <w:t>-</w:t>
      </w:r>
      <w:r w:rsidRPr="002A75F2">
        <w:rPr>
          <w:rFonts w:cs="Arial"/>
        </w:rPr>
        <w:t>specific data</w:t>
      </w:r>
      <w:r w:rsidR="00FE7A0F" w:rsidRPr="002A75F2">
        <w:rPr>
          <w:rFonts w:cs="Arial"/>
        </w:rPr>
        <w:t>,</w:t>
      </w:r>
      <w:r w:rsidRPr="002A75F2">
        <w:rPr>
          <w:rFonts w:cs="Arial"/>
        </w:rPr>
        <w:t xml:space="preserve"> </w:t>
      </w:r>
      <w:r w:rsidR="00FE7A0F" w:rsidRPr="002A75F2">
        <w:rPr>
          <w:rFonts w:cs="Arial"/>
        </w:rPr>
        <w:t xml:space="preserve">fate and transport modelling </w:t>
      </w:r>
      <w:r w:rsidRPr="002A75F2">
        <w:rPr>
          <w:rFonts w:cs="Arial"/>
        </w:rPr>
        <w:t xml:space="preserve">and the ability to </w:t>
      </w:r>
      <w:r w:rsidR="00AA392B" w:rsidRPr="002A75F2">
        <w:rPr>
          <w:rFonts w:cs="Arial"/>
        </w:rPr>
        <w:t>predict human exposure to the contaminated media. The combined effect of uncertainty</w:t>
      </w:r>
      <w:r w:rsidR="00AA392B" w:rsidRPr="000C60E1">
        <w:rPr>
          <w:rFonts w:cs="Arial"/>
        </w:rPr>
        <w:t xml:space="preserve"> on the exposure estimate should be discussed in terms of the possibility of a significant risk to go undetected and whether the risk should be managed in the absence of reliable data.</w:t>
      </w:r>
    </w:p>
    <w:p w14:paraId="6FFFAE03" w14:textId="21B6B3FA" w:rsidR="00B736F9" w:rsidRPr="000C60E1" w:rsidRDefault="00FF0580" w:rsidP="00FF0580">
      <w:pPr>
        <w:pStyle w:val="Heading1"/>
      </w:pPr>
      <w:bookmarkStart w:id="245" w:name="_Toc79571586"/>
      <w:bookmarkStart w:id="246" w:name="_Toc91393569"/>
      <w:bookmarkStart w:id="247" w:name="_Toc112727432"/>
      <w:bookmarkStart w:id="248" w:name="_Toc41905708"/>
      <w:r w:rsidRPr="000C60E1">
        <w:lastRenderedPageBreak/>
        <w:t>Ecological Risk Assessment</w:t>
      </w:r>
      <w:bookmarkEnd w:id="229"/>
      <w:bookmarkEnd w:id="230"/>
      <w:bookmarkEnd w:id="245"/>
      <w:bookmarkEnd w:id="246"/>
      <w:bookmarkEnd w:id="247"/>
      <w:bookmarkEnd w:id="248"/>
    </w:p>
    <w:p w14:paraId="3EC392E4" w14:textId="1F54659F" w:rsidR="00B736F9" w:rsidRPr="000C60E1" w:rsidRDefault="00B736F9" w:rsidP="00FF0580">
      <w:pPr>
        <w:pStyle w:val="Heading2"/>
        <w:rPr>
          <w:rFonts w:cs="Arial"/>
        </w:rPr>
      </w:pPr>
      <w:bookmarkStart w:id="249" w:name="_Toc79571587"/>
      <w:bookmarkStart w:id="250" w:name="_Toc91393570"/>
      <w:bookmarkStart w:id="251" w:name="_Toc112727433"/>
      <w:bookmarkStart w:id="252" w:name="_Toc41905709"/>
      <w:r w:rsidRPr="000C60E1">
        <w:rPr>
          <w:rFonts w:cs="Arial"/>
        </w:rPr>
        <w:t>Levels of Assessment</w:t>
      </w:r>
      <w:bookmarkEnd w:id="249"/>
      <w:bookmarkEnd w:id="250"/>
      <w:bookmarkEnd w:id="251"/>
      <w:bookmarkEnd w:id="252"/>
    </w:p>
    <w:p w14:paraId="6FE6FA95" w14:textId="3ED28F2C" w:rsidR="00B736F9" w:rsidRPr="002A75F2" w:rsidRDefault="00B736F9" w:rsidP="00840964">
      <w:pPr>
        <w:rPr>
          <w:rFonts w:cs="Arial"/>
        </w:rPr>
      </w:pPr>
      <w:r w:rsidRPr="000C60E1">
        <w:rPr>
          <w:rFonts w:cs="Arial"/>
        </w:rPr>
        <w:t xml:space="preserve">The basic structure for conducting </w:t>
      </w:r>
      <w:r w:rsidR="00AF0B13" w:rsidRPr="000C60E1">
        <w:rPr>
          <w:rFonts w:cs="Arial"/>
        </w:rPr>
        <w:t xml:space="preserve">Ecological Risk </w:t>
      </w:r>
      <w:r w:rsidR="00AF0B13" w:rsidRPr="002A75F2">
        <w:rPr>
          <w:rFonts w:cs="Arial"/>
        </w:rPr>
        <w:t>Assessments (</w:t>
      </w:r>
      <w:r w:rsidRPr="002A75F2">
        <w:rPr>
          <w:rFonts w:cs="Arial"/>
        </w:rPr>
        <w:t>ERAs</w:t>
      </w:r>
      <w:r w:rsidR="00AF0B13" w:rsidRPr="002A75F2">
        <w:rPr>
          <w:rFonts w:cs="Arial"/>
        </w:rPr>
        <w:t>)</w:t>
      </w:r>
      <w:r w:rsidRPr="002A75F2">
        <w:rPr>
          <w:rFonts w:cs="Arial"/>
        </w:rPr>
        <w:t xml:space="preserve"> </w:t>
      </w:r>
      <w:r w:rsidR="00B73111" w:rsidRPr="002A75F2">
        <w:rPr>
          <w:rFonts w:cs="Arial"/>
        </w:rPr>
        <w:t>under the Regulation</w:t>
      </w:r>
      <w:r w:rsidRPr="002A75F2">
        <w:rPr>
          <w:rFonts w:cs="Arial"/>
        </w:rPr>
        <w:t xml:space="preserve"> is founded upon the CCME</w:t>
      </w:r>
      <w:r w:rsidR="001B1250" w:rsidRPr="002A75F2">
        <w:rPr>
          <w:rFonts w:cs="Arial"/>
        </w:rPr>
        <w:t>’</w:t>
      </w:r>
      <w:r w:rsidRPr="002A75F2">
        <w:rPr>
          <w:rFonts w:cs="Arial"/>
        </w:rPr>
        <w:t>s ecological risk assessment framework. For</w:t>
      </w:r>
      <w:r w:rsidRPr="000C60E1">
        <w:rPr>
          <w:rFonts w:cs="Arial"/>
        </w:rPr>
        <w:t xml:space="preserve"> detailed descriptions of the steps or components for the different levels of ERA, and for more detailed guidance on conducting ERAs, the </w:t>
      </w:r>
      <w:r w:rsidR="000767FF" w:rsidRPr="000C60E1">
        <w:rPr>
          <w:rFonts w:cs="Arial"/>
        </w:rPr>
        <w:t>QP</w:t>
      </w:r>
      <w:r w:rsidR="000767FF" w:rsidRPr="000C60E1">
        <w:rPr>
          <w:rFonts w:cs="Arial"/>
          <w:vertAlign w:val="subscript"/>
        </w:rPr>
        <w:t>RA</w:t>
      </w:r>
      <w:r w:rsidRPr="000C60E1">
        <w:rPr>
          <w:rFonts w:cs="Arial"/>
        </w:rPr>
        <w:t xml:space="preserve"> is referred to the CCME document entitled </w:t>
      </w:r>
      <w:r w:rsidR="001B1250" w:rsidRPr="000C60E1">
        <w:rPr>
          <w:rFonts w:cs="Arial"/>
        </w:rPr>
        <w:t>“</w:t>
      </w:r>
      <w:r w:rsidRPr="000C60E1">
        <w:rPr>
          <w:rFonts w:cs="Arial"/>
        </w:rPr>
        <w:t>A Framework for Ecological Risk Assessment: General Guidance</w:t>
      </w:r>
      <w:r w:rsidR="001B1250" w:rsidRPr="000C60E1">
        <w:rPr>
          <w:rFonts w:cs="Arial"/>
        </w:rPr>
        <w:t>”</w:t>
      </w:r>
      <w:r w:rsidRPr="000C60E1">
        <w:rPr>
          <w:rFonts w:cs="Arial"/>
        </w:rPr>
        <w:t xml:space="preserve"> (CCME, 1996), and to </w:t>
      </w:r>
      <w:r w:rsidR="001B1250" w:rsidRPr="000C60E1">
        <w:rPr>
          <w:rFonts w:cs="Arial"/>
        </w:rPr>
        <w:t>“</w:t>
      </w:r>
      <w:r w:rsidRPr="000C60E1">
        <w:rPr>
          <w:rFonts w:cs="Arial"/>
        </w:rPr>
        <w:t>A Framework for Ecological Risk Assessment: Technical Appendices</w:t>
      </w:r>
      <w:r w:rsidR="001B1250" w:rsidRPr="000C60E1">
        <w:rPr>
          <w:rFonts w:cs="Arial"/>
        </w:rPr>
        <w:t>”</w:t>
      </w:r>
      <w:r w:rsidRPr="000C60E1">
        <w:rPr>
          <w:rFonts w:cs="Arial"/>
        </w:rPr>
        <w:t xml:space="preserve"> (CCME, 1997). It should be noted that ERA “triggers”</w:t>
      </w:r>
      <w:r w:rsidR="003B70B4" w:rsidRPr="000C60E1">
        <w:rPr>
          <w:rFonts w:cs="Arial"/>
        </w:rPr>
        <w:t>,</w:t>
      </w:r>
      <w:r w:rsidRPr="000C60E1">
        <w:rPr>
          <w:rFonts w:cs="Arial"/>
        </w:rPr>
        <w:t xml:space="preserve"> </w:t>
      </w:r>
      <w:r w:rsidR="003B70B4" w:rsidRPr="000C60E1">
        <w:rPr>
          <w:rFonts w:cs="Arial"/>
        </w:rPr>
        <w:t xml:space="preserve">which </w:t>
      </w:r>
      <w:r w:rsidRPr="000C60E1">
        <w:rPr>
          <w:rFonts w:cs="Arial"/>
        </w:rPr>
        <w:t>are listed on page 3 of CCME (1996)</w:t>
      </w:r>
      <w:r w:rsidR="003B70B4" w:rsidRPr="000C60E1">
        <w:rPr>
          <w:rFonts w:cs="Arial"/>
        </w:rPr>
        <w:t>,</w:t>
      </w:r>
      <w:r w:rsidRPr="000C60E1">
        <w:rPr>
          <w:rFonts w:cs="Arial"/>
        </w:rPr>
        <w:t xml:space="preserve"> are good indicators of when a site should be considered </w:t>
      </w:r>
      <w:r w:rsidR="00C73217" w:rsidRPr="000C60E1">
        <w:rPr>
          <w:rFonts w:cs="Arial"/>
        </w:rPr>
        <w:t>“</w:t>
      </w:r>
      <w:r w:rsidRPr="000C60E1">
        <w:rPr>
          <w:rFonts w:cs="Arial"/>
        </w:rPr>
        <w:t>sensitive</w:t>
      </w:r>
      <w:r w:rsidR="00C73217" w:rsidRPr="000C60E1">
        <w:rPr>
          <w:rFonts w:cs="Arial"/>
        </w:rPr>
        <w:t>”</w:t>
      </w:r>
      <w:r w:rsidR="003B70B4" w:rsidRPr="000C60E1">
        <w:rPr>
          <w:rFonts w:cs="Arial"/>
        </w:rPr>
        <w:t xml:space="preserve">. These </w:t>
      </w:r>
      <w:r w:rsidR="00C73217" w:rsidRPr="000C60E1">
        <w:rPr>
          <w:rFonts w:cs="Arial"/>
        </w:rPr>
        <w:t>“</w:t>
      </w:r>
      <w:r w:rsidR="003B70B4" w:rsidRPr="000C60E1">
        <w:rPr>
          <w:rFonts w:cs="Arial"/>
        </w:rPr>
        <w:t>triggers</w:t>
      </w:r>
      <w:r w:rsidR="00C73217" w:rsidRPr="000C60E1">
        <w:rPr>
          <w:rFonts w:cs="Arial"/>
        </w:rPr>
        <w:t>”</w:t>
      </w:r>
      <w:r w:rsidR="003B70B4" w:rsidRPr="000C60E1">
        <w:rPr>
          <w:rFonts w:cs="Arial"/>
        </w:rPr>
        <w:t xml:space="preserve"> </w:t>
      </w:r>
      <w:r w:rsidRPr="000C60E1">
        <w:rPr>
          <w:rFonts w:cs="Arial"/>
        </w:rPr>
        <w:t xml:space="preserve">justify </w:t>
      </w:r>
      <w:r w:rsidR="003B70B4" w:rsidRPr="000C60E1">
        <w:rPr>
          <w:rFonts w:cs="Arial"/>
        </w:rPr>
        <w:t xml:space="preserve">the use of </w:t>
      </w:r>
      <w:r w:rsidRPr="000C60E1">
        <w:rPr>
          <w:rFonts w:cs="Arial"/>
        </w:rPr>
        <w:t xml:space="preserve">a risk assessment approach rather than the </w:t>
      </w:r>
      <w:r w:rsidR="003B70B4" w:rsidRPr="000C60E1">
        <w:rPr>
          <w:rFonts w:cs="Arial"/>
        </w:rPr>
        <w:t xml:space="preserve">use of </w:t>
      </w:r>
      <w:r w:rsidR="00C739D6" w:rsidRPr="000C60E1">
        <w:rPr>
          <w:rFonts w:cs="Arial"/>
        </w:rPr>
        <w:t>site condition standards</w:t>
      </w:r>
      <w:r w:rsidRPr="000C60E1">
        <w:rPr>
          <w:rFonts w:cs="Arial"/>
        </w:rPr>
        <w:t xml:space="preserve">. However, once a risk assessment approach has been </w:t>
      </w:r>
      <w:r w:rsidRPr="002A75F2">
        <w:rPr>
          <w:rFonts w:cs="Arial"/>
        </w:rPr>
        <w:t xml:space="preserve">selected under the </w:t>
      </w:r>
      <w:r w:rsidR="00855A6A" w:rsidRPr="002A75F2">
        <w:rPr>
          <w:rFonts w:cs="Arial"/>
        </w:rPr>
        <w:t>R</w:t>
      </w:r>
      <w:r w:rsidRPr="002A75F2">
        <w:rPr>
          <w:rFonts w:cs="Arial"/>
        </w:rPr>
        <w:t xml:space="preserve">egulation, these triggers </w:t>
      </w:r>
      <w:r w:rsidR="00EC05BF" w:rsidRPr="002A75F2">
        <w:rPr>
          <w:rFonts w:cs="Arial"/>
        </w:rPr>
        <w:t>can</w:t>
      </w:r>
      <w:r w:rsidR="004F439A" w:rsidRPr="002A75F2">
        <w:rPr>
          <w:rFonts w:cs="Arial"/>
        </w:rPr>
        <w:t xml:space="preserve">not </w:t>
      </w:r>
      <w:r w:rsidRPr="002A75F2">
        <w:rPr>
          <w:rFonts w:cs="Arial"/>
        </w:rPr>
        <w:t xml:space="preserve">be used to justify the </w:t>
      </w:r>
      <w:r w:rsidR="003B70B4" w:rsidRPr="002A75F2">
        <w:rPr>
          <w:rFonts w:cs="Arial"/>
        </w:rPr>
        <w:t xml:space="preserve">requirement </w:t>
      </w:r>
      <w:r w:rsidRPr="002A75F2">
        <w:rPr>
          <w:rFonts w:cs="Arial"/>
        </w:rPr>
        <w:t xml:space="preserve">or absence of an ERA. </w:t>
      </w:r>
      <w:r w:rsidR="003D19EF" w:rsidRPr="002A75F2">
        <w:rPr>
          <w:rFonts w:cs="Arial"/>
        </w:rPr>
        <w:t xml:space="preserve">The CCME document </w:t>
      </w:r>
      <w:r w:rsidR="00625640" w:rsidRPr="002A75F2">
        <w:rPr>
          <w:rFonts w:cs="Arial"/>
        </w:rPr>
        <w:t>“Ecological Risk Assessment Guidance Document” (CCME, 2020)</w:t>
      </w:r>
      <w:r w:rsidR="00062614" w:rsidRPr="002A75F2">
        <w:rPr>
          <w:rFonts w:cs="Arial"/>
        </w:rPr>
        <w:t xml:space="preserve"> provides additional guidance not included in the </w:t>
      </w:r>
      <w:r w:rsidR="003608AD" w:rsidRPr="002A75F2">
        <w:rPr>
          <w:rFonts w:cs="Arial"/>
        </w:rPr>
        <w:t xml:space="preserve">original </w:t>
      </w:r>
      <w:r w:rsidR="00062614" w:rsidRPr="002A75F2">
        <w:rPr>
          <w:rFonts w:cs="Arial"/>
        </w:rPr>
        <w:t>CCME Framework documents, including discussion of a weight of evidence approach.</w:t>
      </w:r>
    </w:p>
    <w:p w14:paraId="0B282A75" w14:textId="4C777DDC" w:rsidR="00B736F9" w:rsidRPr="002A75F2" w:rsidRDefault="00B736F9" w:rsidP="00840964">
      <w:pPr>
        <w:rPr>
          <w:rFonts w:cs="Arial"/>
        </w:rPr>
      </w:pPr>
      <w:r w:rsidRPr="002A75F2">
        <w:rPr>
          <w:rFonts w:cs="Arial"/>
        </w:rPr>
        <w:t xml:space="preserve">Persons conducting ERAs should be familiar with the CCME ERA procedures and documents above, as well as </w:t>
      </w:r>
      <w:r w:rsidR="001917A1" w:rsidRPr="002A75F2">
        <w:rPr>
          <w:rFonts w:cs="Arial"/>
        </w:rPr>
        <w:t>other</w:t>
      </w:r>
      <w:r w:rsidRPr="002A75F2">
        <w:rPr>
          <w:rFonts w:cs="Arial"/>
        </w:rPr>
        <w:t xml:space="preserve"> </w:t>
      </w:r>
      <w:r w:rsidR="001917A1" w:rsidRPr="002A75F2">
        <w:rPr>
          <w:rFonts w:cs="Arial"/>
        </w:rPr>
        <w:t xml:space="preserve">more recent </w:t>
      </w:r>
      <w:r w:rsidRPr="002A75F2">
        <w:rPr>
          <w:rFonts w:cs="Arial"/>
        </w:rPr>
        <w:t xml:space="preserve">documents that may be of assistance in conducting ERA such as those listed in the bibliography in Section </w:t>
      </w:r>
      <w:r w:rsidR="008E72B7" w:rsidRPr="002A75F2">
        <w:rPr>
          <w:rFonts w:cs="Arial"/>
        </w:rPr>
        <w:t>11</w:t>
      </w:r>
      <w:r w:rsidRPr="002A75F2">
        <w:rPr>
          <w:rFonts w:cs="Arial"/>
        </w:rPr>
        <w:t xml:space="preserve"> of this Procedures document.</w:t>
      </w:r>
    </w:p>
    <w:p w14:paraId="1EF17597" w14:textId="77777777" w:rsidR="00B736F9" w:rsidRPr="000C60E1" w:rsidRDefault="00683E92" w:rsidP="00765B29">
      <w:pPr>
        <w:rPr>
          <w:rFonts w:cs="Arial"/>
        </w:rPr>
      </w:pPr>
      <w:r w:rsidRPr="002A75F2">
        <w:rPr>
          <w:rFonts w:cs="Arial"/>
        </w:rPr>
        <w:t xml:space="preserve">The </w:t>
      </w:r>
      <w:r w:rsidR="00657FDB" w:rsidRPr="002A75F2">
        <w:rPr>
          <w:rFonts w:cs="Arial"/>
        </w:rPr>
        <w:t>M</w:t>
      </w:r>
      <w:r w:rsidRPr="002A75F2">
        <w:rPr>
          <w:rFonts w:cs="Arial"/>
        </w:rPr>
        <w:t>inistry</w:t>
      </w:r>
      <w:r w:rsidR="00B736F9" w:rsidRPr="002A75F2">
        <w:rPr>
          <w:rFonts w:cs="Arial"/>
        </w:rPr>
        <w:t xml:space="preserve"> </w:t>
      </w:r>
      <w:r w:rsidR="003E078D" w:rsidRPr="002A75F2">
        <w:rPr>
          <w:rFonts w:cs="Arial"/>
        </w:rPr>
        <w:t>recognizes</w:t>
      </w:r>
      <w:r w:rsidR="00B736F9" w:rsidRPr="002A75F2">
        <w:rPr>
          <w:rFonts w:cs="Arial"/>
        </w:rPr>
        <w:t xml:space="preserve"> three levels</w:t>
      </w:r>
      <w:r w:rsidR="00B736F9" w:rsidRPr="000C60E1">
        <w:rPr>
          <w:rFonts w:cs="Arial"/>
        </w:rPr>
        <w:t xml:space="preserve"> of investigation of potential ecological risk</w:t>
      </w:r>
      <w:r w:rsidR="005C0A3A" w:rsidRPr="000C60E1">
        <w:rPr>
          <w:rFonts w:cs="Arial"/>
        </w:rPr>
        <w:t>,</w:t>
      </w:r>
      <w:r w:rsidR="00B736F9" w:rsidRPr="000C60E1">
        <w:rPr>
          <w:rFonts w:cs="Arial"/>
        </w:rPr>
        <w:t xml:space="preserve"> as follows:</w:t>
      </w:r>
    </w:p>
    <w:p w14:paraId="3038E657" w14:textId="413C9469" w:rsidR="00B736F9" w:rsidRPr="000C60E1" w:rsidRDefault="00B736F9" w:rsidP="00A47B50">
      <w:pPr>
        <w:pStyle w:val="ListNumber2"/>
        <w:numPr>
          <w:ilvl w:val="0"/>
          <w:numId w:val="15"/>
        </w:numPr>
        <w:rPr>
          <w:rFonts w:cs="Arial"/>
        </w:rPr>
      </w:pPr>
      <w:r w:rsidRPr="000C60E1">
        <w:rPr>
          <w:rFonts w:cs="Arial"/>
        </w:rPr>
        <w:t xml:space="preserve">A Screening Level Ecological Risk Assessment (SL-ERA) is a primarily qualitative assessment of the potential environmental risk to specific ecological receptors that have been determined to be of major importance, i.e. valued ecosystem components (VECs). A SL-ERA is based primarily on data from literature reviews and from previous or preliminary studies at the property. It should provide sufficient information to determine </w:t>
      </w:r>
      <w:r w:rsidR="00C73217" w:rsidRPr="000C60E1">
        <w:rPr>
          <w:rFonts w:cs="Arial"/>
        </w:rPr>
        <w:t xml:space="preserve">whether or not </w:t>
      </w:r>
      <w:r w:rsidRPr="000C60E1">
        <w:rPr>
          <w:rFonts w:cs="Arial"/>
        </w:rPr>
        <w:t xml:space="preserve">remediation is required to protect ecological receptors, or it may provide a basis for determining what additional level of ERA is required and for focusing more detailed investigations of potential effects. If the SL-ERA concludes that remediation is not required, the </w:t>
      </w:r>
      <w:r w:rsidR="000767FF" w:rsidRPr="000C60E1">
        <w:rPr>
          <w:rFonts w:cs="Arial"/>
        </w:rPr>
        <w:t>QP</w:t>
      </w:r>
      <w:r w:rsidR="000767FF" w:rsidRPr="000C60E1">
        <w:rPr>
          <w:rFonts w:cs="Arial"/>
          <w:vertAlign w:val="subscript"/>
        </w:rPr>
        <w:t>RA</w:t>
      </w:r>
      <w:r w:rsidRPr="000C60E1">
        <w:rPr>
          <w:rFonts w:cs="Arial"/>
        </w:rPr>
        <w:t xml:space="preserve"> must propose a property</w:t>
      </w:r>
      <w:r w:rsidR="00EB3D97" w:rsidRPr="000C60E1">
        <w:rPr>
          <w:rFonts w:cs="Arial"/>
        </w:rPr>
        <w:t xml:space="preserve"> </w:t>
      </w:r>
      <w:r w:rsidRPr="000C60E1">
        <w:rPr>
          <w:rFonts w:cs="Arial"/>
        </w:rPr>
        <w:t xml:space="preserve">specific standard based on the outcome of the SL-ERA such as the maximum concentration of the </w:t>
      </w:r>
      <w:smartTag w:uri="urn:schemas-microsoft-com:office:smarttags" w:element="stockticker">
        <w:r w:rsidRPr="000C60E1">
          <w:rPr>
            <w:rFonts w:cs="Arial"/>
          </w:rPr>
          <w:t>COC</w:t>
        </w:r>
      </w:smartTag>
      <w:r w:rsidRPr="000C60E1">
        <w:rPr>
          <w:rFonts w:cs="Arial"/>
        </w:rPr>
        <w:t xml:space="preserve"> at the RA property.</w:t>
      </w:r>
    </w:p>
    <w:p w14:paraId="11E97232" w14:textId="0F47D894" w:rsidR="00B736F9" w:rsidRPr="002A75F2" w:rsidRDefault="00B736F9" w:rsidP="00FF0580">
      <w:pPr>
        <w:pStyle w:val="ListNumber2"/>
        <w:rPr>
          <w:rFonts w:cs="Arial"/>
        </w:rPr>
      </w:pPr>
      <w:r w:rsidRPr="000C60E1">
        <w:rPr>
          <w:rFonts w:cs="Arial"/>
        </w:rPr>
        <w:t>A Preliminary Quantitative Ecological Risk Assessment (PQ-ERA) uses a combination of literature information and property specific data which may be collected specifically for ERA purposes, to determine preliminary quantitative risk estimates for specified VECs exposed to the COCs. A PQ-ERA is focused on filling significant data gaps identified at the screening level. Methods used for a PQ-ERA are more complex than for a SL-ERA an</w:t>
      </w:r>
      <w:r w:rsidRPr="002A75F2">
        <w:rPr>
          <w:rFonts w:cs="Arial"/>
        </w:rPr>
        <w:t>d are directed at producing quantitative assessments of risk</w:t>
      </w:r>
      <w:r w:rsidR="00EB3D97" w:rsidRPr="002A75F2">
        <w:rPr>
          <w:rFonts w:cs="Arial"/>
        </w:rPr>
        <w:t>s</w:t>
      </w:r>
      <w:r w:rsidRPr="002A75F2">
        <w:rPr>
          <w:rFonts w:cs="Arial"/>
        </w:rPr>
        <w:t xml:space="preserve">. </w:t>
      </w:r>
    </w:p>
    <w:p w14:paraId="43CEB2CB" w14:textId="55871704" w:rsidR="00B736F9" w:rsidRPr="002A75F2" w:rsidRDefault="00B736F9" w:rsidP="00765B29">
      <w:pPr>
        <w:pStyle w:val="ListContinue2"/>
        <w:rPr>
          <w:rFonts w:cs="Arial"/>
        </w:rPr>
      </w:pPr>
      <w:r w:rsidRPr="002A75F2">
        <w:rPr>
          <w:rFonts w:cs="Arial"/>
        </w:rPr>
        <w:t>At this level of assessment, bioassays and/or biological field studies can be useful tools for assessing the toxicity of the contaminants present at the RA property. In the large majority of cases where this level of assessment is used, it should produce sufficient information upon which property</w:t>
      </w:r>
      <w:r w:rsidR="00EB3D97" w:rsidRPr="002A75F2">
        <w:rPr>
          <w:rFonts w:cs="Arial"/>
        </w:rPr>
        <w:t xml:space="preserve"> </w:t>
      </w:r>
      <w:r w:rsidRPr="002A75F2">
        <w:rPr>
          <w:rFonts w:cs="Arial"/>
        </w:rPr>
        <w:t xml:space="preserve">specific standards can be proposed for use </w:t>
      </w:r>
      <w:r w:rsidR="00EB3D97" w:rsidRPr="002A75F2">
        <w:rPr>
          <w:rFonts w:cs="Arial"/>
        </w:rPr>
        <w:t xml:space="preserve">at the RA </w:t>
      </w:r>
      <w:r w:rsidR="00EB3D97" w:rsidRPr="002A75F2">
        <w:rPr>
          <w:rFonts w:cs="Arial"/>
        </w:rPr>
        <w:lastRenderedPageBreak/>
        <w:t>property</w:t>
      </w:r>
      <w:r w:rsidRPr="002A75F2">
        <w:rPr>
          <w:rFonts w:cs="Arial"/>
        </w:rPr>
        <w:t xml:space="preserve">. In a few cases, data gaps or uncertainty may be of sufficient concern to warrant </w:t>
      </w:r>
      <w:r w:rsidR="00392C2F" w:rsidRPr="002A75F2">
        <w:rPr>
          <w:rFonts w:cs="Arial"/>
        </w:rPr>
        <w:t>further</w:t>
      </w:r>
      <w:r w:rsidRPr="002A75F2">
        <w:rPr>
          <w:rFonts w:cs="Arial"/>
        </w:rPr>
        <w:t xml:space="preserve"> detailed investigations.</w:t>
      </w:r>
    </w:p>
    <w:p w14:paraId="6BADEC49" w14:textId="3A8AC779" w:rsidR="00B736F9" w:rsidRPr="000C60E1" w:rsidRDefault="00B736F9" w:rsidP="00FF0580">
      <w:pPr>
        <w:pStyle w:val="ListNumber2"/>
        <w:rPr>
          <w:rFonts w:cs="Arial"/>
        </w:rPr>
      </w:pPr>
      <w:r w:rsidRPr="002A75F2">
        <w:rPr>
          <w:rFonts w:cs="Arial"/>
        </w:rPr>
        <w:t>A Detailed Quantitative</w:t>
      </w:r>
      <w:r w:rsidRPr="000C60E1">
        <w:rPr>
          <w:rFonts w:cs="Arial"/>
        </w:rPr>
        <w:t xml:space="preserve"> Ecological Risk Assessment (DQ-ERA) uses more extensive and complicated field assessments, biological field studies and mode</w:t>
      </w:r>
      <w:r w:rsidR="00C73217" w:rsidRPr="000C60E1">
        <w:rPr>
          <w:rFonts w:cs="Arial"/>
        </w:rPr>
        <w:t>l</w:t>
      </w:r>
      <w:r w:rsidRPr="000C60E1">
        <w:rPr>
          <w:rFonts w:cs="Arial"/>
        </w:rPr>
        <w:t>ling of contaminant movement, exposure pathways, ecosystem characterization and assessment of toxicity to attempt to fill significant data gaps and uncertainties already identified, and to quantitatively assess risk</w:t>
      </w:r>
      <w:r w:rsidR="00834258" w:rsidRPr="000C60E1">
        <w:rPr>
          <w:rFonts w:cs="Arial"/>
        </w:rPr>
        <w:t>s</w:t>
      </w:r>
      <w:r w:rsidRPr="000C60E1">
        <w:rPr>
          <w:rFonts w:cs="Arial"/>
        </w:rPr>
        <w:t>. Bioassays or field surveys are likely to be important tools in assessing toxicity at this level of assessment.</w:t>
      </w:r>
    </w:p>
    <w:p w14:paraId="0A4EA4DC" w14:textId="791350AF" w:rsidR="00B736F9" w:rsidRPr="000C60E1" w:rsidRDefault="00B736F9" w:rsidP="00840964">
      <w:pPr>
        <w:rPr>
          <w:rFonts w:cs="Arial"/>
        </w:rPr>
      </w:pPr>
      <w:r w:rsidRPr="000C60E1">
        <w:rPr>
          <w:rFonts w:cs="Arial"/>
        </w:rPr>
        <w:t xml:space="preserve">An ERA should begin with an SL-ERA and may progress through the more detailed levels of assessment if property characteristics so warrant. The </w:t>
      </w:r>
      <w:r w:rsidR="000767FF" w:rsidRPr="000C60E1">
        <w:rPr>
          <w:rFonts w:cs="Arial"/>
        </w:rPr>
        <w:t>QP</w:t>
      </w:r>
      <w:r w:rsidR="000767FF" w:rsidRPr="000C60E1">
        <w:rPr>
          <w:rFonts w:cs="Arial"/>
          <w:vertAlign w:val="subscript"/>
        </w:rPr>
        <w:t>RA</w:t>
      </w:r>
      <w:r w:rsidRPr="000C60E1">
        <w:rPr>
          <w:rFonts w:cs="Arial"/>
        </w:rPr>
        <w:t xml:space="preserve"> and risk assessment team should do the following:</w:t>
      </w:r>
    </w:p>
    <w:p w14:paraId="0617349D" w14:textId="76202396" w:rsidR="00B736F9" w:rsidRPr="000C60E1" w:rsidRDefault="00B736F9" w:rsidP="000E72E5">
      <w:pPr>
        <w:pStyle w:val="ListBullet2"/>
        <w:rPr>
          <w:rFonts w:cs="Arial"/>
        </w:rPr>
      </w:pPr>
      <w:r w:rsidRPr="000C60E1">
        <w:rPr>
          <w:rFonts w:cs="Arial"/>
        </w:rPr>
        <w:t xml:space="preserve">Determine whether the site </w:t>
      </w:r>
      <w:r w:rsidR="00834258" w:rsidRPr="000C60E1">
        <w:rPr>
          <w:rFonts w:cs="Arial"/>
        </w:rPr>
        <w:t>is</w:t>
      </w:r>
      <w:r w:rsidRPr="000C60E1">
        <w:rPr>
          <w:rFonts w:cs="Arial"/>
        </w:rPr>
        <w:t xml:space="preserve"> considered “environmentally sensitive”</w:t>
      </w:r>
      <w:r w:rsidR="00C73217" w:rsidRPr="000C60E1">
        <w:rPr>
          <w:rFonts w:cs="Arial"/>
        </w:rPr>
        <w:t xml:space="preserve"> (</w:t>
      </w:r>
      <w:r w:rsidRPr="000C60E1">
        <w:rPr>
          <w:rFonts w:cs="Arial"/>
        </w:rPr>
        <w:t xml:space="preserve">according to </w:t>
      </w:r>
      <w:r w:rsidR="00A41CAC" w:rsidRPr="000C60E1">
        <w:rPr>
          <w:rFonts w:cs="Arial"/>
        </w:rPr>
        <w:t>s</w:t>
      </w:r>
      <w:r w:rsidRPr="000C60E1">
        <w:rPr>
          <w:rFonts w:cs="Arial"/>
        </w:rPr>
        <w:t>ection 41</w:t>
      </w:r>
      <w:r w:rsidR="00753FCC" w:rsidRPr="000C60E1">
        <w:rPr>
          <w:rFonts w:cs="Arial"/>
        </w:rPr>
        <w:t xml:space="preserve"> of the Regulation</w:t>
      </w:r>
      <w:r w:rsidR="00C73217" w:rsidRPr="000C60E1">
        <w:rPr>
          <w:rFonts w:cs="Arial"/>
        </w:rPr>
        <w:t>)</w:t>
      </w:r>
      <w:r w:rsidRPr="000C60E1">
        <w:rPr>
          <w:rFonts w:cs="Arial"/>
        </w:rPr>
        <w:t>,</w:t>
      </w:r>
      <w:r w:rsidR="00C73217" w:rsidRPr="000C60E1">
        <w:rPr>
          <w:rFonts w:cs="Arial"/>
        </w:rPr>
        <w:t xml:space="preserve"> shallow soil and/or located within 30 </w:t>
      </w:r>
      <w:proofErr w:type="spellStart"/>
      <w:r w:rsidR="00C73217" w:rsidRPr="000C60E1">
        <w:rPr>
          <w:rFonts w:cs="Arial"/>
        </w:rPr>
        <w:t>metr</w:t>
      </w:r>
      <w:r w:rsidR="00D97159">
        <w:rPr>
          <w:rFonts w:cs="Arial"/>
        </w:rPr>
        <w:t>e</w:t>
      </w:r>
      <w:r w:rsidR="00C73217" w:rsidRPr="000C60E1">
        <w:rPr>
          <w:rFonts w:cs="Arial"/>
        </w:rPr>
        <w:t>s</w:t>
      </w:r>
      <w:proofErr w:type="spellEnd"/>
      <w:r w:rsidR="00C73217" w:rsidRPr="000C60E1">
        <w:rPr>
          <w:rFonts w:cs="Arial"/>
        </w:rPr>
        <w:t xml:space="preserve"> of a water body (according to section 43.1 of the Regulation),</w:t>
      </w:r>
    </w:p>
    <w:p w14:paraId="434A1059" w14:textId="77777777" w:rsidR="00B736F9" w:rsidRPr="000C60E1" w:rsidRDefault="00B736F9" w:rsidP="000E72E5">
      <w:pPr>
        <w:pStyle w:val="ListBullet2"/>
        <w:rPr>
          <w:rFonts w:cs="Arial"/>
        </w:rPr>
      </w:pPr>
      <w:r w:rsidRPr="000C60E1">
        <w:rPr>
          <w:rFonts w:cs="Arial"/>
        </w:rPr>
        <w:t>Determine which level of assessment is appropriate for the RA property,</w:t>
      </w:r>
    </w:p>
    <w:p w14:paraId="0B6211B5" w14:textId="77777777" w:rsidR="00B736F9" w:rsidRPr="000C60E1" w:rsidRDefault="00B736F9" w:rsidP="000E72E5">
      <w:pPr>
        <w:pStyle w:val="ListBullet2"/>
        <w:rPr>
          <w:rFonts w:cs="Arial"/>
        </w:rPr>
      </w:pPr>
      <w:r w:rsidRPr="000C60E1">
        <w:rPr>
          <w:rFonts w:cs="Arial"/>
        </w:rPr>
        <w:t xml:space="preserve">Include at least one of the three levels of assessment in the ERA for each </w:t>
      </w:r>
      <w:smartTag w:uri="urn:schemas-microsoft-com:office:smarttags" w:element="stockticker">
        <w:r w:rsidRPr="000C60E1">
          <w:rPr>
            <w:rFonts w:cs="Arial"/>
          </w:rPr>
          <w:t>COC</w:t>
        </w:r>
      </w:smartTag>
      <w:r w:rsidRPr="000C60E1">
        <w:rPr>
          <w:rFonts w:cs="Arial"/>
        </w:rPr>
        <w:t xml:space="preserve"> and justify the choice in the </w:t>
      </w:r>
      <w:r w:rsidR="0041572E" w:rsidRPr="000C60E1">
        <w:rPr>
          <w:rFonts w:cs="Arial"/>
        </w:rPr>
        <w:t>RA report</w:t>
      </w:r>
      <w:r w:rsidRPr="000C60E1">
        <w:rPr>
          <w:rFonts w:cs="Arial"/>
        </w:rPr>
        <w:t>, and</w:t>
      </w:r>
    </w:p>
    <w:p w14:paraId="4C4E0B65" w14:textId="77777777" w:rsidR="00B736F9" w:rsidRPr="000C60E1" w:rsidRDefault="00B736F9" w:rsidP="000E72E5">
      <w:pPr>
        <w:pStyle w:val="ListBullet2"/>
        <w:rPr>
          <w:rFonts w:cs="Arial"/>
        </w:rPr>
      </w:pPr>
      <w:r w:rsidRPr="000C60E1">
        <w:rPr>
          <w:rFonts w:cs="Arial"/>
        </w:rPr>
        <w:t xml:space="preserve">Provide and justify a property specific standard for each </w:t>
      </w:r>
      <w:smartTag w:uri="urn:schemas-microsoft-com:office:smarttags" w:element="stockticker">
        <w:r w:rsidRPr="000C60E1">
          <w:rPr>
            <w:rFonts w:cs="Arial"/>
          </w:rPr>
          <w:t>COC</w:t>
        </w:r>
      </w:smartTag>
      <w:r w:rsidRPr="000C60E1">
        <w:rPr>
          <w:rFonts w:cs="Arial"/>
        </w:rPr>
        <w:t xml:space="preserve"> for the VEC </w:t>
      </w:r>
      <w:r w:rsidR="00EC05BF" w:rsidRPr="000C60E1">
        <w:rPr>
          <w:rFonts w:cs="Arial"/>
        </w:rPr>
        <w:t xml:space="preserve">determined </w:t>
      </w:r>
      <w:r w:rsidRPr="000C60E1">
        <w:rPr>
          <w:rFonts w:cs="Arial"/>
        </w:rPr>
        <w:t xml:space="preserve">through the risk assessment process to be most </w:t>
      </w:r>
      <w:r w:rsidR="00EC05BF" w:rsidRPr="000C60E1">
        <w:rPr>
          <w:rFonts w:cs="Arial"/>
        </w:rPr>
        <w:t xml:space="preserve">at </w:t>
      </w:r>
      <w:r w:rsidRPr="000C60E1">
        <w:rPr>
          <w:rFonts w:cs="Arial"/>
        </w:rPr>
        <w:t xml:space="preserve">risk </w:t>
      </w:r>
      <w:r w:rsidR="00EC05BF" w:rsidRPr="000C60E1">
        <w:rPr>
          <w:rFonts w:cs="Arial"/>
        </w:rPr>
        <w:t>due to the presence of</w:t>
      </w:r>
      <w:r w:rsidRPr="000C60E1">
        <w:rPr>
          <w:rFonts w:cs="Arial"/>
        </w:rPr>
        <w:t xml:space="preserve"> the </w:t>
      </w:r>
      <w:smartTag w:uri="urn:schemas-microsoft-com:office:smarttags" w:element="stockticker">
        <w:r w:rsidRPr="000C60E1">
          <w:rPr>
            <w:rFonts w:cs="Arial"/>
          </w:rPr>
          <w:t>COC</w:t>
        </w:r>
      </w:smartTag>
      <w:r w:rsidRPr="000C60E1">
        <w:rPr>
          <w:rFonts w:cs="Arial"/>
        </w:rPr>
        <w:t>.</w:t>
      </w:r>
    </w:p>
    <w:p w14:paraId="6917F5D5" w14:textId="750B40B5" w:rsidR="00062614" w:rsidRPr="002A75F2" w:rsidRDefault="00062614" w:rsidP="000E72E5">
      <w:pPr>
        <w:pStyle w:val="ListBullet2"/>
        <w:numPr>
          <w:ilvl w:val="0"/>
          <w:numId w:val="0"/>
        </w:numPr>
        <w:rPr>
          <w:rFonts w:cs="Arial"/>
        </w:rPr>
      </w:pPr>
      <w:r w:rsidRPr="000C60E1">
        <w:rPr>
          <w:rFonts w:cs="Arial"/>
        </w:rPr>
        <w:t xml:space="preserve">The ERA process </w:t>
      </w:r>
      <w:r w:rsidRPr="002A75F2">
        <w:rPr>
          <w:rFonts w:cs="Arial"/>
        </w:rPr>
        <w:t xml:space="preserve">described above should be followed for all risk assessments which are submitted under the Regulation. Further details regarding the </w:t>
      </w:r>
      <w:r w:rsidR="00783291" w:rsidRPr="002A75F2">
        <w:rPr>
          <w:rFonts w:cs="Arial"/>
        </w:rPr>
        <w:t>requirements</w:t>
      </w:r>
      <w:r w:rsidRPr="002A75F2">
        <w:rPr>
          <w:rFonts w:cs="Arial"/>
        </w:rPr>
        <w:t xml:space="preserve"> of an ERA under the Regulation are described below. </w:t>
      </w:r>
    </w:p>
    <w:p w14:paraId="573EEBE8" w14:textId="44A54E83" w:rsidR="00B736F9" w:rsidRPr="002A75F2" w:rsidRDefault="00B736F9" w:rsidP="00FF0580">
      <w:pPr>
        <w:pStyle w:val="Heading2"/>
        <w:rPr>
          <w:rFonts w:cs="Arial"/>
        </w:rPr>
      </w:pPr>
      <w:bookmarkStart w:id="253" w:name="_5.2_Receptor_Characterization_Compo"/>
      <w:bookmarkStart w:id="254" w:name="_Toc74119421"/>
      <w:bookmarkStart w:id="255" w:name="_Toc74450900"/>
      <w:bookmarkStart w:id="256" w:name="_Toc78162210"/>
      <w:bookmarkStart w:id="257" w:name="_Toc79571588"/>
      <w:bookmarkStart w:id="258" w:name="_Toc91393571"/>
      <w:bookmarkStart w:id="259" w:name="_Toc112727434"/>
      <w:bookmarkStart w:id="260" w:name="_Toc41905710"/>
      <w:bookmarkEnd w:id="253"/>
      <w:r w:rsidRPr="002A75F2">
        <w:rPr>
          <w:rFonts w:cs="Arial"/>
        </w:rPr>
        <w:t>Problem Formulation</w:t>
      </w:r>
      <w:bookmarkEnd w:id="254"/>
      <w:bookmarkEnd w:id="255"/>
      <w:bookmarkEnd w:id="256"/>
      <w:bookmarkEnd w:id="257"/>
      <w:bookmarkEnd w:id="258"/>
      <w:bookmarkEnd w:id="259"/>
      <w:bookmarkEnd w:id="260"/>
    </w:p>
    <w:p w14:paraId="23ED02F7" w14:textId="3E1EF520" w:rsidR="0006221D" w:rsidRPr="000C60E1" w:rsidRDefault="00753FCC" w:rsidP="00753FCC">
      <w:pPr>
        <w:rPr>
          <w:rFonts w:cs="Arial"/>
        </w:rPr>
      </w:pPr>
      <w:r w:rsidRPr="002A75F2">
        <w:rPr>
          <w:rFonts w:cs="Arial"/>
        </w:rPr>
        <w:t xml:space="preserve">The problem formulation component </w:t>
      </w:r>
      <w:r w:rsidR="00513705" w:rsidRPr="002A75F2">
        <w:rPr>
          <w:rFonts w:cs="Arial"/>
        </w:rPr>
        <w:t xml:space="preserve">is </w:t>
      </w:r>
      <w:r w:rsidR="005459BE" w:rsidRPr="002A75F2">
        <w:rPr>
          <w:rFonts w:cs="Arial"/>
        </w:rPr>
        <w:t xml:space="preserve">a critical step in the ERA process and, </w:t>
      </w:r>
      <w:r w:rsidR="00276BB8" w:rsidRPr="002A75F2">
        <w:rPr>
          <w:rFonts w:cs="Arial"/>
        </w:rPr>
        <w:t>when</w:t>
      </w:r>
      <w:r w:rsidR="005459BE" w:rsidRPr="002A75F2">
        <w:rPr>
          <w:rFonts w:cs="Arial"/>
        </w:rPr>
        <w:t xml:space="preserve"> conducted properly, has the </w:t>
      </w:r>
      <w:r w:rsidR="00513705" w:rsidRPr="002A75F2">
        <w:rPr>
          <w:rFonts w:cs="Arial"/>
        </w:rPr>
        <w:t xml:space="preserve">greatest potential for improving </w:t>
      </w:r>
      <w:r w:rsidR="005459BE" w:rsidRPr="002A75F2">
        <w:rPr>
          <w:rFonts w:cs="Arial"/>
        </w:rPr>
        <w:t xml:space="preserve">overall </w:t>
      </w:r>
      <w:r w:rsidR="00513705" w:rsidRPr="002A75F2">
        <w:rPr>
          <w:rFonts w:cs="Arial"/>
        </w:rPr>
        <w:t>ERA quality</w:t>
      </w:r>
      <w:r w:rsidR="00276BB8" w:rsidRPr="002A75F2">
        <w:rPr>
          <w:rFonts w:cs="Arial"/>
        </w:rPr>
        <w:t xml:space="preserve"> in risk assessments</w:t>
      </w:r>
      <w:r w:rsidR="00513705" w:rsidRPr="002A75F2">
        <w:rPr>
          <w:rFonts w:cs="Arial"/>
        </w:rPr>
        <w:t>.</w:t>
      </w:r>
      <w:r w:rsidR="006C1F56" w:rsidRPr="002A75F2">
        <w:rPr>
          <w:rFonts w:cs="Arial"/>
        </w:rPr>
        <w:t xml:space="preserve"> </w:t>
      </w:r>
      <w:r w:rsidR="00513705" w:rsidRPr="002A75F2">
        <w:rPr>
          <w:rFonts w:cs="Arial"/>
        </w:rPr>
        <w:t xml:space="preserve">It </w:t>
      </w:r>
      <w:r w:rsidR="0006221D" w:rsidRPr="002A75F2">
        <w:rPr>
          <w:rFonts w:cs="Arial"/>
        </w:rPr>
        <w:t xml:space="preserve">includes a discussion of </w:t>
      </w:r>
      <w:r w:rsidR="00513705" w:rsidRPr="002A75F2">
        <w:rPr>
          <w:rFonts w:cs="Arial"/>
        </w:rPr>
        <w:t xml:space="preserve">the nature of the problem </w:t>
      </w:r>
      <w:r w:rsidR="0006221D" w:rsidRPr="002A75F2">
        <w:rPr>
          <w:rFonts w:cs="Arial"/>
        </w:rPr>
        <w:t xml:space="preserve">and the desired outcome of the </w:t>
      </w:r>
      <w:r w:rsidR="005459BE" w:rsidRPr="002A75F2">
        <w:rPr>
          <w:rFonts w:cs="Arial"/>
        </w:rPr>
        <w:t>ERA</w:t>
      </w:r>
      <w:r w:rsidR="0006221D" w:rsidRPr="002A75F2">
        <w:rPr>
          <w:rFonts w:cs="Arial"/>
        </w:rPr>
        <w:t>. This is followed</w:t>
      </w:r>
      <w:r w:rsidR="0006221D" w:rsidRPr="000C60E1">
        <w:rPr>
          <w:rFonts w:cs="Arial"/>
        </w:rPr>
        <w:t xml:space="preserve"> by a discussion of </w:t>
      </w:r>
      <w:r w:rsidR="00513705" w:rsidRPr="000C60E1">
        <w:rPr>
          <w:rFonts w:cs="Arial"/>
        </w:rPr>
        <w:t xml:space="preserve">how the risk assessment will be conducted to provide protection </w:t>
      </w:r>
      <w:r w:rsidR="00B8306F" w:rsidRPr="000C60E1">
        <w:rPr>
          <w:rFonts w:cs="Arial"/>
        </w:rPr>
        <w:t xml:space="preserve">to all valued ecological receptors </w:t>
      </w:r>
      <w:r w:rsidR="00513705" w:rsidRPr="000C60E1">
        <w:rPr>
          <w:rFonts w:cs="Arial"/>
        </w:rPr>
        <w:t xml:space="preserve">based on </w:t>
      </w:r>
      <w:r w:rsidR="00410236" w:rsidRPr="000C60E1">
        <w:rPr>
          <w:rFonts w:cs="Arial"/>
        </w:rPr>
        <w:t xml:space="preserve">the </w:t>
      </w:r>
      <w:r w:rsidR="00BB220A" w:rsidRPr="000C60E1">
        <w:rPr>
          <w:rFonts w:cs="Arial"/>
        </w:rPr>
        <w:t>selected</w:t>
      </w:r>
      <w:r w:rsidR="00A274AE" w:rsidRPr="000C60E1">
        <w:rPr>
          <w:rFonts w:cs="Arial"/>
        </w:rPr>
        <w:t xml:space="preserve"> </w:t>
      </w:r>
      <w:r w:rsidR="00513705" w:rsidRPr="000C60E1">
        <w:rPr>
          <w:rFonts w:cs="Arial"/>
        </w:rPr>
        <w:t xml:space="preserve">assessment endpoints </w:t>
      </w:r>
      <w:r w:rsidR="00B8306F" w:rsidRPr="000C60E1">
        <w:rPr>
          <w:rFonts w:cs="Arial"/>
        </w:rPr>
        <w:t>(e.g. reproduction, growth, survival, etc.)</w:t>
      </w:r>
      <w:r w:rsidR="00410236" w:rsidRPr="000C60E1">
        <w:rPr>
          <w:rFonts w:cs="Arial"/>
        </w:rPr>
        <w:t xml:space="preserve">. This discussion will include an analysis of the </w:t>
      </w:r>
      <w:r w:rsidR="00513705" w:rsidRPr="000C60E1">
        <w:rPr>
          <w:rFonts w:cs="Arial"/>
        </w:rPr>
        <w:t>measurement endpoin</w:t>
      </w:r>
      <w:r w:rsidR="00A274AE" w:rsidRPr="000C60E1">
        <w:rPr>
          <w:rFonts w:cs="Arial"/>
        </w:rPr>
        <w:t>t</w:t>
      </w:r>
      <w:r w:rsidR="00513705" w:rsidRPr="000C60E1">
        <w:rPr>
          <w:rFonts w:cs="Arial"/>
        </w:rPr>
        <w:t xml:space="preserve">s </w:t>
      </w:r>
      <w:r w:rsidR="00BB220A" w:rsidRPr="000C60E1">
        <w:rPr>
          <w:rFonts w:cs="Arial"/>
        </w:rPr>
        <w:t xml:space="preserve">which </w:t>
      </w:r>
      <w:r w:rsidR="00513705" w:rsidRPr="000C60E1">
        <w:rPr>
          <w:rFonts w:cs="Arial"/>
        </w:rPr>
        <w:t xml:space="preserve">will </w:t>
      </w:r>
      <w:r w:rsidR="00411306" w:rsidRPr="000C60E1">
        <w:rPr>
          <w:rFonts w:cs="Arial"/>
        </w:rPr>
        <w:t xml:space="preserve">be used </w:t>
      </w:r>
      <w:r w:rsidR="00BB220A" w:rsidRPr="000C60E1">
        <w:rPr>
          <w:rFonts w:cs="Arial"/>
        </w:rPr>
        <w:t xml:space="preserve">in achieving the level of </w:t>
      </w:r>
      <w:r w:rsidR="00B8306F" w:rsidRPr="000C60E1">
        <w:rPr>
          <w:rFonts w:cs="Arial"/>
        </w:rPr>
        <w:t xml:space="preserve">protection </w:t>
      </w:r>
      <w:r w:rsidR="00BB220A" w:rsidRPr="000C60E1">
        <w:rPr>
          <w:rFonts w:cs="Arial"/>
        </w:rPr>
        <w:t xml:space="preserve">identified via the </w:t>
      </w:r>
      <w:r w:rsidR="00B8306F" w:rsidRPr="000C60E1">
        <w:rPr>
          <w:rFonts w:cs="Arial"/>
        </w:rPr>
        <w:t>selected</w:t>
      </w:r>
      <w:r w:rsidR="00411306" w:rsidRPr="000C60E1">
        <w:rPr>
          <w:rFonts w:cs="Arial"/>
        </w:rPr>
        <w:t xml:space="preserve"> assessment endpoints</w:t>
      </w:r>
      <w:r w:rsidR="00B8306F" w:rsidRPr="000C60E1">
        <w:rPr>
          <w:rFonts w:cs="Arial"/>
        </w:rPr>
        <w:t xml:space="preserve"> (e.g. </w:t>
      </w:r>
      <w:r w:rsidR="00C56686" w:rsidRPr="000C60E1">
        <w:rPr>
          <w:rFonts w:cs="Arial"/>
        </w:rPr>
        <w:t>50%ile of NOECs, LC</w:t>
      </w:r>
      <w:r w:rsidR="00C56686" w:rsidRPr="000C60E1">
        <w:rPr>
          <w:rFonts w:cs="Arial"/>
          <w:vertAlign w:val="subscript"/>
        </w:rPr>
        <w:t>50</w:t>
      </w:r>
      <w:r w:rsidR="00C56686" w:rsidRPr="000C60E1">
        <w:rPr>
          <w:rFonts w:cs="Arial"/>
        </w:rPr>
        <w:t>, EC</w:t>
      </w:r>
      <w:r w:rsidR="00C56686" w:rsidRPr="000C60E1">
        <w:rPr>
          <w:rFonts w:cs="Arial"/>
          <w:vertAlign w:val="subscript"/>
        </w:rPr>
        <w:t>50</w:t>
      </w:r>
      <w:r w:rsidR="00C56686" w:rsidRPr="000C60E1">
        <w:rPr>
          <w:rFonts w:cs="Arial"/>
        </w:rPr>
        <w:t>, etc.)</w:t>
      </w:r>
      <w:r w:rsidR="00BB220A" w:rsidRPr="000C60E1">
        <w:rPr>
          <w:rFonts w:cs="Arial"/>
        </w:rPr>
        <w:t>.</w:t>
      </w:r>
      <w:r w:rsidR="00411306" w:rsidRPr="000C60E1">
        <w:rPr>
          <w:rFonts w:cs="Arial"/>
        </w:rPr>
        <w:t xml:space="preserve"> </w:t>
      </w:r>
      <w:r w:rsidR="00C56686" w:rsidRPr="000C60E1">
        <w:rPr>
          <w:rFonts w:cs="Arial"/>
        </w:rPr>
        <w:t>In many cases, measurement endpoints can be equated with soil, water and</w:t>
      </w:r>
      <w:r w:rsidR="004111ED" w:rsidRPr="000C60E1">
        <w:rPr>
          <w:rFonts w:cs="Arial"/>
        </w:rPr>
        <w:t>/or</w:t>
      </w:r>
      <w:r w:rsidR="00C56686" w:rsidRPr="000C60E1">
        <w:rPr>
          <w:rFonts w:cs="Arial"/>
        </w:rPr>
        <w:t xml:space="preserve"> sediment concentrations</w:t>
      </w:r>
      <w:r w:rsidR="004111ED" w:rsidRPr="000C60E1">
        <w:rPr>
          <w:rFonts w:cs="Arial"/>
        </w:rPr>
        <w:t>.</w:t>
      </w:r>
      <w:r w:rsidR="006C1F56" w:rsidRPr="000C60E1">
        <w:rPr>
          <w:rFonts w:cs="Arial"/>
        </w:rPr>
        <w:t xml:space="preserve"> </w:t>
      </w:r>
      <w:r w:rsidR="004111ED" w:rsidRPr="000C60E1">
        <w:rPr>
          <w:rFonts w:cs="Arial"/>
        </w:rPr>
        <w:t>I</w:t>
      </w:r>
      <w:r w:rsidR="00C56686" w:rsidRPr="000C60E1">
        <w:rPr>
          <w:rFonts w:cs="Arial"/>
        </w:rPr>
        <w:t>f this is the case, t</w:t>
      </w:r>
      <w:r w:rsidR="00411306" w:rsidRPr="000C60E1">
        <w:rPr>
          <w:rFonts w:cs="Arial"/>
        </w:rPr>
        <w:t xml:space="preserve">he measurement endpoints will </w:t>
      </w:r>
      <w:r w:rsidR="00513705" w:rsidRPr="000C60E1">
        <w:rPr>
          <w:rFonts w:cs="Arial"/>
        </w:rPr>
        <w:t xml:space="preserve">guide the development of the sampling and analysis plan. </w:t>
      </w:r>
      <w:r w:rsidR="00C56686" w:rsidRPr="000C60E1">
        <w:rPr>
          <w:rFonts w:cs="Arial"/>
        </w:rPr>
        <w:t xml:space="preserve">The Ministry’s Rationale Document (MOE, 2011) provides additional discussion relating to the </w:t>
      </w:r>
      <w:r w:rsidR="00BB220A" w:rsidRPr="000C60E1">
        <w:rPr>
          <w:rFonts w:cs="Arial"/>
        </w:rPr>
        <w:t>assessment and measurement endpoints used in the</w:t>
      </w:r>
      <w:r w:rsidR="00C56686" w:rsidRPr="000C60E1">
        <w:rPr>
          <w:rFonts w:cs="Arial"/>
        </w:rPr>
        <w:t xml:space="preserve"> derivation of the terrestrial and aquatic </w:t>
      </w:r>
      <w:r w:rsidR="00BB220A" w:rsidRPr="000C60E1">
        <w:rPr>
          <w:rFonts w:cs="Arial"/>
        </w:rPr>
        <w:t xml:space="preserve">generic </w:t>
      </w:r>
      <w:r w:rsidR="00C56686" w:rsidRPr="000C60E1">
        <w:rPr>
          <w:rFonts w:cs="Arial"/>
        </w:rPr>
        <w:t>component values.</w:t>
      </w:r>
    </w:p>
    <w:p w14:paraId="569795D8" w14:textId="01486058" w:rsidR="00C56686" w:rsidRPr="000C60E1" w:rsidRDefault="00513705" w:rsidP="00753FCC">
      <w:pPr>
        <w:rPr>
          <w:rFonts w:cs="Arial"/>
        </w:rPr>
      </w:pPr>
      <w:r w:rsidRPr="000C60E1">
        <w:rPr>
          <w:rFonts w:cs="Arial"/>
        </w:rPr>
        <w:t>Principal products of th</w:t>
      </w:r>
      <w:r w:rsidR="00C56686" w:rsidRPr="000C60E1">
        <w:rPr>
          <w:rFonts w:cs="Arial"/>
        </w:rPr>
        <w:t>e problem formulation step</w:t>
      </w:r>
      <w:r w:rsidRPr="000C60E1">
        <w:rPr>
          <w:rFonts w:cs="Arial"/>
        </w:rPr>
        <w:t xml:space="preserve"> include </w:t>
      </w:r>
      <w:r w:rsidR="00753FCC" w:rsidRPr="000C60E1">
        <w:rPr>
          <w:rFonts w:cs="Arial"/>
        </w:rPr>
        <w:t xml:space="preserve">a description of the conceptual site model as it relates to </w:t>
      </w:r>
      <w:r w:rsidRPr="000C60E1">
        <w:rPr>
          <w:rFonts w:cs="Arial"/>
        </w:rPr>
        <w:t>all</w:t>
      </w:r>
      <w:r w:rsidR="00C60164" w:rsidRPr="000C60E1">
        <w:rPr>
          <w:rFonts w:cs="Arial"/>
        </w:rPr>
        <w:t xml:space="preserve"> </w:t>
      </w:r>
      <w:r w:rsidRPr="000C60E1">
        <w:rPr>
          <w:rFonts w:cs="Arial"/>
        </w:rPr>
        <w:t xml:space="preserve">VECs </w:t>
      </w:r>
      <w:r w:rsidR="00753FCC" w:rsidRPr="000C60E1">
        <w:rPr>
          <w:rFonts w:cs="Arial"/>
        </w:rPr>
        <w:t>and identification of the ERA objectives based on that model</w:t>
      </w:r>
      <w:r w:rsidR="00C56686" w:rsidRPr="000C60E1">
        <w:rPr>
          <w:rFonts w:cs="Arial"/>
        </w:rPr>
        <w:t xml:space="preserve"> and on the discussion referred to above</w:t>
      </w:r>
      <w:r w:rsidR="00753FCC" w:rsidRPr="000C60E1">
        <w:rPr>
          <w:rFonts w:cs="Arial"/>
        </w:rPr>
        <w:t>.</w:t>
      </w:r>
    </w:p>
    <w:p w14:paraId="105C70B0" w14:textId="5AE249FC" w:rsidR="00753FCC" w:rsidRPr="000C60E1" w:rsidRDefault="00753FCC" w:rsidP="00753FCC">
      <w:pPr>
        <w:rPr>
          <w:rFonts w:cs="Arial"/>
        </w:rPr>
      </w:pPr>
      <w:r w:rsidRPr="000C60E1">
        <w:rPr>
          <w:rFonts w:cs="Arial"/>
        </w:rPr>
        <w:lastRenderedPageBreak/>
        <w:t>Minimum requirements for reporting the Problem Formulation are provided in Table 1 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53C431F3" w14:textId="77777777" w:rsidTr="005B40DA">
        <w:trPr>
          <w:trHeight w:val="20"/>
          <w:tblHeader/>
        </w:trPr>
        <w:tc>
          <w:tcPr>
            <w:tcW w:w="2468" w:type="dxa"/>
          </w:tcPr>
          <w:p w14:paraId="455BD505"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6F080CC9"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22DF7169"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710E7C51"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429595A0" w14:textId="77777777" w:rsidTr="005B40DA">
        <w:trPr>
          <w:trHeight w:val="20"/>
        </w:trPr>
        <w:tc>
          <w:tcPr>
            <w:tcW w:w="2468" w:type="dxa"/>
          </w:tcPr>
          <w:p w14:paraId="28BD214D"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7AB361A2" w14:textId="77777777" w:rsidR="00276BB8" w:rsidRPr="000C0EF2" w:rsidRDefault="00276BB8" w:rsidP="000C0EF2">
            <w:pPr>
              <w:pStyle w:val="table-e"/>
              <w:spacing w:line="240" w:lineRule="auto"/>
              <w:rPr>
                <w:sz w:val="24"/>
              </w:rPr>
            </w:pPr>
            <w:r w:rsidRPr="000C0EF2">
              <w:rPr>
                <w:sz w:val="24"/>
              </w:rPr>
              <w:t xml:space="preserve">(a)  Problem Formulation  </w:t>
            </w:r>
          </w:p>
        </w:tc>
        <w:tc>
          <w:tcPr>
            <w:tcW w:w="1839" w:type="dxa"/>
          </w:tcPr>
          <w:p w14:paraId="4EB57BD0" w14:textId="77777777" w:rsidR="00276BB8" w:rsidRPr="000C0EF2" w:rsidRDefault="00276BB8"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Ecological Conceptual Site Model</w:t>
            </w:r>
          </w:p>
        </w:tc>
        <w:tc>
          <w:tcPr>
            <w:tcW w:w="3759" w:type="dxa"/>
          </w:tcPr>
          <w:p w14:paraId="235BAD10" w14:textId="77777777" w:rsidR="00276BB8" w:rsidRPr="000C0EF2" w:rsidRDefault="00276BB8" w:rsidP="000C0EF2">
            <w:pPr>
              <w:pStyle w:val="table-e"/>
              <w:spacing w:line="240" w:lineRule="auto"/>
              <w:rPr>
                <w:sz w:val="24"/>
              </w:rPr>
            </w:pPr>
            <w:r w:rsidRPr="000C0EF2">
              <w:rPr>
                <w:sz w:val="24"/>
              </w:rPr>
              <w:t>Provide an ecological conceptual site model that,</w:t>
            </w:r>
          </w:p>
          <w:p w14:paraId="0F0AF1C4" w14:textId="77777777" w:rsidR="00276BB8" w:rsidRPr="000C0EF2" w:rsidRDefault="00276BB8" w:rsidP="000C0EF2">
            <w:pPr>
              <w:pStyle w:val="table-e"/>
              <w:spacing w:line="240" w:lineRule="auto"/>
              <w:rPr>
                <w:sz w:val="24"/>
              </w:rPr>
            </w:pPr>
            <w:r w:rsidRPr="000C0EF2">
              <w:rPr>
                <w:sz w:val="24"/>
              </w:rPr>
              <w:t>(a)  satisfies the requirements of clauses 3 (8) (b) and (c) and is consistent with the information upon which the diagrams referred to in that clause are based;</w:t>
            </w:r>
          </w:p>
          <w:p w14:paraId="31E9B376" w14:textId="77777777" w:rsidR="00276BB8" w:rsidRPr="000C0EF2" w:rsidRDefault="00276BB8" w:rsidP="000C0EF2">
            <w:pPr>
              <w:pStyle w:val="table-e"/>
              <w:spacing w:line="240" w:lineRule="auto"/>
              <w:rPr>
                <w:sz w:val="24"/>
              </w:rPr>
            </w:pPr>
            <w:r w:rsidRPr="000C0EF2">
              <w:rPr>
                <w:sz w:val="24"/>
              </w:rPr>
              <w:t>(b)  explains how the information provided under Report Section 3 (Property Information, Site Plan and Geological Interpretation) was incorporated into and is consistent with the ecological conceptual site model; and</w:t>
            </w:r>
          </w:p>
          <w:p w14:paraId="6D9685BD" w14:textId="77777777" w:rsidR="00276BB8" w:rsidRPr="000C0EF2" w:rsidRDefault="00276BB8" w:rsidP="000C0EF2">
            <w:pPr>
              <w:pStyle w:val="table-e"/>
              <w:spacing w:line="240" w:lineRule="auto"/>
              <w:rPr>
                <w:sz w:val="24"/>
              </w:rPr>
            </w:pPr>
            <w:r w:rsidRPr="000C0EF2">
              <w:rPr>
                <w:sz w:val="24"/>
              </w:rPr>
              <w:t>(c)  was relied upon in the preparation of the risk assessment.</w:t>
            </w:r>
          </w:p>
        </w:tc>
      </w:tr>
      <w:tr w:rsidR="00276BB8" w:rsidRPr="000C0EF2" w14:paraId="2BE939D7" w14:textId="77777777" w:rsidTr="005B40DA">
        <w:trPr>
          <w:trHeight w:val="20"/>
        </w:trPr>
        <w:tc>
          <w:tcPr>
            <w:tcW w:w="2468" w:type="dxa"/>
          </w:tcPr>
          <w:p w14:paraId="7F99FF9A"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51EFA70A" w14:textId="77777777" w:rsidR="00276BB8" w:rsidRPr="000C0EF2" w:rsidRDefault="00276BB8" w:rsidP="000C0EF2">
            <w:pPr>
              <w:pStyle w:val="table-e"/>
              <w:spacing w:line="240" w:lineRule="auto"/>
              <w:rPr>
                <w:sz w:val="24"/>
              </w:rPr>
            </w:pPr>
            <w:r w:rsidRPr="000C0EF2">
              <w:rPr>
                <w:sz w:val="24"/>
              </w:rPr>
              <w:t xml:space="preserve">(a)  Problem Formulation  </w:t>
            </w:r>
          </w:p>
        </w:tc>
        <w:tc>
          <w:tcPr>
            <w:tcW w:w="1839" w:type="dxa"/>
          </w:tcPr>
          <w:p w14:paraId="71E7FA47" w14:textId="77777777" w:rsidR="00276BB8" w:rsidRPr="000C0EF2" w:rsidRDefault="00276BB8" w:rsidP="000C0EF2">
            <w:pPr>
              <w:pStyle w:val="table-e"/>
              <w:spacing w:line="240" w:lineRule="auto"/>
              <w:rPr>
                <w:sz w:val="24"/>
              </w:rPr>
            </w:pPr>
            <w:r w:rsidRPr="000C0EF2">
              <w:rPr>
                <w:sz w:val="24"/>
              </w:rPr>
              <w:t>(ii)  Risk Assessment Objectives</w:t>
            </w:r>
          </w:p>
        </w:tc>
        <w:tc>
          <w:tcPr>
            <w:tcW w:w="3759" w:type="dxa"/>
          </w:tcPr>
          <w:p w14:paraId="6B797937" w14:textId="77777777" w:rsidR="00276BB8" w:rsidRPr="000C0EF2" w:rsidRDefault="00276BB8" w:rsidP="000C0EF2">
            <w:pPr>
              <w:pStyle w:val="table-e"/>
              <w:spacing w:line="240" w:lineRule="auto"/>
              <w:rPr>
                <w:sz w:val="24"/>
              </w:rPr>
            </w:pPr>
            <w:r w:rsidRPr="000C0EF2">
              <w:rPr>
                <w:sz w:val="24"/>
              </w:rPr>
              <w:t>1.  State the objectives of the ecological risk assessment and include an indication of,</w:t>
            </w:r>
          </w:p>
          <w:p w14:paraId="2E2C23E6" w14:textId="77777777" w:rsidR="00276BB8" w:rsidRPr="000C0EF2" w:rsidRDefault="00276BB8" w:rsidP="000C0EF2">
            <w:pPr>
              <w:pStyle w:val="table-e"/>
              <w:spacing w:line="240" w:lineRule="auto"/>
              <w:rPr>
                <w:sz w:val="24"/>
              </w:rPr>
            </w:pPr>
            <w:r w:rsidRPr="000C0EF2">
              <w:rPr>
                <w:sz w:val="24"/>
              </w:rPr>
              <w:t>(a)  the proposed use of the RA property;</w:t>
            </w:r>
          </w:p>
          <w:p w14:paraId="6E69FE33" w14:textId="77777777" w:rsidR="00276BB8" w:rsidRPr="000C0EF2" w:rsidRDefault="00276BB8" w:rsidP="000C0EF2">
            <w:pPr>
              <w:pStyle w:val="table-e"/>
              <w:spacing w:line="240" w:lineRule="auto"/>
              <w:rPr>
                <w:sz w:val="24"/>
              </w:rPr>
            </w:pPr>
            <w:r w:rsidRPr="000C0EF2">
              <w:rPr>
                <w:sz w:val="24"/>
              </w:rPr>
              <w:t>(b)  which ecological receptors on the RA property are considered to be valued ecosystem components, the degree to which they must be protected and a justification to support such decisions;</w:t>
            </w:r>
          </w:p>
          <w:p w14:paraId="7349EDF3" w14:textId="77777777" w:rsidR="00276BB8" w:rsidRPr="000C0EF2" w:rsidRDefault="00276BB8" w:rsidP="000C0EF2">
            <w:pPr>
              <w:pStyle w:val="table-e"/>
              <w:spacing w:line="240" w:lineRule="auto"/>
              <w:rPr>
                <w:sz w:val="24"/>
              </w:rPr>
            </w:pPr>
            <w:r w:rsidRPr="000C0EF2">
              <w:rPr>
                <w:sz w:val="24"/>
              </w:rPr>
              <w:t>(c)  the exposure pathways to be assessed in the ecological risk assessment;</w:t>
            </w:r>
          </w:p>
          <w:p w14:paraId="763A7431" w14:textId="77777777" w:rsidR="00276BB8" w:rsidRPr="000C0EF2" w:rsidRDefault="00276BB8" w:rsidP="000C0EF2">
            <w:pPr>
              <w:pStyle w:val="table-e"/>
              <w:spacing w:line="240" w:lineRule="auto"/>
              <w:rPr>
                <w:sz w:val="24"/>
              </w:rPr>
            </w:pPr>
            <w:r w:rsidRPr="000C0EF2">
              <w:rPr>
                <w:sz w:val="24"/>
              </w:rPr>
              <w:t>(d)  whether a qualitative or quantitative assessment of risk or both will be used in the ecological risk assessment;</w:t>
            </w:r>
          </w:p>
          <w:p w14:paraId="3B8871D0" w14:textId="77777777" w:rsidR="00276BB8" w:rsidRPr="000C0EF2" w:rsidRDefault="00276BB8" w:rsidP="000C0EF2">
            <w:pPr>
              <w:pStyle w:val="table-e"/>
              <w:spacing w:line="240" w:lineRule="auto"/>
              <w:rPr>
                <w:sz w:val="24"/>
              </w:rPr>
            </w:pPr>
            <w:r w:rsidRPr="000C0EF2">
              <w:rPr>
                <w:sz w:val="24"/>
              </w:rPr>
              <w:t>(e)  the type of approach used for the ecological risk assessment.</w:t>
            </w:r>
          </w:p>
          <w:p w14:paraId="7C8315B2" w14:textId="77777777" w:rsidR="00276BB8" w:rsidRPr="000C0EF2" w:rsidRDefault="00276BB8" w:rsidP="000C0EF2">
            <w:pPr>
              <w:pStyle w:val="table-e"/>
              <w:spacing w:line="240" w:lineRule="auto"/>
              <w:rPr>
                <w:sz w:val="24"/>
              </w:rPr>
            </w:pPr>
            <w:r w:rsidRPr="000C0EF2">
              <w:rPr>
                <w:sz w:val="24"/>
              </w:rPr>
              <w:t xml:space="preserve">2.  Demonstrate that the data used for the ecological risk assessment </w:t>
            </w:r>
            <w:r w:rsidRPr="000C0EF2">
              <w:rPr>
                <w:sz w:val="24"/>
              </w:rPr>
              <w:lastRenderedPageBreak/>
              <w:t>are sufficient to meet the objectives of the assessment, having regard to,</w:t>
            </w:r>
          </w:p>
          <w:p w14:paraId="4BE44566" w14:textId="77777777" w:rsidR="00276BB8" w:rsidRPr="000C0EF2" w:rsidRDefault="00276BB8" w:rsidP="000C0EF2">
            <w:pPr>
              <w:pStyle w:val="table-e"/>
              <w:spacing w:line="240" w:lineRule="auto"/>
              <w:rPr>
                <w:sz w:val="24"/>
              </w:rPr>
            </w:pPr>
            <w:r w:rsidRPr="000C0EF2">
              <w:rPr>
                <w:sz w:val="24"/>
              </w:rPr>
              <w:t>(a)  the data quality objectives specified in the reports on the sampling program summarized in the appendices to the risk assessment report; and</w:t>
            </w:r>
          </w:p>
          <w:p w14:paraId="0F473E16" w14:textId="77777777" w:rsidR="00276BB8" w:rsidRPr="000C0EF2" w:rsidRDefault="00276BB8" w:rsidP="000C0EF2">
            <w:pPr>
              <w:pStyle w:val="table-e"/>
              <w:spacing w:line="240" w:lineRule="auto"/>
              <w:rPr>
                <w:sz w:val="24"/>
              </w:rPr>
            </w:pPr>
            <w:r w:rsidRPr="000C0EF2">
              <w:rPr>
                <w:sz w:val="24"/>
              </w:rPr>
              <w:t>(b)  any other relevant information that the qualified person has gathered or obtained in conducting the assessment.</w:t>
            </w:r>
          </w:p>
          <w:p w14:paraId="3B259847" w14:textId="77777777" w:rsidR="00276BB8" w:rsidRPr="000C0EF2" w:rsidRDefault="00276BB8" w:rsidP="000C0EF2">
            <w:pPr>
              <w:pStyle w:val="table-e"/>
              <w:spacing w:line="240" w:lineRule="auto"/>
              <w:rPr>
                <w:sz w:val="24"/>
              </w:rPr>
            </w:pPr>
            <w:r w:rsidRPr="000C0EF2">
              <w:rPr>
                <w:sz w:val="24"/>
              </w:rPr>
              <w:t>3.  State how any uncertainty resulting from variable data, poor data quality or gaps in data in relation to the RA property affected,</w:t>
            </w:r>
          </w:p>
          <w:p w14:paraId="2C4F9DCE" w14:textId="77777777" w:rsidR="00276BB8" w:rsidRPr="000C0EF2" w:rsidRDefault="00276BB8" w:rsidP="000C0EF2">
            <w:pPr>
              <w:pStyle w:val="table-e"/>
              <w:spacing w:line="240" w:lineRule="auto"/>
              <w:rPr>
                <w:sz w:val="24"/>
              </w:rPr>
            </w:pPr>
            <w:r w:rsidRPr="000C0EF2">
              <w:rPr>
                <w:sz w:val="24"/>
              </w:rPr>
              <w:t>(a)  the setting of objectives for the ecological risk assessment; and</w:t>
            </w:r>
          </w:p>
          <w:p w14:paraId="0565C2A7" w14:textId="77777777" w:rsidR="00276BB8" w:rsidRPr="000C0EF2" w:rsidRDefault="00276BB8" w:rsidP="000C0EF2">
            <w:pPr>
              <w:pStyle w:val="table-e"/>
              <w:spacing w:line="240" w:lineRule="auto"/>
              <w:rPr>
                <w:sz w:val="24"/>
              </w:rPr>
            </w:pPr>
            <w:r w:rsidRPr="000C0EF2">
              <w:rPr>
                <w:sz w:val="24"/>
              </w:rPr>
              <w:t>(b)  the ability to meet those objectives.</w:t>
            </w:r>
          </w:p>
        </w:tc>
      </w:tr>
    </w:tbl>
    <w:p w14:paraId="2D5CB749" w14:textId="77777777" w:rsidR="006F61F7" w:rsidRPr="006F61F7" w:rsidRDefault="000B6FCD" w:rsidP="006F61F7">
      <w:r w:rsidRPr="00840964">
        <w:lastRenderedPageBreak/>
        <w:t xml:space="preserve">Additional guidance is provided in the following sections of this </w:t>
      </w:r>
      <w:r w:rsidR="008E72B7">
        <w:t>P</w:t>
      </w:r>
      <w:r w:rsidRPr="00840964">
        <w:t>rocedures document.</w:t>
      </w:r>
    </w:p>
    <w:p w14:paraId="58F03E9D" w14:textId="741996D4" w:rsidR="00B736F9" w:rsidRPr="000C60E1" w:rsidRDefault="00B736F9" w:rsidP="00DE496B">
      <w:pPr>
        <w:pStyle w:val="Heading3"/>
        <w:rPr>
          <w:rFonts w:cs="Arial"/>
        </w:rPr>
      </w:pPr>
      <w:bookmarkStart w:id="261" w:name="_Toc91393572"/>
      <w:bookmarkStart w:id="262" w:name="_Toc112727435"/>
      <w:bookmarkStart w:id="263" w:name="_Toc41905711"/>
      <w:r w:rsidRPr="000C60E1">
        <w:rPr>
          <w:rFonts w:cs="Arial"/>
        </w:rPr>
        <w:t>Ecological Conceptual Site Model</w:t>
      </w:r>
      <w:bookmarkEnd w:id="261"/>
      <w:bookmarkEnd w:id="262"/>
      <w:bookmarkEnd w:id="263"/>
    </w:p>
    <w:p w14:paraId="139EF7BC" w14:textId="44AEB3BA" w:rsidR="00A41CAC" w:rsidRPr="000C60E1" w:rsidRDefault="00B736F9" w:rsidP="00840964">
      <w:pPr>
        <w:rPr>
          <w:rFonts w:cs="Arial"/>
        </w:rPr>
      </w:pPr>
      <w:r w:rsidRPr="000C60E1">
        <w:rPr>
          <w:rFonts w:cs="Arial"/>
        </w:rPr>
        <w:t xml:space="preserve">The ecological conceptual site model is a </w:t>
      </w:r>
      <w:r w:rsidR="00753FCC" w:rsidRPr="000C60E1">
        <w:rPr>
          <w:rFonts w:cs="Arial"/>
        </w:rPr>
        <w:t xml:space="preserve">physical </w:t>
      </w:r>
      <w:r w:rsidRPr="000C60E1">
        <w:rPr>
          <w:rFonts w:cs="Arial"/>
        </w:rPr>
        <w:t>description of the potential contamination problem from an ecological risk p</w:t>
      </w:r>
      <w:r w:rsidR="00EB027D" w:rsidRPr="000C60E1">
        <w:rPr>
          <w:rFonts w:cs="Arial"/>
        </w:rPr>
        <w:t>e</w:t>
      </w:r>
      <w:r w:rsidRPr="000C60E1">
        <w:rPr>
          <w:rFonts w:cs="Arial"/>
        </w:rPr>
        <w:t>rspective. The ecological conceptual site model must meet the requirements of the Regulation as described in</w:t>
      </w:r>
      <w:r w:rsidR="00DA2605" w:rsidRPr="000C60E1">
        <w:rPr>
          <w:rFonts w:cs="Arial"/>
        </w:rPr>
        <w:t>:</w:t>
      </w:r>
      <w:r w:rsidRPr="000C60E1">
        <w:rPr>
          <w:rFonts w:cs="Arial"/>
        </w:rPr>
        <w:t xml:space="preserve"> </w:t>
      </w:r>
    </w:p>
    <w:p w14:paraId="5492B3F3" w14:textId="77777777" w:rsidR="00A41CAC" w:rsidRPr="000C60E1" w:rsidRDefault="007B414E" w:rsidP="00A47B50">
      <w:pPr>
        <w:numPr>
          <w:ilvl w:val="0"/>
          <w:numId w:val="22"/>
        </w:numPr>
        <w:shd w:val="clear" w:color="auto" w:fill="D9D9D9"/>
        <w:rPr>
          <w:rFonts w:cs="Arial"/>
        </w:rPr>
      </w:pPr>
      <w:r w:rsidRPr="000C60E1">
        <w:rPr>
          <w:rFonts w:cs="Arial"/>
        </w:rPr>
        <w:t>Clauses</w:t>
      </w:r>
      <w:r w:rsidR="00A41CAC" w:rsidRPr="000C60E1">
        <w:rPr>
          <w:rFonts w:cs="Arial"/>
        </w:rPr>
        <w:t xml:space="preserve"> 3 (8)(b) and (c) of Schedule C</w:t>
      </w:r>
    </w:p>
    <w:p w14:paraId="1B0E4427" w14:textId="77777777" w:rsidR="00A41CAC" w:rsidRPr="000C60E1" w:rsidRDefault="00A41CAC" w:rsidP="00A47B50">
      <w:pPr>
        <w:numPr>
          <w:ilvl w:val="0"/>
          <w:numId w:val="22"/>
        </w:numPr>
        <w:shd w:val="clear" w:color="auto" w:fill="D9D9D9"/>
        <w:rPr>
          <w:rFonts w:cs="Arial"/>
        </w:rPr>
      </w:pPr>
      <w:r w:rsidRPr="000C60E1">
        <w:rPr>
          <w:rFonts w:cs="Arial"/>
        </w:rPr>
        <w:t>Table 1 of Schedule C, Report Section 5. Ecological Risk Assessment</w:t>
      </w:r>
    </w:p>
    <w:p w14:paraId="0D593B9A" w14:textId="63571662" w:rsidR="00EC05BF" w:rsidRPr="000C60E1" w:rsidRDefault="00B736F9" w:rsidP="00840964">
      <w:pPr>
        <w:rPr>
          <w:rFonts w:cs="Arial"/>
        </w:rPr>
      </w:pPr>
      <w:r w:rsidRPr="000C60E1">
        <w:rPr>
          <w:rFonts w:cs="Arial"/>
        </w:rPr>
        <w:t xml:space="preserve">Potential receptor populations for the proposed property use must be identified along with all associated potential exposure routes and pathways. For each of the sources of COCs for the RA property, the </w:t>
      </w:r>
      <w:r w:rsidR="000767FF" w:rsidRPr="000C60E1">
        <w:rPr>
          <w:rFonts w:cs="Arial"/>
        </w:rPr>
        <w:t>QP</w:t>
      </w:r>
      <w:r w:rsidR="000767FF" w:rsidRPr="000C60E1">
        <w:rPr>
          <w:rFonts w:cs="Arial"/>
          <w:vertAlign w:val="subscript"/>
        </w:rPr>
        <w:t>RA</w:t>
      </w:r>
      <w:r w:rsidRPr="000C60E1">
        <w:rPr>
          <w:rFonts w:cs="Arial"/>
        </w:rPr>
        <w:t xml:space="preserve"> must ensure that the </w:t>
      </w:r>
      <w:r w:rsidR="00A91142" w:rsidRPr="000C60E1">
        <w:rPr>
          <w:rFonts w:cs="Arial"/>
        </w:rPr>
        <w:t>conceptual site model</w:t>
      </w:r>
      <w:r w:rsidRPr="000C60E1">
        <w:rPr>
          <w:rFonts w:cs="Arial"/>
        </w:rPr>
        <w:t xml:space="preserve"> identifies</w:t>
      </w:r>
      <w:r w:rsidR="00C232CC" w:rsidRPr="000C60E1">
        <w:rPr>
          <w:rFonts w:cs="Arial"/>
        </w:rPr>
        <w:t>:</w:t>
      </w:r>
      <w:r w:rsidRPr="000C60E1">
        <w:rPr>
          <w:rFonts w:cs="Arial"/>
        </w:rPr>
        <w:t xml:space="preserve"> 1) the release me</w:t>
      </w:r>
      <w:r w:rsidR="00E62AC3" w:rsidRPr="000C60E1">
        <w:rPr>
          <w:rFonts w:cs="Arial"/>
        </w:rPr>
        <w:t>chanisms and transport pathways and</w:t>
      </w:r>
      <w:r w:rsidRPr="000C60E1">
        <w:rPr>
          <w:rFonts w:cs="Arial"/>
        </w:rPr>
        <w:t xml:space="preserve"> 2) all </w:t>
      </w:r>
      <w:r w:rsidR="00717FDF" w:rsidRPr="000C60E1">
        <w:rPr>
          <w:rFonts w:cs="Arial"/>
        </w:rPr>
        <w:t xml:space="preserve">VECs </w:t>
      </w:r>
      <w:r w:rsidRPr="000C60E1">
        <w:rPr>
          <w:rFonts w:cs="Arial"/>
        </w:rPr>
        <w:t>located both on and off the RA property, as well as exposure points and routes of exposure.</w:t>
      </w:r>
    </w:p>
    <w:p w14:paraId="33503599" w14:textId="785351F4" w:rsidR="009D29C2" w:rsidRPr="000C60E1" w:rsidRDefault="009D29C2" w:rsidP="009D29C2">
      <w:pPr>
        <w:rPr>
          <w:rFonts w:cs="Arial"/>
        </w:rPr>
      </w:pPr>
      <w:r w:rsidRPr="000C60E1">
        <w:rPr>
          <w:rFonts w:cs="Arial"/>
        </w:rPr>
        <w:t>The QP</w:t>
      </w:r>
      <w:r w:rsidRPr="000C60E1">
        <w:rPr>
          <w:rFonts w:cs="Arial"/>
          <w:vertAlign w:val="subscript"/>
        </w:rPr>
        <w:t>RA</w:t>
      </w:r>
      <w:r w:rsidRPr="000C60E1">
        <w:rPr>
          <w:rFonts w:cs="Arial"/>
        </w:rPr>
        <w:t xml:space="preserve"> should consider receptors for the ERA including but not limited to terrestrial plants, terrestrial animals and soil dwelling organisms, aquatic species that could be affected through surface water or groundwater discharging to surface water and avian species that may be affected by contamination at the RA property. The CCME document “A Framework for </w:t>
      </w:r>
      <w:r w:rsidRPr="000C60E1">
        <w:rPr>
          <w:rFonts w:cs="Arial"/>
        </w:rPr>
        <w:lastRenderedPageBreak/>
        <w:t>Ecological Risk Assessment: General Guidance” (</w:t>
      </w:r>
      <w:r w:rsidR="00BB46A8" w:rsidRPr="000C60E1">
        <w:rPr>
          <w:rFonts w:cs="Arial"/>
        </w:rPr>
        <w:t>CCME</w:t>
      </w:r>
      <w:r w:rsidRPr="000C60E1">
        <w:rPr>
          <w:rFonts w:cs="Arial"/>
        </w:rPr>
        <w:t xml:space="preserve"> 1996) provides the following guidance for identification of VECs</w:t>
      </w:r>
      <w:r w:rsidR="00780F28" w:rsidRPr="000C60E1">
        <w:rPr>
          <w:rFonts w:cs="Arial"/>
        </w:rPr>
        <w:t>:</w:t>
      </w:r>
    </w:p>
    <w:p w14:paraId="27250055" w14:textId="77777777" w:rsidR="009D29C2" w:rsidRPr="000C60E1" w:rsidRDefault="009D29C2" w:rsidP="00BB46A8">
      <w:pPr>
        <w:ind w:left="360"/>
        <w:rPr>
          <w:rFonts w:cs="Arial"/>
        </w:rPr>
      </w:pPr>
      <w:r w:rsidRPr="000C60E1">
        <w:rPr>
          <w:rFonts w:cs="Arial"/>
        </w:rPr>
        <w:t>“VECs are resources or environmental features that:</w:t>
      </w:r>
    </w:p>
    <w:p w14:paraId="518A76DF" w14:textId="77777777" w:rsidR="009D29C2" w:rsidRPr="000C60E1" w:rsidRDefault="009D29C2" w:rsidP="000E72E5">
      <w:pPr>
        <w:pStyle w:val="ListBullet2"/>
        <w:rPr>
          <w:rFonts w:cs="Arial"/>
        </w:rPr>
      </w:pPr>
      <w:r w:rsidRPr="000C60E1">
        <w:rPr>
          <w:rFonts w:cs="Arial"/>
        </w:rPr>
        <w:t>Are important to human populations,</w:t>
      </w:r>
    </w:p>
    <w:p w14:paraId="47FF397B" w14:textId="77777777" w:rsidR="009D29C2" w:rsidRPr="000C60E1" w:rsidRDefault="009D29C2" w:rsidP="000E72E5">
      <w:pPr>
        <w:pStyle w:val="ListBullet2"/>
        <w:rPr>
          <w:rFonts w:cs="Arial"/>
        </w:rPr>
      </w:pPr>
      <w:r w:rsidRPr="000C60E1">
        <w:rPr>
          <w:rFonts w:cs="Arial"/>
        </w:rPr>
        <w:t>Have economic and/or social significance,</w:t>
      </w:r>
    </w:p>
    <w:p w14:paraId="254CEFD0" w14:textId="77777777" w:rsidR="009D29C2" w:rsidRPr="000C60E1" w:rsidRDefault="009D29C2" w:rsidP="000E72E5">
      <w:pPr>
        <w:pStyle w:val="ListBullet2"/>
        <w:rPr>
          <w:rFonts w:cs="Arial"/>
        </w:rPr>
      </w:pPr>
      <w:r w:rsidRPr="000C60E1">
        <w:rPr>
          <w:rFonts w:cs="Arial"/>
        </w:rPr>
        <w:t>Have intrinsic ecological significance,</w:t>
      </w:r>
    </w:p>
    <w:p w14:paraId="1398C705" w14:textId="77777777" w:rsidR="009D29C2" w:rsidRPr="000C60E1" w:rsidRDefault="009D29C2" w:rsidP="000E72E5">
      <w:pPr>
        <w:pStyle w:val="ListBullet2"/>
        <w:rPr>
          <w:rFonts w:cs="Arial"/>
        </w:rPr>
      </w:pPr>
      <w:r w:rsidRPr="000C60E1">
        <w:rPr>
          <w:rFonts w:cs="Arial"/>
        </w:rPr>
        <w:t>Serve as a baseline from which the impacts of development can be evaluated, including changes in management or regulatory policies.”</w:t>
      </w:r>
    </w:p>
    <w:p w14:paraId="6717D717" w14:textId="2F7BE7F7" w:rsidR="009D29C2" w:rsidRPr="000C60E1" w:rsidRDefault="009D29C2" w:rsidP="009D29C2">
      <w:pPr>
        <w:rPr>
          <w:rFonts w:cs="Arial"/>
        </w:rPr>
      </w:pPr>
      <w:r w:rsidRPr="000C60E1">
        <w:rPr>
          <w:rFonts w:cs="Arial"/>
        </w:rPr>
        <w:t xml:space="preserve">For the purpose of the Regulation, potential receptors on and off site should be evaluated as VECs on the basis of importance or significance </w:t>
      </w:r>
      <w:r w:rsidR="00780F28" w:rsidRPr="000C60E1">
        <w:rPr>
          <w:rFonts w:cs="Arial"/>
        </w:rPr>
        <w:t>to future site users, including</w:t>
      </w:r>
      <w:r w:rsidRPr="000C60E1">
        <w:rPr>
          <w:rFonts w:cs="Arial"/>
        </w:rPr>
        <w:t xml:space="preserve"> individual property owne</w:t>
      </w:r>
      <w:r w:rsidR="00780F28" w:rsidRPr="000C60E1">
        <w:rPr>
          <w:rFonts w:cs="Arial"/>
        </w:rPr>
        <w:t>rs</w:t>
      </w:r>
      <w:r w:rsidRPr="000C60E1">
        <w:rPr>
          <w:rFonts w:cs="Arial"/>
        </w:rPr>
        <w:t xml:space="preserve">. </w:t>
      </w:r>
      <w:r w:rsidR="00780F28" w:rsidRPr="000C60E1">
        <w:rPr>
          <w:rFonts w:cs="Arial"/>
        </w:rPr>
        <w:t>For example, t</w:t>
      </w:r>
      <w:r w:rsidRPr="000C60E1">
        <w:rPr>
          <w:rFonts w:cs="Arial"/>
        </w:rPr>
        <w:t xml:space="preserve">he ability to provide a lawn or ornamental garden may be economically or socially significant to an individual property owner, </w:t>
      </w:r>
      <w:r w:rsidR="00780F28" w:rsidRPr="000C60E1">
        <w:rPr>
          <w:rFonts w:cs="Arial"/>
        </w:rPr>
        <w:t xml:space="preserve">regardless of </w:t>
      </w:r>
      <w:r w:rsidRPr="000C60E1">
        <w:rPr>
          <w:rFonts w:cs="Arial"/>
        </w:rPr>
        <w:t>whether or not it is significant at a regional or provincial level.</w:t>
      </w:r>
    </w:p>
    <w:p w14:paraId="18A38A1D" w14:textId="7C716B43" w:rsidR="00B736F9" w:rsidRPr="000C60E1" w:rsidRDefault="009D29C2" w:rsidP="00840964">
      <w:pPr>
        <w:rPr>
          <w:rFonts w:cs="Arial"/>
        </w:rPr>
      </w:pPr>
      <w:r w:rsidRPr="000C60E1">
        <w:rPr>
          <w:rFonts w:cs="Arial"/>
        </w:rPr>
        <w:t>As noted above, e</w:t>
      </w:r>
      <w:r w:rsidR="00B736F9" w:rsidRPr="000C60E1">
        <w:rPr>
          <w:rFonts w:cs="Arial"/>
        </w:rPr>
        <w:t xml:space="preserve">cological receptors may be described as a group rather than individual species </w:t>
      </w:r>
      <w:r w:rsidR="00B70086" w:rsidRPr="000C60E1">
        <w:rPr>
          <w:rFonts w:cs="Arial"/>
        </w:rPr>
        <w:t>where appropriate. For example, “garden vegetables” may be identified as a</w:t>
      </w:r>
      <w:r w:rsidR="00717FDF" w:rsidRPr="000C60E1">
        <w:rPr>
          <w:rFonts w:cs="Arial"/>
        </w:rPr>
        <w:t xml:space="preserve"> VEC</w:t>
      </w:r>
      <w:r w:rsidR="00B70086" w:rsidRPr="000C60E1">
        <w:rPr>
          <w:rFonts w:cs="Arial"/>
        </w:rPr>
        <w:t xml:space="preserve"> group, rather than listing individual vegetables. It is appropriate, however, to list individual species </w:t>
      </w:r>
      <w:r w:rsidR="00717FDF" w:rsidRPr="000C60E1">
        <w:rPr>
          <w:rFonts w:cs="Arial"/>
        </w:rPr>
        <w:t xml:space="preserve">as VECs </w:t>
      </w:r>
      <w:r w:rsidR="00B70086" w:rsidRPr="000C60E1">
        <w:rPr>
          <w:rFonts w:cs="Arial"/>
        </w:rPr>
        <w:t xml:space="preserve">where these species are the basis for designation of an </w:t>
      </w:r>
      <w:r w:rsidR="00461226" w:rsidRPr="000C60E1">
        <w:rPr>
          <w:rFonts w:cs="Arial"/>
        </w:rPr>
        <w:t>e</w:t>
      </w:r>
      <w:r w:rsidR="00B70086" w:rsidRPr="000C60E1">
        <w:rPr>
          <w:rFonts w:cs="Arial"/>
        </w:rPr>
        <w:t xml:space="preserve">nvironmentally </w:t>
      </w:r>
      <w:r w:rsidR="00461226" w:rsidRPr="000C60E1">
        <w:rPr>
          <w:rFonts w:cs="Arial"/>
        </w:rPr>
        <w:t>s</w:t>
      </w:r>
      <w:r w:rsidR="00B70086" w:rsidRPr="000C60E1">
        <w:rPr>
          <w:rFonts w:cs="Arial"/>
        </w:rPr>
        <w:t xml:space="preserve">ensitive </w:t>
      </w:r>
      <w:r w:rsidR="00461226" w:rsidRPr="000C60E1">
        <w:rPr>
          <w:rFonts w:cs="Arial"/>
        </w:rPr>
        <w:t>a</w:t>
      </w:r>
      <w:r w:rsidR="00B70086" w:rsidRPr="000C60E1">
        <w:rPr>
          <w:rFonts w:cs="Arial"/>
        </w:rPr>
        <w:t xml:space="preserve">rea under section 41 of the </w:t>
      </w:r>
      <w:r w:rsidR="000B5992" w:rsidRPr="000C60E1">
        <w:rPr>
          <w:rFonts w:cs="Arial"/>
        </w:rPr>
        <w:t>R</w:t>
      </w:r>
      <w:r w:rsidR="00B70086" w:rsidRPr="000C60E1">
        <w:rPr>
          <w:rFonts w:cs="Arial"/>
        </w:rPr>
        <w:t>egulation.</w:t>
      </w:r>
    </w:p>
    <w:p w14:paraId="54F63E92" w14:textId="262CDF81" w:rsidR="00B736F9" w:rsidRPr="000C60E1" w:rsidRDefault="00B736F9" w:rsidP="00840964">
      <w:pPr>
        <w:rPr>
          <w:rFonts w:cs="Arial"/>
        </w:rPr>
      </w:pPr>
      <w:r w:rsidRPr="000C60E1">
        <w:rPr>
          <w:rFonts w:cs="Arial"/>
        </w:rPr>
        <w:t>The ecological conceptual site model must identify potential exposure pathways for those receptors based on physical/chemical characteristics of the COCs and geological characteristics of the site as identified in the subsurface transport component of the conceptual site model in Report Section 3.</w:t>
      </w:r>
    </w:p>
    <w:p w14:paraId="05CB3E2F" w14:textId="77777777" w:rsidR="00B736F9" w:rsidRPr="000C60E1" w:rsidRDefault="00B736F9" w:rsidP="00840964">
      <w:pPr>
        <w:rPr>
          <w:rFonts w:cs="Arial"/>
        </w:rPr>
      </w:pPr>
      <w:r w:rsidRPr="000C60E1">
        <w:rPr>
          <w:rFonts w:cs="Arial"/>
        </w:rPr>
        <w:t>The ecological conceptual site model must clearly distinguish between pathways which are naturally incomplete and those which may be rendered incomplete through risk management measures.</w:t>
      </w:r>
    </w:p>
    <w:p w14:paraId="611D4E10" w14:textId="22871C93" w:rsidR="00B736F9" w:rsidRPr="000C60E1" w:rsidRDefault="00B736F9" w:rsidP="00840964">
      <w:pPr>
        <w:rPr>
          <w:rFonts w:cs="Arial"/>
        </w:rPr>
      </w:pPr>
      <w:r w:rsidRPr="000C60E1">
        <w:rPr>
          <w:rFonts w:cs="Arial"/>
        </w:rPr>
        <w:t xml:space="preserve">For each applicable receptor, </w:t>
      </w:r>
      <w:r w:rsidR="00EC05BF" w:rsidRPr="000C60E1">
        <w:rPr>
          <w:rFonts w:cs="Arial"/>
        </w:rPr>
        <w:t xml:space="preserve">the </w:t>
      </w:r>
      <w:r w:rsidR="00B24C01" w:rsidRPr="000C60E1">
        <w:rPr>
          <w:rFonts w:cs="Arial"/>
        </w:rPr>
        <w:t>risk assessment</w:t>
      </w:r>
      <w:r w:rsidR="00EC05BF" w:rsidRPr="000C60E1">
        <w:rPr>
          <w:rFonts w:cs="Arial"/>
        </w:rPr>
        <w:t xml:space="preserve"> team should </w:t>
      </w:r>
      <w:r w:rsidRPr="000C60E1">
        <w:rPr>
          <w:rFonts w:cs="Arial"/>
        </w:rPr>
        <w:t>identify all potential on-site and off-site exposure pathways (</w:t>
      </w:r>
      <w:r w:rsidR="008A792B" w:rsidRPr="000C60E1">
        <w:rPr>
          <w:rFonts w:cs="Arial"/>
        </w:rPr>
        <w:t>e.g.</w:t>
      </w:r>
      <w:r w:rsidRPr="000C60E1">
        <w:rPr>
          <w:rFonts w:cs="Arial"/>
        </w:rPr>
        <w:t xml:space="preserve"> soil ingestion) based on the characteristics and anticipated activities of th</w:t>
      </w:r>
      <w:r w:rsidR="00717FDF" w:rsidRPr="000C60E1">
        <w:rPr>
          <w:rFonts w:cs="Arial"/>
        </w:rPr>
        <w:t>e VECs</w:t>
      </w:r>
      <w:r w:rsidRPr="000C60E1">
        <w:rPr>
          <w:rFonts w:cs="Arial"/>
        </w:rPr>
        <w:t xml:space="preserve"> and the expected mobility of the COCs under the geological conditions present at the site. For each receptor and exposure pathway, </w:t>
      </w:r>
      <w:r w:rsidR="00EC05BF" w:rsidRPr="000C60E1">
        <w:rPr>
          <w:rFonts w:cs="Arial"/>
        </w:rPr>
        <w:t xml:space="preserve">the </w:t>
      </w:r>
      <w:r w:rsidR="00B24C01" w:rsidRPr="000C60E1">
        <w:rPr>
          <w:rFonts w:cs="Arial"/>
        </w:rPr>
        <w:t xml:space="preserve">risk assessment </w:t>
      </w:r>
      <w:r w:rsidR="00717FDF" w:rsidRPr="000C60E1">
        <w:rPr>
          <w:rFonts w:cs="Arial"/>
        </w:rPr>
        <w:t>t</w:t>
      </w:r>
      <w:r w:rsidR="00EC05BF" w:rsidRPr="000C60E1">
        <w:rPr>
          <w:rFonts w:cs="Arial"/>
        </w:rPr>
        <w:t xml:space="preserve">eam should </w:t>
      </w:r>
      <w:r w:rsidRPr="000C60E1">
        <w:rPr>
          <w:rFonts w:cs="Arial"/>
        </w:rPr>
        <w:t xml:space="preserve">indicate further if a man-made barrier or measure to interrupt this pathway is present or anticipated. </w:t>
      </w:r>
    </w:p>
    <w:p w14:paraId="3C48B678" w14:textId="66F17AEF" w:rsidR="00B736F9" w:rsidRPr="000C60E1" w:rsidRDefault="00B736F9" w:rsidP="00840964">
      <w:pPr>
        <w:rPr>
          <w:rFonts w:cs="Arial"/>
        </w:rPr>
      </w:pPr>
      <w:r w:rsidRPr="000C60E1">
        <w:rPr>
          <w:rFonts w:cs="Arial"/>
        </w:rPr>
        <w:t xml:space="preserve">Any exposure pathways which can be anticipated based on chemical properties and site geology should be included in the risk assessment. Elimination of these pathways from assessment will require justification in the form of pathway-specific site assessment evidence. Pathways which can be anticipated but which will be mitigated by a barrier or other measure </w:t>
      </w:r>
      <w:r w:rsidR="00461226" w:rsidRPr="000C60E1">
        <w:rPr>
          <w:rFonts w:cs="Arial"/>
        </w:rPr>
        <w:t xml:space="preserve">must </w:t>
      </w:r>
      <w:r w:rsidRPr="000C60E1">
        <w:rPr>
          <w:rFonts w:cs="Arial"/>
        </w:rPr>
        <w:t>be included</w:t>
      </w:r>
      <w:r w:rsidR="00EC05BF" w:rsidRPr="000C60E1">
        <w:rPr>
          <w:rFonts w:cs="Arial"/>
        </w:rPr>
        <w:t xml:space="preserve"> for the assessment of risk level. The barrier or other measures </w:t>
      </w:r>
      <w:r w:rsidR="00461226" w:rsidRPr="000C60E1">
        <w:rPr>
          <w:rFonts w:cs="Arial"/>
        </w:rPr>
        <w:t xml:space="preserve">can then </w:t>
      </w:r>
      <w:r w:rsidR="00EC05BF" w:rsidRPr="000C60E1">
        <w:rPr>
          <w:rFonts w:cs="Arial"/>
        </w:rPr>
        <w:t>be identified</w:t>
      </w:r>
      <w:r w:rsidRPr="000C60E1">
        <w:rPr>
          <w:rFonts w:cs="Arial"/>
        </w:rPr>
        <w:t xml:space="preserve"> as risk management measures in the development of property</w:t>
      </w:r>
      <w:r w:rsidR="001D2F59" w:rsidRPr="000C60E1">
        <w:rPr>
          <w:rFonts w:cs="Arial"/>
        </w:rPr>
        <w:t xml:space="preserve"> </w:t>
      </w:r>
      <w:r w:rsidRPr="000C60E1">
        <w:rPr>
          <w:rFonts w:cs="Arial"/>
        </w:rPr>
        <w:t xml:space="preserve">specific </w:t>
      </w:r>
      <w:r w:rsidR="00461226" w:rsidRPr="000C60E1">
        <w:rPr>
          <w:rFonts w:cs="Arial"/>
        </w:rPr>
        <w:t>standards</w:t>
      </w:r>
      <w:r w:rsidRPr="000C60E1">
        <w:rPr>
          <w:rFonts w:cs="Arial"/>
        </w:rPr>
        <w:t>.</w:t>
      </w:r>
    </w:p>
    <w:p w14:paraId="4C8D00B2" w14:textId="080A1F33" w:rsidR="00B736F9" w:rsidRPr="000C60E1" w:rsidRDefault="00B736F9" w:rsidP="00DE496B">
      <w:pPr>
        <w:pStyle w:val="Heading3"/>
        <w:rPr>
          <w:rFonts w:cs="Arial"/>
        </w:rPr>
      </w:pPr>
      <w:bookmarkStart w:id="264" w:name="_Toc91393573"/>
      <w:bookmarkStart w:id="265" w:name="_Toc112727436"/>
      <w:bookmarkStart w:id="266" w:name="_Toc41905712"/>
      <w:r w:rsidRPr="000C60E1">
        <w:rPr>
          <w:rFonts w:cs="Arial"/>
        </w:rPr>
        <w:lastRenderedPageBreak/>
        <w:t>Risk Assessment Objectives</w:t>
      </w:r>
      <w:bookmarkEnd w:id="264"/>
      <w:bookmarkEnd w:id="265"/>
      <w:bookmarkEnd w:id="266"/>
    </w:p>
    <w:p w14:paraId="5860841B" w14:textId="59061098" w:rsidR="00B736F9" w:rsidRPr="000C60E1" w:rsidRDefault="00B736F9" w:rsidP="00840964">
      <w:pPr>
        <w:rPr>
          <w:rFonts w:cs="Arial"/>
        </w:rPr>
      </w:pPr>
      <w:r w:rsidRPr="000C60E1">
        <w:rPr>
          <w:rFonts w:cs="Arial"/>
        </w:rPr>
        <w:t xml:space="preserve">As is the case for HHRA, the </w:t>
      </w:r>
      <w:r w:rsidR="000767FF" w:rsidRPr="000C60E1">
        <w:rPr>
          <w:rFonts w:cs="Arial"/>
        </w:rPr>
        <w:t>QP</w:t>
      </w:r>
      <w:r w:rsidR="000767FF" w:rsidRPr="000C60E1">
        <w:rPr>
          <w:rFonts w:cs="Arial"/>
          <w:vertAlign w:val="subscript"/>
        </w:rPr>
        <w:t>RA</w:t>
      </w:r>
      <w:r w:rsidRPr="000C60E1">
        <w:rPr>
          <w:rFonts w:cs="Arial"/>
        </w:rPr>
        <w:t xml:space="preserve"> must provide risk assessment objectives </w:t>
      </w:r>
      <w:r w:rsidR="0055166E" w:rsidRPr="000C60E1">
        <w:rPr>
          <w:rFonts w:cs="Arial"/>
        </w:rPr>
        <w:t xml:space="preserve">which describe the approach to studying the potential contamination problem </w:t>
      </w:r>
      <w:r w:rsidRPr="000C60E1">
        <w:rPr>
          <w:rFonts w:cs="Arial"/>
        </w:rPr>
        <w:t xml:space="preserve">(refer to Section </w:t>
      </w:r>
      <w:r w:rsidR="008E72B7" w:rsidRPr="000C60E1">
        <w:rPr>
          <w:rFonts w:cs="Arial"/>
        </w:rPr>
        <w:t>4</w:t>
      </w:r>
      <w:r w:rsidRPr="000C60E1">
        <w:rPr>
          <w:rFonts w:cs="Arial"/>
        </w:rPr>
        <w:t>.2 of this Procedure</w:t>
      </w:r>
      <w:r w:rsidR="00292E15" w:rsidRPr="000C60E1">
        <w:rPr>
          <w:rFonts w:cs="Arial"/>
        </w:rPr>
        <w:t>s</w:t>
      </w:r>
      <w:r w:rsidRPr="000C60E1">
        <w:rPr>
          <w:rFonts w:cs="Arial"/>
        </w:rPr>
        <w:t xml:space="preserve"> document)</w:t>
      </w:r>
      <w:r w:rsidR="0055166E" w:rsidRPr="000C60E1">
        <w:rPr>
          <w:rFonts w:cs="Arial"/>
        </w:rPr>
        <w:t xml:space="preserve"> with reference to the </w:t>
      </w:r>
      <w:r w:rsidR="00765B29" w:rsidRPr="000C60E1">
        <w:rPr>
          <w:rFonts w:cs="Arial"/>
        </w:rPr>
        <w:t>ecological</w:t>
      </w:r>
      <w:r w:rsidR="0055166E" w:rsidRPr="000C60E1">
        <w:rPr>
          <w:rFonts w:cs="Arial"/>
        </w:rPr>
        <w:t xml:space="preserve"> conceptual site model (Section </w:t>
      </w:r>
      <w:r w:rsidR="008E72B7" w:rsidRPr="000C60E1">
        <w:rPr>
          <w:rFonts w:cs="Arial"/>
        </w:rPr>
        <w:t>7</w:t>
      </w:r>
      <w:r w:rsidR="0055166E" w:rsidRPr="000C60E1">
        <w:rPr>
          <w:rFonts w:cs="Arial"/>
        </w:rPr>
        <w:t xml:space="preserve">.2.1) </w:t>
      </w:r>
      <w:r w:rsidRPr="000C60E1">
        <w:rPr>
          <w:rFonts w:cs="Arial"/>
        </w:rPr>
        <w:t xml:space="preserve">and demonstrate that data used in the ERA are sufficient to meet those objectives. It is important to state whether the </w:t>
      </w:r>
      <w:r w:rsidR="006C4301" w:rsidRPr="000C60E1">
        <w:rPr>
          <w:rFonts w:cs="Arial"/>
        </w:rPr>
        <w:t>risk assessment</w:t>
      </w:r>
      <w:r w:rsidRPr="000C60E1">
        <w:rPr>
          <w:rFonts w:cs="Arial"/>
        </w:rPr>
        <w:t xml:space="preserve"> is a qualitative or quantitative assessment of risk and the type of approach used for the ERA.</w:t>
      </w:r>
    </w:p>
    <w:p w14:paraId="09B8D8AD" w14:textId="77777777" w:rsidR="00B736F9" w:rsidRPr="000C60E1" w:rsidRDefault="00B736F9" w:rsidP="0036088A">
      <w:pPr>
        <w:rPr>
          <w:rFonts w:cs="Arial"/>
        </w:rPr>
      </w:pPr>
      <w:r w:rsidRPr="000C60E1">
        <w:rPr>
          <w:rFonts w:cs="Arial"/>
        </w:rPr>
        <w:t>Examples of ERA Objective Statements would be;</w:t>
      </w:r>
    </w:p>
    <w:p w14:paraId="135D28A9" w14:textId="743FC3A3" w:rsidR="00C13520" w:rsidRPr="000C60E1" w:rsidRDefault="00C13520" w:rsidP="00FF0580">
      <w:pPr>
        <w:ind w:left="1440" w:hanging="1440"/>
        <w:rPr>
          <w:rFonts w:cs="Arial"/>
        </w:rPr>
      </w:pPr>
      <w:r w:rsidRPr="000C60E1">
        <w:rPr>
          <w:rFonts w:cs="Arial"/>
        </w:rPr>
        <w:t>Example 1:</w:t>
      </w:r>
      <w:r w:rsidR="00FF0580" w:rsidRPr="000C60E1">
        <w:rPr>
          <w:rFonts w:cs="Arial"/>
        </w:rPr>
        <w:tab/>
      </w:r>
      <w:r w:rsidR="00B736F9" w:rsidRPr="000C60E1">
        <w:rPr>
          <w:rFonts w:cs="Arial"/>
        </w:rPr>
        <w:t>“</w:t>
      </w:r>
      <w:r w:rsidRPr="000C60E1">
        <w:rPr>
          <w:rFonts w:cs="Arial"/>
        </w:rPr>
        <w:t xml:space="preserve">The objective of the ERA is to provide a qualitative demonstration that the </w:t>
      </w:r>
      <w:r w:rsidR="00581D44" w:rsidRPr="000C60E1">
        <w:rPr>
          <w:rFonts w:cs="Arial"/>
        </w:rPr>
        <w:t xml:space="preserve">Ministry </w:t>
      </w:r>
      <w:r w:rsidR="00D514EF" w:rsidRPr="000C60E1">
        <w:rPr>
          <w:rFonts w:cs="Arial"/>
        </w:rPr>
        <w:t xml:space="preserve">component values used in the development of the </w:t>
      </w:r>
      <w:r w:rsidRPr="000C60E1">
        <w:rPr>
          <w:rFonts w:cs="Arial"/>
        </w:rPr>
        <w:t xml:space="preserve">Table </w:t>
      </w:r>
      <w:r w:rsidR="00D514EF" w:rsidRPr="000C60E1">
        <w:rPr>
          <w:rFonts w:cs="Arial"/>
        </w:rPr>
        <w:t xml:space="preserve">8 </w:t>
      </w:r>
      <w:r w:rsidR="00C739D6" w:rsidRPr="000C60E1">
        <w:rPr>
          <w:rFonts w:cs="Arial"/>
        </w:rPr>
        <w:t>site condition standards</w:t>
      </w:r>
      <w:r w:rsidRPr="000C60E1">
        <w:rPr>
          <w:rFonts w:cs="Arial"/>
        </w:rPr>
        <w:t xml:space="preserve"> are appropriate to protect ecological receptors at this site using a </w:t>
      </w:r>
      <w:r w:rsidR="00D514EF" w:rsidRPr="000C60E1">
        <w:rPr>
          <w:rFonts w:cs="Arial"/>
        </w:rPr>
        <w:t xml:space="preserve">screening level </w:t>
      </w:r>
      <w:r w:rsidRPr="000C60E1">
        <w:rPr>
          <w:rFonts w:cs="Arial"/>
        </w:rPr>
        <w:t xml:space="preserve">approach. The site is located in an Environmentally Sensitive Area according to </w:t>
      </w:r>
      <w:r w:rsidR="00581D44" w:rsidRPr="000C60E1">
        <w:rPr>
          <w:rFonts w:cs="Arial"/>
        </w:rPr>
        <w:t>s</w:t>
      </w:r>
      <w:r w:rsidRPr="000C60E1">
        <w:rPr>
          <w:rFonts w:cs="Arial"/>
        </w:rPr>
        <w:t xml:space="preserve">ection 41 of Ontario Regulation 153/04 </w:t>
      </w:r>
      <w:r w:rsidR="00D514EF" w:rsidRPr="000C60E1">
        <w:rPr>
          <w:rFonts w:cs="Arial"/>
        </w:rPr>
        <w:t>as it is located within an area of natural significance. The site also includes a water body</w:t>
      </w:r>
      <w:r w:rsidRPr="000C60E1">
        <w:rPr>
          <w:rFonts w:cs="Arial"/>
        </w:rPr>
        <w:t xml:space="preserve">. The </w:t>
      </w:r>
      <w:r w:rsidRPr="002A75F2">
        <w:rPr>
          <w:rFonts w:cs="Arial"/>
        </w:rPr>
        <w:t xml:space="preserve">proposed </w:t>
      </w:r>
      <w:r w:rsidR="007B414E" w:rsidRPr="002A75F2">
        <w:rPr>
          <w:rFonts w:cs="Arial"/>
        </w:rPr>
        <w:t>property</w:t>
      </w:r>
      <w:r w:rsidRPr="002A75F2">
        <w:rPr>
          <w:rFonts w:cs="Arial"/>
        </w:rPr>
        <w:t xml:space="preserve"> use is</w:t>
      </w:r>
      <w:r w:rsidRPr="000C60E1">
        <w:rPr>
          <w:rFonts w:cs="Arial"/>
        </w:rPr>
        <w:t xml:space="preserve"> residential</w:t>
      </w:r>
      <w:r w:rsidR="00D514EF" w:rsidRPr="000C60E1">
        <w:rPr>
          <w:rFonts w:cs="Arial"/>
        </w:rPr>
        <w:t xml:space="preserve"> and parkland,</w:t>
      </w:r>
      <w:r w:rsidRPr="000C60E1">
        <w:rPr>
          <w:rFonts w:cs="Arial"/>
        </w:rPr>
        <w:t xml:space="preserve"> in an urban setting. The valued ecosystem component to be protected is a stream habitat within the property boundary.</w:t>
      </w:r>
    </w:p>
    <w:p w14:paraId="77ED9DA1" w14:textId="4D413B80" w:rsidR="00C13520" w:rsidRPr="000C60E1" w:rsidRDefault="00C13520" w:rsidP="00FF0580">
      <w:pPr>
        <w:ind w:left="1440"/>
        <w:rPr>
          <w:rFonts w:cs="Arial"/>
        </w:rPr>
      </w:pPr>
      <w:r w:rsidRPr="000C60E1">
        <w:rPr>
          <w:rFonts w:cs="Arial"/>
        </w:rPr>
        <w:t xml:space="preserve">On-site terrestrial habitat will be </w:t>
      </w:r>
      <w:r w:rsidR="00EC05BF" w:rsidRPr="000C60E1">
        <w:rPr>
          <w:rFonts w:cs="Arial"/>
        </w:rPr>
        <w:t xml:space="preserve">largely </w:t>
      </w:r>
      <w:r w:rsidRPr="000C60E1">
        <w:rPr>
          <w:rFonts w:cs="Arial"/>
        </w:rPr>
        <w:t xml:space="preserve">disturbed through paving and construction of underground parking facilities. The </w:t>
      </w:r>
      <w:r w:rsidR="00EC268E" w:rsidRPr="000C60E1">
        <w:rPr>
          <w:rFonts w:cs="Arial"/>
        </w:rPr>
        <w:t>Ministry</w:t>
      </w:r>
      <w:r w:rsidR="00D514EF" w:rsidRPr="000C60E1">
        <w:rPr>
          <w:rFonts w:cs="Arial"/>
        </w:rPr>
        <w:t xml:space="preserve"> component values used in the development of the </w:t>
      </w:r>
      <w:r w:rsidRPr="000C60E1">
        <w:rPr>
          <w:rFonts w:cs="Arial"/>
        </w:rPr>
        <w:t xml:space="preserve">Table </w:t>
      </w:r>
      <w:r w:rsidR="00D514EF" w:rsidRPr="000C60E1">
        <w:rPr>
          <w:rFonts w:cs="Arial"/>
        </w:rPr>
        <w:t xml:space="preserve">8 </w:t>
      </w:r>
      <w:r w:rsidR="00C739D6" w:rsidRPr="000C60E1">
        <w:rPr>
          <w:rFonts w:cs="Arial"/>
        </w:rPr>
        <w:t>site condition standards</w:t>
      </w:r>
      <w:r w:rsidRPr="000C60E1">
        <w:rPr>
          <w:rFonts w:cs="Arial"/>
        </w:rPr>
        <w:t xml:space="preserve"> will be protective of urban lawns and gardens in potential green spaces. </w:t>
      </w:r>
    </w:p>
    <w:p w14:paraId="71C51934" w14:textId="0DB00AE6" w:rsidR="00B736F9" w:rsidRPr="000C60E1" w:rsidRDefault="00C13520" w:rsidP="00FF0580">
      <w:pPr>
        <w:ind w:left="1440"/>
        <w:rPr>
          <w:rFonts w:cs="Arial"/>
        </w:rPr>
      </w:pPr>
      <w:r w:rsidRPr="000C60E1">
        <w:rPr>
          <w:rFonts w:cs="Arial"/>
        </w:rPr>
        <w:t>The pathway of concern in this ERA is migration of contaminants to the stream through the groundwater pathway and exposure to benthic and aquatic organisms. Receptors to be assessed in the stream will include fish, aquatic plants and benthic organisms. Due to the presence of fish spawning habitat in the immediate vicinity of the site, the assessment endpoint for fish VECs will be reproduction success; whereas growth and survival will be the targeted assessment endpoints for both the aquatic vegetation and benthic VECs</w:t>
      </w:r>
      <w:r w:rsidR="00B736F9" w:rsidRPr="000C60E1">
        <w:rPr>
          <w:rFonts w:cs="Arial"/>
        </w:rPr>
        <w:t>.”</w:t>
      </w:r>
    </w:p>
    <w:p w14:paraId="3164D980" w14:textId="2B401A25" w:rsidR="00C13520" w:rsidRPr="000C60E1" w:rsidRDefault="00C13520" w:rsidP="00FF0580">
      <w:pPr>
        <w:ind w:left="1440" w:hanging="1440"/>
        <w:rPr>
          <w:rFonts w:cs="Arial"/>
        </w:rPr>
      </w:pPr>
      <w:r w:rsidRPr="000C60E1">
        <w:rPr>
          <w:rFonts w:cs="Arial"/>
        </w:rPr>
        <w:t>Example 2:</w:t>
      </w:r>
      <w:r w:rsidR="00FF0580" w:rsidRPr="000C60E1">
        <w:rPr>
          <w:rFonts w:cs="Arial"/>
        </w:rPr>
        <w:tab/>
      </w:r>
      <w:r w:rsidR="00B736F9" w:rsidRPr="000C60E1">
        <w:rPr>
          <w:rFonts w:cs="Arial"/>
        </w:rPr>
        <w:t>“</w:t>
      </w:r>
      <w:r w:rsidRPr="000C60E1">
        <w:rPr>
          <w:rFonts w:cs="Arial"/>
        </w:rPr>
        <w:t xml:space="preserve">The objective of the ERA is to provide a quantitative evaluation of risk of 1,3,5-trinitro-1,3,5-triazine (RDX), a chemical for which there is no </w:t>
      </w:r>
      <w:r w:rsidR="00C739D6" w:rsidRPr="000C60E1">
        <w:rPr>
          <w:rFonts w:cs="Arial"/>
        </w:rPr>
        <w:t>site condition standards</w:t>
      </w:r>
      <w:r w:rsidRPr="000C60E1">
        <w:rPr>
          <w:rFonts w:cs="Arial"/>
        </w:rPr>
        <w:t>, and to propose an ecological risk-based Property Specific Standard using a New Science risk assessment approach. The proposed property use is for single family residential. There is no groundwater us</w:t>
      </w:r>
      <w:r w:rsidRPr="002A75F2">
        <w:rPr>
          <w:rFonts w:cs="Arial"/>
        </w:rPr>
        <w:t>e on</w:t>
      </w:r>
      <w:r w:rsidR="00CF4BD6" w:rsidRPr="002A75F2">
        <w:rPr>
          <w:rFonts w:cs="Arial"/>
        </w:rPr>
        <w:t>-</w:t>
      </w:r>
      <w:r w:rsidRPr="002A75F2">
        <w:rPr>
          <w:rFonts w:cs="Arial"/>
        </w:rPr>
        <w:t>site</w:t>
      </w:r>
      <w:r w:rsidRPr="000C60E1">
        <w:rPr>
          <w:rFonts w:cs="Arial"/>
        </w:rPr>
        <w:t>, drinking water is provided through a municipal water supply.</w:t>
      </w:r>
    </w:p>
    <w:p w14:paraId="04F8D5DA" w14:textId="77777777" w:rsidR="00C13520" w:rsidRPr="000C60E1" w:rsidRDefault="00C13520" w:rsidP="00FF0580">
      <w:pPr>
        <w:ind w:left="1440"/>
        <w:rPr>
          <w:rFonts w:cs="Arial"/>
        </w:rPr>
      </w:pPr>
      <w:r w:rsidRPr="000C60E1">
        <w:rPr>
          <w:rFonts w:cs="Arial"/>
        </w:rPr>
        <w:t>VEC</w:t>
      </w:r>
      <w:r w:rsidR="00EC268E" w:rsidRPr="000C60E1">
        <w:rPr>
          <w:rFonts w:cs="Arial"/>
        </w:rPr>
        <w:t>s</w:t>
      </w:r>
      <w:r w:rsidRPr="000C60E1">
        <w:rPr>
          <w:rFonts w:cs="Arial"/>
        </w:rPr>
        <w:t xml:space="preserve"> and exposure pathways to be evaluated include:</w:t>
      </w:r>
    </w:p>
    <w:p w14:paraId="5930B135" w14:textId="5537C632" w:rsidR="00C13520" w:rsidRPr="000C60E1" w:rsidRDefault="00C13520" w:rsidP="00FF174D">
      <w:pPr>
        <w:pStyle w:val="ListBullet5"/>
        <w:rPr>
          <w:rFonts w:cs="Arial"/>
        </w:rPr>
      </w:pPr>
      <w:r w:rsidRPr="000C60E1">
        <w:rPr>
          <w:rFonts w:cs="Arial"/>
        </w:rPr>
        <w:t>Soil uptake by ornamental plants and garden vegetable plants and direct soil contact exposure to soil invertebrates. VECs will include lawn grasses and earthworms;</w:t>
      </w:r>
    </w:p>
    <w:p w14:paraId="3C0B341E" w14:textId="57BB5450" w:rsidR="00FF174D" w:rsidRPr="000C60E1" w:rsidRDefault="00C13520" w:rsidP="00FF174D">
      <w:pPr>
        <w:pStyle w:val="ListBullet5"/>
        <w:rPr>
          <w:rFonts w:cs="Arial"/>
        </w:rPr>
      </w:pPr>
      <w:r w:rsidRPr="000C60E1">
        <w:rPr>
          <w:rFonts w:cs="Arial"/>
        </w:rPr>
        <w:t xml:space="preserve">Direct contact with soil, soil ingestion and inhalation exposure to terrestrial animals. VECs will include </w:t>
      </w:r>
      <w:r w:rsidR="00EC268E" w:rsidRPr="000C60E1">
        <w:rPr>
          <w:rFonts w:cs="Arial"/>
        </w:rPr>
        <w:t>small mammals</w:t>
      </w:r>
      <w:r w:rsidRPr="000C60E1">
        <w:rPr>
          <w:rFonts w:cs="Arial"/>
        </w:rPr>
        <w:t xml:space="preserve"> and song birds that frequent residential </w:t>
      </w:r>
      <w:proofErr w:type="spellStart"/>
      <w:r w:rsidRPr="000C60E1">
        <w:rPr>
          <w:rFonts w:cs="Arial"/>
        </w:rPr>
        <w:t>neighbourhoods</w:t>
      </w:r>
      <w:proofErr w:type="spellEnd"/>
      <w:r w:rsidRPr="000C60E1">
        <w:rPr>
          <w:rFonts w:cs="Arial"/>
        </w:rPr>
        <w:t xml:space="preserve"> (i.e. grey squirrel, robin)</w:t>
      </w:r>
      <w:r w:rsidR="0097189F" w:rsidRPr="000C60E1">
        <w:rPr>
          <w:rFonts w:cs="Arial"/>
        </w:rPr>
        <w:t>;</w:t>
      </w:r>
      <w:r w:rsidR="0055166E" w:rsidRPr="000C60E1">
        <w:rPr>
          <w:rFonts w:cs="Arial"/>
        </w:rPr>
        <w:t xml:space="preserve"> </w:t>
      </w:r>
    </w:p>
    <w:p w14:paraId="14DB3207" w14:textId="77777777" w:rsidR="00C13520" w:rsidRPr="000C60E1" w:rsidRDefault="0055166E" w:rsidP="00FF174D">
      <w:pPr>
        <w:pStyle w:val="ListBullet5"/>
        <w:rPr>
          <w:rFonts w:cs="Arial"/>
        </w:rPr>
      </w:pPr>
      <w:r w:rsidRPr="000C60E1">
        <w:rPr>
          <w:rFonts w:cs="Arial"/>
        </w:rPr>
        <w:lastRenderedPageBreak/>
        <w:t xml:space="preserve">Assessment of the inhalation exposure pathway will be qualitative </w:t>
      </w:r>
      <w:r w:rsidR="00FF174D" w:rsidRPr="000C60E1">
        <w:rPr>
          <w:rFonts w:cs="Arial"/>
        </w:rPr>
        <w:t>due to lack of a suitable TRV</w:t>
      </w:r>
      <w:r w:rsidR="00EC268E" w:rsidRPr="000C60E1">
        <w:rPr>
          <w:rFonts w:cs="Arial"/>
        </w:rPr>
        <w:t>s</w:t>
      </w:r>
      <w:r w:rsidR="00C13520" w:rsidRPr="000C60E1">
        <w:rPr>
          <w:rFonts w:cs="Arial"/>
        </w:rPr>
        <w:t>;</w:t>
      </w:r>
    </w:p>
    <w:p w14:paraId="381AE2D4" w14:textId="489E6D55" w:rsidR="00C13520" w:rsidRPr="000C60E1" w:rsidRDefault="00C13520" w:rsidP="00FF174D">
      <w:pPr>
        <w:pStyle w:val="ListBullet5"/>
        <w:rPr>
          <w:rFonts w:cs="Arial"/>
        </w:rPr>
      </w:pPr>
      <w:r w:rsidRPr="000C60E1">
        <w:rPr>
          <w:rFonts w:cs="Arial"/>
        </w:rPr>
        <w:t>Contamination of groundwater and surface water and migration of contaminants to off-site ecological receptors. VECs will include fish, aquatic plants and benthic organisms.</w:t>
      </w:r>
    </w:p>
    <w:p w14:paraId="7A7C9FE6" w14:textId="77777777" w:rsidR="00B736F9" w:rsidRPr="000C60E1" w:rsidRDefault="00C13520" w:rsidP="00FF0580">
      <w:pPr>
        <w:ind w:left="1440"/>
        <w:rPr>
          <w:rFonts w:cs="Arial"/>
        </w:rPr>
      </w:pPr>
      <w:r w:rsidRPr="000C60E1">
        <w:rPr>
          <w:rFonts w:cs="Arial"/>
        </w:rPr>
        <w:t>For each of the above VECs</w:t>
      </w:r>
      <w:r w:rsidR="00EC268E" w:rsidRPr="000C60E1">
        <w:rPr>
          <w:rFonts w:cs="Arial"/>
        </w:rPr>
        <w:t>,</w:t>
      </w:r>
      <w:r w:rsidRPr="000C60E1">
        <w:rPr>
          <w:rFonts w:cs="Arial"/>
        </w:rPr>
        <w:t xml:space="preserve"> the assessment endpoint will be survival and growth.</w:t>
      </w:r>
      <w:r w:rsidR="00B736F9" w:rsidRPr="000C60E1">
        <w:rPr>
          <w:rFonts w:cs="Arial"/>
        </w:rPr>
        <w:t>”</w:t>
      </w:r>
    </w:p>
    <w:p w14:paraId="1A0F464C" w14:textId="562B3350" w:rsidR="00B736F9" w:rsidRPr="000C60E1" w:rsidRDefault="00B736F9" w:rsidP="00DE496B">
      <w:pPr>
        <w:pStyle w:val="Heading3"/>
        <w:rPr>
          <w:rFonts w:cs="Arial"/>
        </w:rPr>
      </w:pPr>
      <w:bookmarkStart w:id="267" w:name="_Toc91393574"/>
      <w:bookmarkStart w:id="268" w:name="_Toc112727437"/>
      <w:bookmarkStart w:id="269" w:name="_Toc41905713"/>
      <w:r w:rsidRPr="000C60E1">
        <w:rPr>
          <w:rFonts w:cs="Arial"/>
        </w:rPr>
        <w:t>Discussion of Data Quality</w:t>
      </w:r>
      <w:bookmarkEnd w:id="267"/>
      <w:bookmarkEnd w:id="268"/>
      <w:bookmarkEnd w:id="269"/>
    </w:p>
    <w:p w14:paraId="5708A24E" w14:textId="1049385A" w:rsidR="001837C7" w:rsidRPr="000C60E1" w:rsidRDefault="00B736F9" w:rsidP="001837C7">
      <w:pPr>
        <w:rPr>
          <w:rFonts w:cs="Arial"/>
        </w:rPr>
      </w:pPr>
      <w:r w:rsidRPr="000C60E1">
        <w:rPr>
          <w:rFonts w:cs="Arial"/>
        </w:rPr>
        <w:t xml:space="preserve">As indicated in the table above, the Regulation requires that the </w:t>
      </w:r>
      <w:r w:rsidR="000767FF" w:rsidRPr="000C60E1">
        <w:rPr>
          <w:rFonts w:cs="Arial"/>
        </w:rPr>
        <w:t>QP</w:t>
      </w:r>
      <w:r w:rsidR="000767FF" w:rsidRPr="000C60E1">
        <w:rPr>
          <w:rFonts w:cs="Arial"/>
          <w:vertAlign w:val="subscript"/>
        </w:rPr>
        <w:t>RA</w:t>
      </w:r>
      <w:r w:rsidRPr="000C60E1">
        <w:rPr>
          <w:rFonts w:cs="Arial"/>
        </w:rPr>
        <w:t xml:space="preserve"> demonstrate that the data used for the ERA</w:t>
      </w:r>
      <w:r w:rsidR="001837C7" w:rsidRPr="000C60E1">
        <w:rPr>
          <w:rFonts w:cs="Arial"/>
        </w:rPr>
        <w:t xml:space="preserve"> and described in Section 3 of the RA report</w:t>
      </w:r>
      <w:r w:rsidRPr="000C60E1">
        <w:rPr>
          <w:rFonts w:cs="Arial"/>
        </w:rPr>
        <w:t xml:space="preserve"> is sufficient to meet the objectives of the assessment. </w:t>
      </w:r>
      <w:r w:rsidR="001837C7" w:rsidRPr="000C60E1">
        <w:rPr>
          <w:rFonts w:cs="Arial"/>
        </w:rPr>
        <w:t>Data quality or availability may be insufficient for a quantitative assessment, for example, and a qualitative approach may be proposed</w:t>
      </w:r>
      <w:r w:rsidR="006C1F56" w:rsidRPr="000C60E1">
        <w:rPr>
          <w:rFonts w:cs="Arial"/>
        </w:rPr>
        <w:t>.</w:t>
      </w:r>
      <w:r w:rsidR="001837C7" w:rsidRPr="000C60E1">
        <w:rPr>
          <w:rFonts w:cs="Arial"/>
        </w:rPr>
        <w:t xml:space="preserve"> Examples of data quality problems which may impact on the risk assessment approach include; </w:t>
      </w:r>
    </w:p>
    <w:p w14:paraId="01477C3B" w14:textId="77777777" w:rsidR="001837C7" w:rsidRPr="000C60E1" w:rsidRDefault="001837C7" w:rsidP="000E72E5">
      <w:pPr>
        <w:pStyle w:val="ListBullet2"/>
        <w:rPr>
          <w:rFonts w:cs="Arial"/>
        </w:rPr>
      </w:pPr>
      <w:r w:rsidRPr="000C60E1">
        <w:rPr>
          <w:rFonts w:cs="Arial"/>
        </w:rPr>
        <w:t xml:space="preserve">Detection limits </w:t>
      </w:r>
      <w:r w:rsidR="00717FDF" w:rsidRPr="000C60E1">
        <w:rPr>
          <w:rFonts w:cs="Arial"/>
        </w:rPr>
        <w:t>above</w:t>
      </w:r>
      <w:r w:rsidRPr="000C60E1">
        <w:rPr>
          <w:rFonts w:cs="Arial"/>
        </w:rPr>
        <w:t xml:space="preserve"> the </w:t>
      </w:r>
      <w:r w:rsidR="00657FDB" w:rsidRPr="002A75F2">
        <w:rPr>
          <w:rFonts w:cs="Arial"/>
        </w:rPr>
        <w:t>M</w:t>
      </w:r>
      <w:r w:rsidR="00EC05BF" w:rsidRPr="002A75F2">
        <w:rPr>
          <w:rFonts w:cs="Arial"/>
        </w:rPr>
        <w:t xml:space="preserve">inistry </w:t>
      </w:r>
      <w:r w:rsidR="00CD4203" w:rsidRPr="002A75F2">
        <w:rPr>
          <w:rFonts w:cs="Arial"/>
        </w:rPr>
        <w:t>generic site condition standards</w:t>
      </w:r>
      <w:r w:rsidRPr="002A75F2">
        <w:rPr>
          <w:rFonts w:cs="Arial"/>
        </w:rPr>
        <w:t xml:space="preserve"> (selection</w:t>
      </w:r>
      <w:r w:rsidRPr="000C60E1">
        <w:rPr>
          <w:rFonts w:cs="Arial"/>
        </w:rPr>
        <w:t xml:space="preserve"> of </w:t>
      </w:r>
      <w:smartTag w:uri="urn:schemas-microsoft-com:office:smarttags" w:element="stockticker">
        <w:r w:rsidRPr="000C60E1">
          <w:rPr>
            <w:rFonts w:cs="Arial"/>
          </w:rPr>
          <w:t>COC</w:t>
        </w:r>
      </w:smartTag>
      <w:r w:rsidRPr="000C60E1">
        <w:rPr>
          <w:rFonts w:cs="Arial"/>
        </w:rPr>
        <w:t>),</w:t>
      </w:r>
    </w:p>
    <w:p w14:paraId="2E759A82" w14:textId="77777777" w:rsidR="001837C7" w:rsidRPr="000C60E1" w:rsidRDefault="001837C7" w:rsidP="000E72E5">
      <w:pPr>
        <w:pStyle w:val="ListBullet2"/>
        <w:rPr>
          <w:rFonts w:cs="Arial"/>
        </w:rPr>
      </w:pPr>
      <w:r w:rsidRPr="000C60E1">
        <w:rPr>
          <w:rFonts w:cs="Arial"/>
        </w:rPr>
        <w:t>Low analytical recovery,</w:t>
      </w:r>
    </w:p>
    <w:p w14:paraId="70B5341B" w14:textId="77777777" w:rsidR="001837C7" w:rsidRPr="000C60E1" w:rsidRDefault="001837C7" w:rsidP="000E72E5">
      <w:pPr>
        <w:pStyle w:val="ListBullet2"/>
        <w:rPr>
          <w:rFonts w:cs="Arial"/>
        </w:rPr>
      </w:pPr>
      <w:r w:rsidRPr="000C60E1">
        <w:rPr>
          <w:rFonts w:cs="Arial"/>
        </w:rPr>
        <w:t>High relative standard deviation,</w:t>
      </w:r>
    </w:p>
    <w:p w14:paraId="729CF511" w14:textId="77777777" w:rsidR="001837C7" w:rsidRPr="000C60E1" w:rsidRDefault="001837C7" w:rsidP="000E72E5">
      <w:pPr>
        <w:pStyle w:val="ListBullet2"/>
        <w:rPr>
          <w:rFonts w:cs="Arial"/>
        </w:rPr>
      </w:pPr>
      <w:r w:rsidRPr="000C60E1">
        <w:rPr>
          <w:rFonts w:cs="Arial"/>
        </w:rPr>
        <w:t>Variable monitoring data, inconsistent year-to-year trend,</w:t>
      </w:r>
    </w:p>
    <w:p w14:paraId="0A727C26" w14:textId="77777777" w:rsidR="001837C7" w:rsidRPr="000C60E1" w:rsidRDefault="001837C7" w:rsidP="000E72E5">
      <w:pPr>
        <w:pStyle w:val="ListBullet2"/>
        <w:rPr>
          <w:rFonts w:cs="Arial"/>
        </w:rPr>
      </w:pPr>
      <w:r w:rsidRPr="000C60E1">
        <w:rPr>
          <w:rFonts w:cs="Arial"/>
        </w:rPr>
        <w:t xml:space="preserve">Assumption for one or more pathway relies on old data, data based on </w:t>
      </w:r>
      <w:r w:rsidR="00CD4203" w:rsidRPr="000C60E1">
        <w:rPr>
          <w:rFonts w:cs="Arial"/>
        </w:rPr>
        <w:t xml:space="preserve">an </w:t>
      </w:r>
      <w:r w:rsidRPr="000C60E1">
        <w:rPr>
          <w:rFonts w:cs="Arial"/>
        </w:rPr>
        <w:t xml:space="preserve">analytical method that does not comply with section 47 of the </w:t>
      </w:r>
      <w:r w:rsidR="006951F0" w:rsidRPr="000C60E1">
        <w:rPr>
          <w:rFonts w:cs="Arial"/>
        </w:rPr>
        <w:t>R</w:t>
      </w:r>
      <w:r w:rsidRPr="000C60E1">
        <w:rPr>
          <w:rFonts w:cs="Arial"/>
        </w:rPr>
        <w:t>egulation, insufficient monitoring or no supporting data.</w:t>
      </w:r>
    </w:p>
    <w:p w14:paraId="651171BA" w14:textId="42C4812D" w:rsidR="00B736F9" w:rsidRPr="000C60E1" w:rsidRDefault="00B736F9" w:rsidP="00840964">
      <w:pPr>
        <w:rPr>
          <w:rFonts w:cs="Arial"/>
        </w:rPr>
      </w:pPr>
      <w:r w:rsidRPr="000C60E1">
        <w:rPr>
          <w:rFonts w:cs="Arial"/>
        </w:rPr>
        <w:t xml:space="preserve">Uncertainty in the data resulting from variable or poor data quality, as well as any data gaps should be discussed </w:t>
      </w:r>
      <w:r w:rsidR="001837C7" w:rsidRPr="000C60E1">
        <w:rPr>
          <w:rFonts w:cs="Arial"/>
        </w:rPr>
        <w:t xml:space="preserve">in terms of the </w:t>
      </w:r>
      <w:r w:rsidR="006C4301" w:rsidRPr="000C60E1">
        <w:rPr>
          <w:rFonts w:cs="Arial"/>
        </w:rPr>
        <w:t>risk assessment</w:t>
      </w:r>
      <w:r w:rsidR="001837C7" w:rsidRPr="000C60E1">
        <w:rPr>
          <w:rFonts w:cs="Arial"/>
        </w:rPr>
        <w:t xml:space="preserve"> approach used to accommodate them. The QP</w:t>
      </w:r>
      <w:r w:rsidR="00FB0178" w:rsidRPr="000C60E1">
        <w:rPr>
          <w:rFonts w:cs="Arial"/>
          <w:vertAlign w:val="subscript"/>
        </w:rPr>
        <w:t>RA</w:t>
      </w:r>
      <w:r w:rsidR="001837C7" w:rsidRPr="000C60E1">
        <w:rPr>
          <w:rFonts w:cs="Arial"/>
        </w:rPr>
        <w:t xml:space="preserve"> should explicitly discuss the extent to which suspect data can and will be relied upon in the </w:t>
      </w:r>
      <w:r w:rsidR="00D4507B" w:rsidRPr="000C60E1">
        <w:rPr>
          <w:rFonts w:cs="Arial"/>
        </w:rPr>
        <w:t>risk assessment</w:t>
      </w:r>
      <w:r w:rsidR="001837C7" w:rsidRPr="000C60E1">
        <w:rPr>
          <w:rFonts w:cs="Arial"/>
        </w:rPr>
        <w:t>.</w:t>
      </w:r>
    </w:p>
    <w:p w14:paraId="6944E80D" w14:textId="77777777" w:rsidR="00B736F9" w:rsidRPr="000C60E1" w:rsidRDefault="00B736F9" w:rsidP="00FF0580">
      <w:pPr>
        <w:pStyle w:val="Heading2"/>
        <w:rPr>
          <w:rFonts w:cs="Arial"/>
        </w:rPr>
      </w:pPr>
      <w:bookmarkStart w:id="270" w:name="_Toc91393575"/>
      <w:bookmarkStart w:id="271" w:name="_Toc112727438"/>
      <w:bookmarkStart w:id="272" w:name="_Toc41905714"/>
      <w:bookmarkStart w:id="273" w:name="_Toc74119422"/>
      <w:bookmarkStart w:id="274" w:name="_Toc74450901"/>
      <w:bookmarkStart w:id="275" w:name="_Toc78162211"/>
      <w:bookmarkStart w:id="276" w:name="_Toc79571589"/>
      <w:r w:rsidRPr="000C60E1">
        <w:rPr>
          <w:rFonts w:cs="Arial"/>
        </w:rPr>
        <w:t>Receptor Characterization</w:t>
      </w:r>
      <w:bookmarkEnd w:id="270"/>
      <w:bookmarkEnd w:id="271"/>
      <w:bookmarkEnd w:id="272"/>
    </w:p>
    <w:p w14:paraId="138721C1" w14:textId="16403B85" w:rsidR="00B736F9" w:rsidRPr="000C60E1" w:rsidRDefault="00B736F9" w:rsidP="00840964">
      <w:pPr>
        <w:rPr>
          <w:rFonts w:cs="Arial"/>
        </w:rPr>
      </w:pPr>
      <w:r w:rsidRPr="000C60E1">
        <w:rPr>
          <w:rFonts w:cs="Arial"/>
        </w:rPr>
        <w:t xml:space="preserve">Minimum requirements for reporting Receptor </w:t>
      </w:r>
      <w:r w:rsidR="00FB474A" w:rsidRPr="000C60E1">
        <w:rPr>
          <w:rFonts w:cs="Arial"/>
        </w:rPr>
        <w:t>Characterization</w:t>
      </w:r>
      <w:r w:rsidRPr="000C60E1">
        <w:rPr>
          <w:rFonts w:cs="Arial"/>
        </w:rPr>
        <w:t xml:space="preserve"> are provided in Table 1 </w:t>
      </w:r>
      <w:r w:rsidR="007B414E" w:rsidRPr="000C60E1">
        <w:rPr>
          <w:rFonts w:cs="Arial"/>
        </w:rPr>
        <w:t xml:space="preserve">of </w:t>
      </w:r>
      <w:r w:rsidRPr="000C60E1">
        <w:rPr>
          <w:rFonts w:cs="Arial"/>
        </w:rPr>
        <w:t>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74B1BDD9" w14:textId="77777777" w:rsidTr="005B40DA">
        <w:trPr>
          <w:trHeight w:val="20"/>
          <w:tblHeader/>
        </w:trPr>
        <w:tc>
          <w:tcPr>
            <w:tcW w:w="2468" w:type="dxa"/>
          </w:tcPr>
          <w:p w14:paraId="42269339"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5CEACEB1"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3708461A"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53761934"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33A8EB2F" w14:textId="77777777" w:rsidTr="005B40DA">
        <w:trPr>
          <w:trHeight w:val="20"/>
        </w:trPr>
        <w:tc>
          <w:tcPr>
            <w:tcW w:w="2468" w:type="dxa"/>
          </w:tcPr>
          <w:p w14:paraId="61CD257E"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16242FC3" w14:textId="77777777" w:rsidR="00276BB8" w:rsidRPr="000C0EF2" w:rsidRDefault="00276BB8" w:rsidP="000C0EF2">
            <w:pPr>
              <w:pStyle w:val="table-e"/>
              <w:spacing w:line="240" w:lineRule="auto"/>
              <w:rPr>
                <w:sz w:val="24"/>
              </w:rPr>
            </w:pPr>
            <w:r w:rsidRPr="000C0EF2">
              <w:rPr>
                <w:sz w:val="24"/>
              </w:rPr>
              <w:t xml:space="preserve">(b)  Receptor Characterization </w:t>
            </w:r>
          </w:p>
        </w:tc>
        <w:tc>
          <w:tcPr>
            <w:tcW w:w="1839" w:type="dxa"/>
          </w:tcPr>
          <w:p w14:paraId="05490F47" w14:textId="77777777" w:rsidR="00276BB8" w:rsidRPr="000C0EF2" w:rsidRDefault="00276BB8" w:rsidP="000C0EF2">
            <w:pPr>
              <w:pStyle w:val="table-e"/>
              <w:spacing w:line="240" w:lineRule="auto"/>
              <w:rPr>
                <w:sz w:val="24"/>
              </w:rPr>
            </w:pPr>
            <w:r w:rsidRPr="000C0EF2">
              <w:rPr>
                <w:sz w:val="24"/>
              </w:rPr>
              <w:t>not applicable</w:t>
            </w:r>
          </w:p>
        </w:tc>
        <w:tc>
          <w:tcPr>
            <w:tcW w:w="3759" w:type="dxa"/>
          </w:tcPr>
          <w:p w14:paraId="5EDBDC8D" w14:textId="77777777" w:rsidR="00276BB8" w:rsidRPr="000C0EF2" w:rsidRDefault="00276BB8" w:rsidP="000C0EF2">
            <w:pPr>
              <w:pStyle w:val="table-e"/>
              <w:spacing w:line="240" w:lineRule="auto"/>
              <w:rPr>
                <w:sz w:val="24"/>
              </w:rPr>
            </w:pPr>
            <w:r w:rsidRPr="000C0EF2">
              <w:rPr>
                <w:sz w:val="24"/>
              </w:rPr>
              <w:t>Describe in detail the characteristics of every valued ecosystem component, both on and off the RA property, identified in the ecological conceptual site model.</w:t>
            </w:r>
          </w:p>
        </w:tc>
      </w:tr>
    </w:tbl>
    <w:p w14:paraId="72533B5E" w14:textId="77777777" w:rsidR="006F61F7" w:rsidRPr="000C60E1" w:rsidRDefault="00A80824" w:rsidP="00840964">
      <w:pPr>
        <w:rPr>
          <w:rFonts w:cs="Arial"/>
          <w:lang w:val="en-GB"/>
        </w:rPr>
      </w:pPr>
      <w:r w:rsidRPr="000C60E1">
        <w:rPr>
          <w:rFonts w:cs="Arial"/>
        </w:rPr>
        <w:t xml:space="preserve">Additional guidance is provided in the following sections of this </w:t>
      </w:r>
      <w:r w:rsidR="006951F0" w:rsidRPr="000C60E1">
        <w:rPr>
          <w:rFonts w:cs="Arial"/>
        </w:rPr>
        <w:t>P</w:t>
      </w:r>
      <w:r w:rsidRPr="000C60E1">
        <w:rPr>
          <w:rFonts w:cs="Arial"/>
        </w:rPr>
        <w:t>rocedures document.</w:t>
      </w:r>
    </w:p>
    <w:p w14:paraId="7E19886B" w14:textId="77777777" w:rsidR="00B736F9" w:rsidRPr="000C60E1" w:rsidRDefault="00B736F9" w:rsidP="00F931D2">
      <w:pPr>
        <w:rPr>
          <w:rFonts w:cs="Arial"/>
        </w:rPr>
      </w:pPr>
      <w:r w:rsidRPr="000C60E1">
        <w:rPr>
          <w:rFonts w:cs="Arial"/>
          <w:highlight w:val="white"/>
        </w:rPr>
        <w:lastRenderedPageBreak/>
        <w:t xml:space="preserve">Receptor characterization for ERA should </w:t>
      </w:r>
      <w:r w:rsidR="001D1FF9" w:rsidRPr="000C60E1">
        <w:rPr>
          <w:rFonts w:cs="Arial"/>
          <w:highlight w:val="white"/>
        </w:rPr>
        <w:t>discuss</w:t>
      </w:r>
      <w:r w:rsidRPr="000C60E1">
        <w:rPr>
          <w:rFonts w:cs="Arial"/>
          <w:highlight w:val="white"/>
        </w:rPr>
        <w:t xml:space="preserve"> and characterize the ecological receptors of concern and the degree to which they must be protected</w:t>
      </w:r>
      <w:r w:rsidR="00F931D2" w:rsidRPr="000C60E1">
        <w:rPr>
          <w:rFonts w:cs="Arial"/>
        </w:rPr>
        <w:t>.</w:t>
      </w:r>
    </w:p>
    <w:p w14:paraId="34937A11" w14:textId="31F06282" w:rsidR="000E0560" w:rsidRPr="000C60E1" w:rsidRDefault="00B736F9" w:rsidP="00840964">
      <w:pPr>
        <w:rPr>
          <w:rFonts w:cs="Arial"/>
        </w:rPr>
      </w:pPr>
      <w:r w:rsidRPr="000C60E1">
        <w:rPr>
          <w:rFonts w:cs="Arial"/>
        </w:rPr>
        <w:t>The Receptor Characterization should</w:t>
      </w:r>
      <w:r w:rsidR="00F931D2" w:rsidRPr="000C60E1">
        <w:rPr>
          <w:rFonts w:cs="Arial"/>
        </w:rPr>
        <w:t>,</w:t>
      </w:r>
      <w:r w:rsidRPr="000C60E1">
        <w:rPr>
          <w:rFonts w:cs="Arial"/>
        </w:rPr>
        <w:t xml:space="preserve"> </w:t>
      </w:r>
      <w:r w:rsidR="000E0560" w:rsidRPr="000C60E1">
        <w:rPr>
          <w:rFonts w:cs="Arial"/>
        </w:rPr>
        <w:t xml:space="preserve">at a minimum, include </w:t>
      </w:r>
      <w:r w:rsidR="001D1FF9" w:rsidRPr="000C60E1">
        <w:rPr>
          <w:rFonts w:cs="Arial"/>
        </w:rPr>
        <w:t xml:space="preserve">the characteristics of all </w:t>
      </w:r>
      <w:r w:rsidR="000E0560" w:rsidRPr="000C60E1">
        <w:rPr>
          <w:rFonts w:cs="Arial"/>
        </w:rPr>
        <w:t xml:space="preserve">VECs that are associated with common </w:t>
      </w:r>
      <w:r w:rsidR="00C85E05" w:rsidRPr="000C60E1">
        <w:rPr>
          <w:rFonts w:cs="Arial"/>
        </w:rPr>
        <w:t xml:space="preserve">urban (or rural) </w:t>
      </w:r>
      <w:r w:rsidR="000E0560" w:rsidRPr="000C60E1">
        <w:rPr>
          <w:rFonts w:cs="Arial"/>
        </w:rPr>
        <w:t>landscaping and green space as well as any endangered or threatened species that have been identified on or off the RA property. In the case of endangered or threatened species, the common and scientific names should be provided.</w:t>
      </w:r>
    </w:p>
    <w:p w14:paraId="18BEA822" w14:textId="2C83B942" w:rsidR="00B736F9" w:rsidRPr="000C60E1" w:rsidRDefault="006951F0" w:rsidP="00840964">
      <w:pPr>
        <w:rPr>
          <w:rFonts w:cs="Arial"/>
        </w:rPr>
      </w:pPr>
      <w:r w:rsidRPr="000C60E1">
        <w:rPr>
          <w:rFonts w:cs="Arial"/>
        </w:rPr>
        <w:t xml:space="preserve">For example, </w:t>
      </w:r>
      <w:r w:rsidR="00C85E05" w:rsidRPr="000C60E1">
        <w:rPr>
          <w:rFonts w:cs="Arial"/>
        </w:rPr>
        <w:t xml:space="preserve">even </w:t>
      </w:r>
      <w:r w:rsidRPr="000C60E1">
        <w:rPr>
          <w:rFonts w:cs="Arial"/>
        </w:rPr>
        <w:t>i</w:t>
      </w:r>
      <w:r w:rsidR="00767655" w:rsidRPr="000C60E1">
        <w:rPr>
          <w:rFonts w:cs="Arial"/>
        </w:rPr>
        <w:t xml:space="preserve">f a decision has been made by the property owner to develop the site in such a way that landscaping and </w:t>
      </w:r>
      <w:r w:rsidR="00FB474A" w:rsidRPr="000C60E1">
        <w:rPr>
          <w:rFonts w:cs="Arial"/>
        </w:rPr>
        <w:t>green space</w:t>
      </w:r>
      <w:r w:rsidR="00767655" w:rsidRPr="000C60E1">
        <w:rPr>
          <w:rFonts w:cs="Arial"/>
        </w:rPr>
        <w:t xml:space="preserve"> are eliminated through paving or other construction, the risk to landscaping and </w:t>
      </w:r>
      <w:r w:rsidR="00FB474A" w:rsidRPr="000C60E1">
        <w:rPr>
          <w:rFonts w:cs="Arial"/>
        </w:rPr>
        <w:t>gr</w:t>
      </w:r>
      <w:r w:rsidR="00FB474A" w:rsidRPr="002A75F2">
        <w:rPr>
          <w:rFonts w:cs="Arial"/>
        </w:rPr>
        <w:t>een space</w:t>
      </w:r>
      <w:r w:rsidR="00767655" w:rsidRPr="002A75F2">
        <w:rPr>
          <w:rFonts w:cs="Arial"/>
        </w:rPr>
        <w:t xml:space="preserve"> </w:t>
      </w:r>
      <w:r w:rsidRPr="002A75F2">
        <w:rPr>
          <w:rFonts w:cs="Arial"/>
        </w:rPr>
        <w:t xml:space="preserve">must </w:t>
      </w:r>
      <w:r w:rsidR="00767655" w:rsidRPr="002A75F2">
        <w:rPr>
          <w:rFonts w:cs="Arial"/>
        </w:rPr>
        <w:t xml:space="preserve">still </w:t>
      </w:r>
      <w:r w:rsidR="00F931D2" w:rsidRPr="002A75F2">
        <w:rPr>
          <w:rFonts w:cs="Arial"/>
        </w:rPr>
        <w:t xml:space="preserve">first </w:t>
      </w:r>
      <w:r w:rsidR="00767655" w:rsidRPr="002A75F2">
        <w:rPr>
          <w:rFonts w:cs="Arial"/>
        </w:rPr>
        <w:t xml:space="preserve">be assessed. The effect of paving or other construction </w:t>
      </w:r>
      <w:r w:rsidRPr="002A75F2">
        <w:rPr>
          <w:rFonts w:cs="Arial"/>
        </w:rPr>
        <w:t xml:space="preserve">can then </w:t>
      </w:r>
      <w:r w:rsidR="00767655" w:rsidRPr="002A75F2">
        <w:rPr>
          <w:rFonts w:cs="Arial"/>
        </w:rPr>
        <w:t xml:space="preserve">be accounted for as a risk management measure. In this way, future property development decisions </w:t>
      </w:r>
      <w:r w:rsidR="00C85E05" w:rsidRPr="002A75F2">
        <w:rPr>
          <w:rFonts w:cs="Arial"/>
        </w:rPr>
        <w:t>can</w:t>
      </w:r>
      <w:r w:rsidR="00767655" w:rsidRPr="002A75F2">
        <w:rPr>
          <w:rFonts w:cs="Arial"/>
        </w:rPr>
        <w:t xml:space="preserve"> be made </w:t>
      </w:r>
      <w:r w:rsidRPr="002A75F2">
        <w:rPr>
          <w:rFonts w:cs="Arial"/>
        </w:rPr>
        <w:t xml:space="preserve">without any restrictions and </w:t>
      </w:r>
      <w:r w:rsidR="00767655" w:rsidRPr="002A75F2">
        <w:rPr>
          <w:rFonts w:cs="Arial"/>
        </w:rPr>
        <w:t>with an appreciation of the site</w:t>
      </w:r>
      <w:r w:rsidR="00F931D2" w:rsidRPr="002A75F2">
        <w:rPr>
          <w:rFonts w:cs="Arial"/>
        </w:rPr>
        <w:t>’s ability</w:t>
      </w:r>
      <w:r w:rsidR="00767655" w:rsidRPr="002A75F2">
        <w:rPr>
          <w:rFonts w:cs="Arial"/>
        </w:rPr>
        <w:t xml:space="preserve"> to support landscaping and </w:t>
      </w:r>
      <w:r w:rsidR="00FB474A" w:rsidRPr="002A75F2">
        <w:rPr>
          <w:rFonts w:cs="Arial"/>
        </w:rPr>
        <w:t>green space</w:t>
      </w:r>
      <w:r w:rsidR="00767655" w:rsidRPr="002A75F2">
        <w:rPr>
          <w:rFonts w:cs="Arial"/>
        </w:rPr>
        <w:t xml:space="preserve">. If there is uncertainty related to the design of future development and how it may impact ecological receptors, this should be </w:t>
      </w:r>
      <w:r w:rsidR="00F931D2" w:rsidRPr="002A75F2">
        <w:rPr>
          <w:rFonts w:cs="Arial"/>
        </w:rPr>
        <w:t xml:space="preserve">accounted for in the assessment and also documented </w:t>
      </w:r>
      <w:r w:rsidR="00767655" w:rsidRPr="002A75F2">
        <w:rPr>
          <w:rFonts w:cs="Arial"/>
        </w:rPr>
        <w:t>under</w:t>
      </w:r>
      <w:r w:rsidR="00767655" w:rsidRPr="000C60E1">
        <w:rPr>
          <w:rFonts w:cs="Arial"/>
        </w:rPr>
        <w:t xml:space="preserve"> the heading Discussion of Uncertainty.</w:t>
      </w:r>
    </w:p>
    <w:p w14:paraId="6544DE8A" w14:textId="5466DF8F" w:rsidR="00B736F9" w:rsidRPr="000C60E1" w:rsidRDefault="00B736F9" w:rsidP="00840964">
      <w:pPr>
        <w:rPr>
          <w:rFonts w:cs="Arial"/>
        </w:rPr>
      </w:pPr>
      <w:r w:rsidRPr="000C60E1">
        <w:rPr>
          <w:rFonts w:cs="Arial"/>
        </w:rPr>
        <w:t xml:space="preserve">Receptor Characterization should identify the VECs, the effects against which it is desirable to protect the VECs </w:t>
      </w:r>
      <w:r w:rsidR="00C236E3" w:rsidRPr="000C60E1">
        <w:rPr>
          <w:rFonts w:cs="Arial"/>
        </w:rPr>
        <w:t xml:space="preserve">(“assessment endpoints”) </w:t>
      </w:r>
      <w:r w:rsidRPr="000C60E1">
        <w:rPr>
          <w:rFonts w:cs="Arial"/>
        </w:rPr>
        <w:t>and the pathways specific to each VEC by which it may come into contact with contaminants. The Receptor Characterization process should document the following:</w:t>
      </w:r>
    </w:p>
    <w:p w14:paraId="1E1A4B32" w14:textId="77777777" w:rsidR="00B736F9" w:rsidRPr="000C60E1" w:rsidRDefault="00B736F9" w:rsidP="000E72E5">
      <w:pPr>
        <w:pStyle w:val="ListBullet2"/>
        <w:rPr>
          <w:rFonts w:cs="Arial"/>
        </w:rPr>
      </w:pPr>
      <w:r w:rsidRPr="000C60E1">
        <w:rPr>
          <w:rFonts w:cs="Arial"/>
        </w:rPr>
        <w:t>The VECs (species or habitats) that the ERA should protect,</w:t>
      </w:r>
    </w:p>
    <w:p w14:paraId="71C388B0" w14:textId="77777777" w:rsidR="00B736F9" w:rsidRPr="000C60E1" w:rsidRDefault="00B736F9" w:rsidP="000E72E5">
      <w:pPr>
        <w:pStyle w:val="ListBullet2"/>
        <w:rPr>
          <w:rFonts w:cs="Arial"/>
        </w:rPr>
      </w:pPr>
      <w:r w:rsidRPr="000C60E1">
        <w:rPr>
          <w:rFonts w:cs="Arial"/>
        </w:rPr>
        <w:t xml:space="preserve">The effects that the ERA should protect these species against (referred to as </w:t>
      </w:r>
      <w:r w:rsidR="00C236E3" w:rsidRPr="000C60E1">
        <w:rPr>
          <w:rFonts w:cs="Arial"/>
        </w:rPr>
        <w:t>“</w:t>
      </w:r>
      <w:r w:rsidRPr="000C60E1">
        <w:rPr>
          <w:rFonts w:cs="Arial"/>
        </w:rPr>
        <w:t>assessment endpoints</w:t>
      </w:r>
      <w:r w:rsidR="00C236E3" w:rsidRPr="000C60E1">
        <w:rPr>
          <w:rFonts w:cs="Arial"/>
        </w:rPr>
        <w:t>”</w:t>
      </w:r>
      <w:r w:rsidRPr="000C60E1">
        <w:rPr>
          <w:rFonts w:cs="Arial"/>
        </w:rPr>
        <w:t>),</w:t>
      </w:r>
    </w:p>
    <w:p w14:paraId="755FCBBC" w14:textId="77777777" w:rsidR="00B736F9" w:rsidRPr="000C60E1" w:rsidRDefault="00B736F9" w:rsidP="000E72E5">
      <w:pPr>
        <w:pStyle w:val="ListBullet2"/>
        <w:rPr>
          <w:rFonts w:cs="Arial"/>
        </w:rPr>
      </w:pPr>
      <w:r w:rsidRPr="000C60E1">
        <w:rPr>
          <w:rFonts w:cs="Arial"/>
        </w:rPr>
        <w:t xml:space="preserve">The measurements that can be used to assess the effects (referred to as </w:t>
      </w:r>
      <w:r w:rsidR="00C236E3" w:rsidRPr="000C60E1">
        <w:rPr>
          <w:rFonts w:cs="Arial"/>
        </w:rPr>
        <w:t>“</w:t>
      </w:r>
      <w:r w:rsidRPr="000C60E1">
        <w:rPr>
          <w:rFonts w:cs="Arial"/>
        </w:rPr>
        <w:t>measurement endpoints</w:t>
      </w:r>
      <w:r w:rsidR="00C236E3" w:rsidRPr="000C60E1">
        <w:rPr>
          <w:rFonts w:cs="Arial"/>
        </w:rPr>
        <w:t>”</w:t>
      </w:r>
      <w:r w:rsidRPr="000C60E1">
        <w:rPr>
          <w:rFonts w:cs="Arial"/>
        </w:rPr>
        <w:t>), and</w:t>
      </w:r>
    </w:p>
    <w:p w14:paraId="7717D89D" w14:textId="77777777" w:rsidR="00B736F9" w:rsidRPr="000C60E1" w:rsidRDefault="00B736F9" w:rsidP="000E72E5">
      <w:pPr>
        <w:pStyle w:val="ListBullet2"/>
        <w:rPr>
          <w:rFonts w:cs="Arial"/>
        </w:rPr>
      </w:pPr>
      <w:r w:rsidRPr="000C60E1">
        <w:rPr>
          <w:rFonts w:cs="Arial"/>
        </w:rPr>
        <w:t>The characteristics of the VECs that influence their exposure to the potential contaminant.</w:t>
      </w:r>
    </w:p>
    <w:p w14:paraId="68DDFFD6" w14:textId="77777777" w:rsidR="00B736F9" w:rsidRPr="000C60E1" w:rsidRDefault="00B736F9" w:rsidP="00840964">
      <w:pPr>
        <w:rPr>
          <w:rFonts w:cs="Arial"/>
        </w:rPr>
      </w:pPr>
      <w:r w:rsidRPr="000C60E1">
        <w:rPr>
          <w:rFonts w:cs="Arial"/>
        </w:rPr>
        <w:t>If surrogate species are to be used in the study of t</w:t>
      </w:r>
      <w:r w:rsidR="00FD2B92" w:rsidRPr="000C60E1">
        <w:rPr>
          <w:rFonts w:cs="Arial"/>
        </w:rPr>
        <w:t>he VECs</w:t>
      </w:r>
      <w:r w:rsidRPr="000C60E1">
        <w:rPr>
          <w:rFonts w:cs="Arial"/>
        </w:rPr>
        <w:t>, these should be clearly identified together with the VEC species they are to represent.</w:t>
      </w:r>
    </w:p>
    <w:p w14:paraId="27AC97E0" w14:textId="77777777" w:rsidR="00B736F9" w:rsidRPr="000C60E1" w:rsidRDefault="00B736F9" w:rsidP="00767655">
      <w:pPr>
        <w:rPr>
          <w:rFonts w:cs="Arial"/>
          <w:highlight w:val="white"/>
        </w:rPr>
      </w:pPr>
      <w:r w:rsidRPr="000C60E1">
        <w:rPr>
          <w:rFonts w:cs="Arial"/>
          <w:highlight w:val="white"/>
        </w:rPr>
        <w:t xml:space="preserve">The </w:t>
      </w:r>
      <w:r w:rsidR="000767FF" w:rsidRPr="000C60E1">
        <w:rPr>
          <w:rFonts w:cs="Arial"/>
          <w:highlight w:val="white"/>
        </w:rPr>
        <w:t>QP</w:t>
      </w:r>
      <w:r w:rsidRPr="000C60E1">
        <w:rPr>
          <w:rFonts w:cs="Arial"/>
          <w:highlight w:val="white"/>
          <w:vertAlign w:val="subscript"/>
        </w:rPr>
        <w:t>RA</w:t>
      </w:r>
      <w:r w:rsidRPr="000C60E1">
        <w:rPr>
          <w:rFonts w:cs="Arial"/>
          <w:highlight w:val="white"/>
        </w:rPr>
        <w:t xml:space="preserve"> </w:t>
      </w:r>
      <w:r w:rsidRPr="000C60E1">
        <w:rPr>
          <w:rFonts w:cs="Arial"/>
        </w:rPr>
        <w:t>should include the following considerations</w:t>
      </w:r>
      <w:r w:rsidRPr="000C60E1">
        <w:rPr>
          <w:rFonts w:cs="Arial"/>
          <w:highlight w:val="white"/>
        </w:rPr>
        <w:t>:</w:t>
      </w:r>
    </w:p>
    <w:p w14:paraId="234B2BC4" w14:textId="77777777" w:rsidR="00B736F9" w:rsidRPr="000C60E1" w:rsidRDefault="00B736F9" w:rsidP="000E72E5">
      <w:pPr>
        <w:pStyle w:val="ListBullet2"/>
        <w:rPr>
          <w:rFonts w:cs="Arial"/>
        </w:rPr>
      </w:pPr>
      <w:r w:rsidRPr="000C60E1">
        <w:rPr>
          <w:rFonts w:cs="Arial"/>
        </w:rPr>
        <w:t>The current use of the RA property, distance to the closest receptor and receptor activities and patterns (including but not limited to the proportion of time the potentially exposed populations spend in the area; variation due to seasonal changes; any property-specific population characteristics that might influence exposure; and what ecological habitats exist on-site);</w:t>
      </w:r>
    </w:p>
    <w:p w14:paraId="15DACB4F" w14:textId="77777777" w:rsidR="00B736F9" w:rsidRPr="000C60E1" w:rsidRDefault="00B736F9" w:rsidP="000E72E5">
      <w:pPr>
        <w:pStyle w:val="ListBullet2"/>
        <w:rPr>
          <w:rFonts w:cs="Arial"/>
        </w:rPr>
      </w:pPr>
      <w:r w:rsidRPr="000C60E1">
        <w:rPr>
          <w:rFonts w:cs="Arial"/>
        </w:rPr>
        <w:t xml:space="preserve">Future use of the RA property, use of the groundwater under future conditions, </w:t>
      </w:r>
      <w:r w:rsidR="00EC05BF" w:rsidRPr="000C60E1">
        <w:rPr>
          <w:rFonts w:cs="Arial"/>
        </w:rPr>
        <w:t xml:space="preserve">and potential </w:t>
      </w:r>
      <w:r w:rsidRPr="000C60E1">
        <w:rPr>
          <w:rFonts w:cs="Arial"/>
        </w:rPr>
        <w:t xml:space="preserve">for more or different </w:t>
      </w:r>
      <w:r w:rsidRPr="002A75F2">
        <w:rPr>
          <w:rFonts w:cs="Arial"/>
        </w:rPr>
        <w:t xml:space="preserve">habitat </w:t>
      </w:r>
      <w:r w:rsidR="00392C2F" w:rsidRPr="002A75F2">
        <w:rPr>
          <w:rFonts w:cs="Arial"/>
        </w:rPr>
        <w:t>for</w:t>
      </w:r>
      <w:r w:rsidRPr="002A75F2">
        <w:rPr>
          <w:rFonts w:cs="Arial"/>
        </w:rPr>
        <w:t xml:space="preserve"> ecological</w:t>
      </w:r>
      <w:r w:rsidRPr="000C60E1">
        <w:rPr>
          <w:rFonts w:cs="Arial"/>
        </w:rPr>
        <w:t xml:space="preserve"> receptors (including, but not limited to, </w:t>
      </w:r>
      <w:r w:rsidR="00EC05BF" w:rsidRPr="000C60E1">
        <w:rPr>
          <w:rFonts w:cs="Arial"/>
        </w:rPr>
        <w:t xml:space="preserve">changes in </w:t>
      </w:r>
      <w:r w:rsidRPr="000C60E1">
        <w:rPr>
          <w:rFonts w:cs="Arial"/>
        </w:rPr>
        <w:t>the proportion of time the potentially exposed populations spend in the potentially contaminated area; population character</w:t>
      </w:r>
      <w:r w:rsidR="00FD2B92" w:rsidRPr="000C60E1">
        <w:rPr>
          <w:rFonts w:cs="Arial"/>
        </w:rPr>
        <w:t>istics and ecological habitats);</w:t>
      </w:r>
    </w:p>
    <w:p w14:paraId="05B645A8" w14:textId="2DDA2E87" w:rsidR="00B736F9" w:rsidRPr="000C60E1" w:rsidRDefault="00B736F9" w:rsidP="000E72E5">
      <w:pPr>
        <w:pStyle w:val="ListBullet2"/>
        <w:rPr>
          <w:rFonts w:cs="Arial"/>
        </w:rPr>
      </w:pPr>
      <w:r w:rsidRPr="000C60E1">
        <w:rPr>
          <w:rFonts w:cs="Arial"/>
        </w:rPr>
        <w:lastRenderedPageBreak/>
        <w:t xml:space="preserve">The receptor sub-populations of potential concern: any group with increased sensitivity, either due to, for example, the </w:t>
      </w:r>
      <w:proofErr w:type="spellStart"/>
      <w:r w:rsidRPr="000C60E1">
        <w:rPr>
          <w:rFonts w:cs="Arial"/>
        </w:rPr>
        <w:t>behaviour</w:t>
      </w:r>
      <w:proofErr w:type="spellEnd"/>
      <w:r w:rsidRPr="000C60E1">
        <w:rPr>
          <w:rFonts w:cs="Arial"/>
        </w:rPr>
        <w:t xml:space="preserve">, activity pattern or health status of the sub-population or to the inherent toxicity of the </w:t>
      </w:r>
      <w:smartTag w:uri="urn:schemas-microsoft-com:office:smarttags" w:element="stockticker">
        <w:r w:rsidRPr="000C60E1">
          <w:rPr>
            <w:rFonts w:cs="Arial"/>
          </w:rPr>
          <w:t>COC</w:t>
        </w:r>
      </w:smartTag>
      <w:r w:rsidRPr="000C60E1">
        <w:rPr>
          <w:rFonts w:cs="Arial"/>
        </w:rPr>
        <w:t>; distance to specific VECs, including threatened or endangered species, at or near the property; and</w:t>
      </w:r>
    </w:p>
    <w:p w14:paraId="3C9AFB19" w14:textId="77777777" w:rsidR="004548DB" w:rsidRPr="000C60E1" w:rsidRDefault="00B736F9" w:rsidP="000E72E5">
      <w:pPr>
        <w:pStyle w:val="ListBullet2"/>
        <w:rPr>
          <w:rFonts w:cs="Arial"/>
          <w:highlight w:val="white"/>
        </w:rPr>
      </w:pPr>
      <w:r w:rsidRPr="000C60E1">
        <w:rPr>
          <w:rFonts w:cs="Arial"/>
        </w:rPr>
        <w:t>Uncertainty that exists in terms of characterization of complete exposure pathways and potential receptors</w:t>
      </w:r>
      <w:r w:rsidR="004548DB" w:rsidRPr="000C60E1">
        <w:rPr>
          <w:rFonts w:cs="Arial"/>
        </w:rPr>
        <w:t xml:space="preserve"> (extent and quality of supporting site data, understanding of proposed land use and knowledge of uses and likely uses of adjacent or potentially impacted sites).</w:t>
      </w:r>
    </w:p>
    <w:p w14:paraId="209FC959" w14:textId="7F7733A1" w:rsidR="00B736F9" w:rsidRPr="000C60E1" w:rsidRDefault="00B736F9" w:rsidP="00FF0580">
      <w:pPr>
        <w:pStyle w:val="Heading2"/>
        <w:rPr>
          <w:rFonts w:cs="Arial"/>
        </w:rPr>
      </w:pPr>
      <w:bookmarkStart w:id="277" w:name="_5.3_Exposure_Assessment_Component_o"/>
      <w:bookmarkStart w:id="278" w:name="_Toc91393576"/>
      <w:bookmarkStart w:id="279" w:name="_Toc112727439"/>
      <w:bookmarkStart w:id="280" w:name="_Toc41905715"/>
      <w:bookmarkEnd w:id="277"/>
      <w:r w:rsidRPr="000C60E1">
        <w:rPr>
          <w:rFonts w:cs="Arial"/>
        </w:rPr>
        <w:t>Exposure Assessment</w:t>
      </w:r>
      <w:bookmarkEnd w:id="273"/>
      <w:bookmarkEnd w:id="274"/>
      <w:bookmarkEnd w:id="275"/>
      <w:bookmarkEnd w:id="276"/>
      <w:bookmarkEnd w:id="278"/>
      <w:bookmarkEnd w:id="279"/>
      <w:bookmarkEnd w:id="280"/>
    </w:p>
    <w:p w14:paraId="2CFC17F3" w14:textId="0761118B" w:rsidR="009871FC" w:rsidRPr="000C60E1" w:rsidRDefault="004548DB" w:rsidP="00840964">
      <w:pPr>
        <w:rPr>
          <w:rFonts w:cs="Arial"/>
        </w:rPr>
      </w:pPr>
      <w:r w:rsidRPr="000C60E1">
        <w:rPr>
          <w:rFonts w:cs="Arial"/>
        </w:rPr>
        <w:t xml:space="preserve">Exposure assessment is a detailed analysis of the potential </w:t>
      </w:r>
      <w:r w:rsidR="00B81CE9" w:rsidRPr="000C60E1">
        <w:rPr>
          <w:rFonts w:cs="Arial"/>
        </w:rPr>
        <w:t xml:space="preserve">for a receptor to be exposed to the COCs </w:t>
      </w:r>
      <w:r w:rsidRPr="000C60E1">
        <w:rPr>
          <w:rFonts w:cs="Arial"/>
        </w:rPr>
        <w:t>as described in the ecological conceptual site model (</w:t>
      </w:r>
      <w:r w:rsidR="000C2028" w:rsidRPr="000C60E1">
        <w:rPr>
          <w:rFonts w:cs="Arial"/>
        </w:rPr>
        <w:t>S</w:t>
      </w:r>
      <w:r w:rsidRPr="000C60E1">
        <w:rPr>
          <w:rFonts w:cs="Arial"/>
        </w:rPr>
        <w:t xml:space="preserve">ection </w:t>
      </w:r>
      <w:r w:rsidR="008E72B7" w:rsidRPr="000C60E1">
        <w:rPr>
          <w:rFonts w:cs="Arial"/>
        </w:rPr>
        <w:t>7</w:t>
      </w:r>
      <w:r w:rsidRPr="000C60E1">
        <w:rPr>
          <w:rFonts w:cs="Arial"/>
        </w:rPr>
        <w:t xml:space="preserve">.2.1 of this </w:t>
      </w:r>
      <w:r w:rsidR="000C2028" w:rsidRPr="000C60E1">
        <w:rPr>
          <w:rFonts w:cs="Arial"/>
        </w:rPr>
        <w:t>P</w:t>
      </w:r>
      <w:r w:rsidRPr="000C60E1">
        <w:rPr>
          <w:rFonts w:cs="Arial"/>
        </w:rPr>
        <w:t xml:space="preserve">rocedures document). </w:t>
      </w:r>
      <w:r w:rsidR="00B736F9" w:rsidRPr="000C60E1">
        <w:rPr>
          <w:rFonts w:cs="Arial"/>
        </w:rPr>
        <w:t xml:space="preserve">Exposure Assessment for ERA must evaluate the potential exposure of the VECs to </w:t>
      </w:r>
      <w:r w:rsidR="00661AF9" w:rsidRPr="000C60E1">
        <w:rPr>
          <w:rFonts w:cs="Arial"/>
        </w:rPr>
        <w:t>COCs</w:t>
      </w:r>
      <w:r w:rsidR="00B736F9" w:rsidRPr="000C60E1">
        <w:rPr>
          <w:rFonts w:cs="Arial"/>
        </w:rPr>
        <w:t xml:space="preserve">. </w:t>
      </w:r>
      <w:r w:rsidRPr="000C60E1">
        <w:rPr>
          <w:rFonts w:cs="Arial"/>
        </w:rPr>
        <w:t xml:space="preserve">Qualitative or quantitative exposure assessment may be undertaken according to the </w:t>
      </w:r>
      <w:r w:rsidR="006C4301" w:rsidRPr="000C60E1">
        <w:rPr>
          <w:rFonts w:cs="Arial"/>
        </w:rPr>
        <w:t>risk assessment</w:t>
      </w:r>
      <w:r w:rsidRPr="000C60E1">
        <w:rPr>
          <w:rFonts w:cs="Arial"/>
        </w:rPr>
        <w:t xml:space="preserve"> objectives as described in </w:t>
      </w:r>
      <w:r w:rsidR="000C2028" w:rsidRPr="000C60E1">
        <w:rPr>
          <w:rFonts w:cs="Arial"/>
        </w:rPr>
        <w:t>S</w:t>
      </w:r>
      <w:r w:rsidRPr="000C60E1">
        <w:rPr>
          <w:rFonts w:cs="Arial"/>
        </w:rPr>
        <w:t xml:space="preserve">ections </w:t>
      </w:r>
      <w:r w:rsidR="008E72B7" w:rsidRPr="000C60E1">
        <w:rPr>
          <w:rFonts w:cs="Arial"/>
        </w:rPr>
        <w:t>4</w:t>
      </w:r>
      <w:r w:rsidRPr="000C60E1">
        <w:rPr>
          <w:rFonts w:cs="Arial"/>
        </w:rPr>
        <w:t xml:space="preserve">.2 and </w:t>
      </w:r>
      <w:r w:rsidR="008E72B7" w:rsidRPr="000C60E1">
        <w:rPr>
          <w:rFonts w:cs="Arial"/>
        </w:rPr>
        <w:t>7</w:t>
      </w:r>
      <w:r w:rsidRPr="000C60E1">
        <w:rPr>
          <w:rFonts w:cs="Arial"/>
        </w:rPr>
        <w:t xml:space="preserve">.2.2 of this </w:t>
      </w:r>
      <w:r w:rsidR="000C2028" w:rsidRPr="000C60E1">
        <w:rPr>
          <w:rFonts w:cs="Arial"/>
        </w:rPr>
        <w:t>P</w:t>
      </w:r>
      <w:r w:rsidRPr="000C60E1">
        <w:rPr>
          <w:rFonts w:cs="Arial"/>
        </w:rPr>
        <w:t xml:space="preserve">rocedures document. </w:t>
      </w:r>
      <w:r w:rsidR="00B736F9" w:rsidRPr="000C60E1">
        <w:rPr>
          <w:rFonts w:cs="Arial"/>
        </w:rPr>
        <w:t xml:space="preserve">Methods of estimating exposure point concentrations (including but not limited to modelling of contaminant movement) </w:t>
      </w:r>
      <w:r w:rsidR="009871FC" w:rsidRPr="000C60E1">
        <w:rPr>
          <w:rFonts w:cs="Arial"/>
        </w:rPr>
        <w:t xml:space="preserve">should </w:t>
      </w:r>
      <w:r w:rsidR="00B736F9" w:rsidRPr="000C60E1">
        <w:rPr>
          <w:rFonts w:cs="Arial"/>
        </w:rPr>
        <w:t xml:space="preserve">be compatible with those used for HHRA (i.e. the </w:t>
      </w:r>
      <w:r w:rsidR="009871FC" w:rsidRPr="000C60E1">
        <w:rPr>
          <w:rFonts w:cs="Arial"/>
        </w:rPr>
        <w:t>hy</w:t>
      </w:r>
      <w:r w:rsidR="001E50BF" w:rsidRPr="000C60E1">
        <w:rPr>
          <w:rFonts w:cs="Arial"/>
        </w:rPr>
        <w:t>d</w:t>
      </w:r>
      <w:r w:rsidR="009871FC" w:rsidRPr="000C60E1">
        <w:rPr>
          <w:rFonts w:cs="Arial"/>
        </w:rPr>
        <w:t xml:space="preserve">rogeological interpretation and </w:t>
      </w:r>
      <w:r w:rsidR="006A1912" w:rsidRPr="000C60E1">
        <w:rPr>
          <w:rFonts w:cs="Arial"/>
        </w:rPr>
        <w:t xml:space="preserve">method of </w:t>
      </w:r>
      <w:r w:rsidR="00B736F9" w:rsidRPr="000C60E1">
        <w:rPr>
          <w:rFonts w:cs="Arial"/>
        </w:rPr>
        <w:t>calculation of exposure point concentration via transport modelling must be consistent for both ERA and HHRA).</w:t>
      </w:r>
    </w:p>
    <w:p w14:paraId="5E2F9D17" w14:textId="77777777" w:rsidR="00B736F9" w:rsidRPr="000C60E1" w:rsidRDefault="00B736F9" w:rsidP="00840964">
      <w:pPr>
        <w:rPr>
          <w:rFonts w:cs="Arial"/>
        </w:rPr>
      </w:pPr>
      <w:r w:rsidRPr="000C60E1">
        <w:rPr>
          <w:rFonts w:cs="Arial"/>
        </w:rPr>
        <w:t>Minimum requirements for the Exposure Assessment component of the ERA are provided in Table 1</w:t>
      </w:r>
      <w:r w:rsidR="007B414E" w:rsidRPr="000C60E1">
        <w:rPr>
          <w:rFonts w:cs="Arial"/>
        </w:rPr>
        <w:t xml:space="preserve"> of</w:t>
      </w:r>
      <w:r w:rsidRPr="000C60E1">
        <w:rPr>
          <w:rFonts w:cs="Arial"/>
        </w:rPr>
        <w:t xml:space="preserve"> Schedule C of the Regulation, and are reproduced below</w:t>
      </w:r>
      <w:r w:rsidR="007870C8" w:rsidRPr="000C60E1">
        <w:rPr>
          <w:rFonts w:cs="Arial"/>
        </w:rPr>
        <w:t>.</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29E73D4E" w14:textId="77777777" w:rsidTr="005B40DA">
        <w:trPr>
          <w:trHeight w:val="20"/>
          <w:tblHeader/>
        </w:trPr>
        <w:tc>
          <w:tcPr>
            <w:tcW w:w="2468" w:type="dxa"/>
          </w:tcPr>
          <w:p w14:paraId="63AA770F"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1DA67662"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61851B7"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E03913A"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7B9AA4F9" w14:textId="77777777" w:rsidTr="005B40DA">
        <w:trPr>
          <w:trHeight w:val="20"/>
        </w:trPr>
        <w:tc>
          <w:tcPr>
            <w:tcW w:w="2468" w:type="dxa"/>
          </w:tcPr>
          <w:p w14:paraId="2727AE02"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384B3FF2" w14:textId="77777777" w:rsidR="00276BB8" w:rsidRPr="000C0EF2" w:rsidRDefault="00276BB8" w:rsidP="000C0EF2">
            <w:pPr>
              <w:pStyle w:val="table-e"/>
              <w:spacing w:line="240" w:lineRule="auto"/>
              <w:rPr>
                <w:sz w:val="24"/>
              </w:rPr>
            </w:pPr>
            <w:r w:rsidRPr="000C0EF2">
              <w:rPr>
                <w:sz w:val="24"/>
              </w:rPr>
              <w:t xml:space="preserve">(c)  Exposure Assessment </w:t>
            </w:r>
          </w:p>
        </w:tc>
        <w:tc>
          <w:tcPr>
            <w:tcW w:w="1839" w:type="dxa"/>
          </w:tcPr>
          <w:p w14:paraId="39E0E9C0" w14:textId="77777777" w:rsidR="00276BB8" w:rsidRPr="000C0EF2" w:rsidRDefault="00276BB8"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Pathway Analysis</w:t>
            </w:r>
          </w:p>
        </w:tc>
        <w:tc>
          <w:tcPr>
            <w:tcW w:w="3759" w:type="dxa"/>
          </w:tcPr>
          <w:p w14:paraId="0474457E" w14:textId="77777777" w:rsidR="00276BB8" w:rsidRPr="000C0EF2" w:rsidRDefault="00276BB8" w:rsidP="000C0EF2">
            <w:pPr>
              <w:pStyle w:val="table-e"/>
              <w:spacing w:line="240" w:lineRule="auto"/>
              <w:rPr>
                <w:sz w:val="24"/>
              </w:rPr>
            </w:pPr>
            <w:r w:rsidRPr="000C0EF2">
              <w:rPr>
                <w:sz w:val="24"/>
              </w:rPr>
              <w:t>Describe in detail every exposure pathway identified in the ecological conceptual site model. Justify which exposure pathways are incomplete.</w:t>
            </w:r>
          </w:p>
        </w:tc>
      </w:tr>
      <w:tr w:rsidR="00276BB8" w:rsidRPr="000C0EF2" w14:paraId="5823132C" w14:textId="77777777" w:rsidTr="005B40DA">
        <w:trPr>
          <w:trHeight w:val="20"/>
        </w:trPr>
        <w:tc>
          <w:tcPr>
            <w:tcW w:w="2468" w:type="dxa"/>
          </w:tcPr>
          <w:p w14:paraId="76B7D91E"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06114D10" w14:textId="77777777" w:rsidR="00276BB8" w:rsidRPr="000C0EF2" w:rsidRDefault="00276BB8" w:rsidP="000C0EF2">
            <w:pPr>
              <w:pStyle w:val="table-e"/>
              <w:spacing w:line="240" w:lineRule="auto"/>
              <w:rPr>
                <w:sz w:val="24"/>
              </w:rPr>
            </w:pPr>
            <w:r w:rsidRPr="000C0EF2">
              <w:rPr>
                <w:sz w:val="24"/>
              </w:rPr>
              <w:t>(c)  Exposure Assessment</w:t>
            </w:r>
          </w:p>
        </w:tc>
        <w:tc>
          <w:tcPr>
            <w:tcW w:w="1839" w:type="dxa"/>
          </w:tcPr>
          <w:p w14:paraId="60C60759" w14:textId="77777777" w:rsidR="00276BB8" w:rsidRPr="000C0EF2" w:rsidRDefault="00276BB8" w:rsidP="000C0EF2">
            <w:pPr>
              <w:pStyle w:val="table-e"/>
              <w:spacing w:line="240" w:lineRule="auto"/>
              <w:rPr>
                <w:sz w:val="24"/>
              </w:rPr>
            </w:pPr>
            <w:r w:rsidRPr="000C0EF2">
              <w:rPr>
                <w:sz w:val="24"/>
                <w:lang w:val="fr-CA"/>
              </w:rPr>
              <w:t xml:space="preserve">(ii)  </w:t>
            </w:r>
            <w:r w:rsidRPr="000C0EF2">
              <w:rPr>
                <w:sz w:val="24"/>
              </w:rPr>
              <w:t>Exposure Estimates</w:t>
            </w:r>
          </w:p>
        </w:tc>
        <w:tc>
          <w:tcPr>
            <w:tcW w:w="3759" w:type="dxa"/>
          </w:tcPr>
          <w:p w14:paraId="2814C570" w14:textId="77777777" w:rsidR="00276BB8" w:rsidRPr="000C0EF2" w:rsidRDefault="00276BB8" w:rsidP="000C0EF2">
            <w:pPr>
              <w:pStyle w:val="table-e"/>
              <w:spacing w:line="240" w:lineRule="auto"/>
              <w:rPr>
                <w:sz w:val="24"/>
              </w:rPr>
            </w:pPr>
            <w:r w:rsidRPr="000C0EF2">
              <w:rPr>
                <w:sz w:val="24"/>
              </w:rPr>
              <w:t>For every complete exposure pathway, state,</w:t>
            </w:r>
          </w:p>
          <w:p w14:paraId="3FE726F0" w14:textId="77777777" w:rsidR="00276BB8" w:rsidRPr="000C0EF2" w:rsidRDefault="00276BB8" w:rsidP="000C0EF2">
            <w:pPr>
              <w:pStyle w:val="table-e"/>
              <w:spacing w:line="240" w:lineRule="auto"/>
              <w:rPr>
                <w:sz w:val="24"/>
              </w:rPr>
            </w:pPr>
            <w:r w:rsidRPr="000C0EF2">
              <w:rPr>
                <w:sz w:val="24"/>
              </w:rPr>
              <w:t>(a)  the relative frequency and duration of actual or potential exposures;</w:t>
            </w:r>
          </w:p>
          <w:p w14:paraId="21CDA972" w14:textId="77777777" w:rsidR="00276BB8" w:rsidRPr="000C0EF2" w:rsidRDefault="00276BB8" w:rsidP="000C0EF2">
            <w:pPr>
              <w:pStyle w:val="table-e"/>
              <w:spacing w:line="240" w:lineRule="auto"/>
              <w:rPr>
                <w:sz w:val="24"/>
              </w:rPr>
            </w:pPr>
            <w:r w:rsidRPr="000C0EF2">
              <w:rPr>
                <w:sz w:val="24"/>
              </w:rPr>
              <w:t xml:space="preserve">(b)  the relative magnitude of exposure to the valued ecosystem components, using measured contaminant exposure concentrations or concentrations predicted through fate and transport modelling in a manner compatible with that used in the </w:t>
            </w:r>
            <w:r w:rsidRPr="000C0EF2">
              <w:rPr>
                <w:sz w:val="24"/>
              </w:rPr>
              <w:lastRenderedPageBreak/>
              <w:t>human health risk assessment; and</w:t>
            </w:r>
          </w:p>
          <w:p w14:paraId="69EA2F3C" w14:textId="77777777" w:rsidR="00276BB8" w:rsidRPr="000C0EF2" w:rsidRDefault="00276BB8" w:rsidP="000C0EF2">
            <w:pPr>
              <w:pStyle w:val="table-e"/>
              <w:spacing w:line="240" w:lineRule="auto"/>
              <w:rPr>
                <w:sz w:val="24"/>
              </w:rPr>
            </w:pPr>
            <w:r w:rsidRPr="000C0EF2">
              <w:rPr>
                <w:sz w:val="24"/>
              </w:rPr>
              <w:t>(c)  given the uncertainty described under the heading of “Problem Formulation”, how does this uncertainty affect the outcomes of the exposure assessments conducted under clauses (a) and (b).</w:t>
            </w:r>
          </w:p>
        </w:tc>
      </w:tr>
    </w:tbl>
    <w:p w14:paraId="54A35AEC" w14:textId="77777777" w:rsidR="007870C8" w:rsidRPr="000C60E1" w:rsidRDefault="007870C8" w:rsidP="00581D44">
      <w:pPr>
        <w:rPr>
          <w:rFonts w:cs="Arial"/>
        </w:rPr>
      </w:pPr>
      <w:bookmarkStart w:id="281" w:name="_Toc91393577"/>
      <w:bookmarkStart w:id="282" w:name="_Toc112727440"/>
      <w:r w:rsidRPr="000C60E1">
        <w:rPr>
          <w:rFonts w:cs="Arial"/>
        </w:rPr>
        <w:lastRenderedPageBreak/>
        <w:t>Further guidance is provided in the following sections</w:t>
      </w:r>
      <w:r w:rsidR="00BF2F5E" w:rsidRPr="000C60E1">
        <w:rPr>
          <w:rFonts w:cs="Arial"/>
        </w:rPr>
        <w:t xml:space="preserve"> of this </w:t>
      </w:r>
      <w:r w:rsidR="00320403" w:rsidRPr="000C60E1">
        <w:rPr>
          <w:rFonts w:cs="Arial"/>
        </w:rPr>
        <w:t>P</w:t>
      </w:r>
      <w:r w:rsidR="00BF2F5E" w:rsidRPr="000C60E1">
        <w:rPr>
          <w:rFonts w:cs="Arial"/>
        </w:rPr>
        <w:t>rocedures document</w:t>
      </w:r>
      <w:r w:rsidRPr="000C60E1">
        <w:rPr>
          <w:rFonts w:cs="Arial"/>
        </w:rPr>
        <w:t>.</w:t>
      </w:r>
    </w:p>
    <w:p w14:paraId="19E3E4B5" w14:textId="5DACB62A" w:rsidR="00B736F9" w:rsidRPr="000C60E1" w:rsidRDefault="00B736F9" w:rsidP="00DE496B">
      <w:pPr>
        <w:pStyle w:val="Heading3"/>
        <w:rPr>
          <w:rFonts w:cs="Arial"/>
        </w:rPr>
      </w:pPr>
      <w:bookmarkStart w:id="283" w:name="_Toc41905716"/>
      <w:r w:rsidRPr="000C60E1">
        <w:rPr>
          <w:rFonts w:cs="Arial"/>
        </w:rPr>
        <w:t>Pathway Analysis</w:t>
      </w:r>
      <w:bookmarkEnd w:id="281"/>
      <w:bookmarkEnd w:id="282"/>
      <w:bookmarkEnd w:id="283"/>
    </w:p>
    <w:p w14:paraId="56C9A67B" w14:textId="3938215A" w:rsidR="00B736F9" w:rsidRPr="002A75F2" w:rsidRDefault="00B736F9" w:rsidP="00840964">
      <w:pPr>
        <w:rPr>
          <w:rFonts w:cs="Arial"/>
        </w:rPr>
      </w:pPr>
      <w:r w:rsidRPr="000C60E1">
        <w:rPr>
          <w:rFonts w:cs="Arial"/>
          <w:highlight w:val="white"/>
        </w:rPr>
        <w:t xml:space="preserve">In the </w:t>
      </w:r>
      <w:r w:rsidR="0041572E" w:rsidRPr="000C60E1">
        <w:rPr>
          <w:rFonts w:cs="Arial"/>
          <w:highlight w:val="white"/>
        </w:rPr>
        <w:t>RA report</w:t>
      </w:r>
      <w:r w:rsidR="00521DEE" w:rsidRPr="000C60E1">
        <w:rPr>
          <w:rFonts w:cs="Arial"/>
          <w:highlight w:val="white"/>
        </w:rPr>
        <w:t>,</w:t>
      </w:r>
      <w:r w:rsidRPr="000C60E1">
        <w:rPr>
          <w:rFonts w:cs="Arial"/>
          <w:highlight w:val="white"/>
        </w:rPr>
        <w:t xml:space="preserve"> the pathway analysis must identify the exposure routes and pathways considered potentially complete or complete without risk management measures</w:t>
      </w:r>
      <w:r w:rsidRPr="000C60E1">
        <w:rPr>
          <w:rFonts w:cs="Arial"/>
        </w:rPr>
        <w:t xml:space="preserve">. Any exposure pathways which can be anticipated based on chemical properties and site geology should be included in the exposure assessment. Elimination of these pathways from assessment will require justification in the form of pathway-specific site assessment evidence. </w:t>
      </w:r>
      <w:r w:rsidRPr="002A75F2">
        <w:rPr>
          <w:rFonts w:cs="Arial"/>
        </w:rPr>
        <w:t xml:space="preserve">Pathways which can be anticipated but which will be mitigated by a barrier or other measure </w:t>
      </w:r>
      <w:r w:rsidR="00320403" w:rsidRPr="002A75F2">
        <w:rPr>
          <w:rFonts w:cs="Arial"/>
        </w:rPr>
        <w:t xml:space="preserve">must </w:t>
      </w:r>
      <w:r w:rsidR="00521DEE" w:rsidRPr="002A75F2">
        <w:rPr>
          <w:rFonts w:cs="Arial"/>
        </w:rPr>
        <w:t xml:space="preserve">first </w:t>
      </w:r>
      <w:r w:rsidRPr="002A75F2">
        <w:rPr>
          <w:rFonts w:cs="Arial"/>
        </w:rPr>
        <w:t xml:space="preserve">be included </w:t>
      </w:r>
      <w:r w:rsidR="009871FC" w:rsidRPr="002A75F2">
        <w:rPr>
          <w:rFonts w:cs="Arial"/>
        </w:rPr>
        <w:t xml:space="preserve">for the assessment of risk level. The barrier or other measure </w:t>
      </w:r>
      <w:r w:rsidR="00320403" w:rsidRPr="002A75F2">
        <w:rPr>
          <w:rFonts w:cs="Arial"/>
        </w:rPr>
        <w:t xml:space="preserve">can then </w:t>
      </w:r>
      <w:r w:rsidR="009871FC" w:rsidRPr="002A75F2">
        <w:rPr>
          <w:rFonts w:cs="Arial"/>
        </w:rPr>
        <w:t xml:space="preserve">be identified </w:t>
      </w:r>
      <w:r w:rsidRPr="002A75F2">
        <w:rPr>
          <w:rFonts w:cs="Arial"/>
        </w:rPr>
        <w:t>as risk management measures in the development of property</w:t>
      </w:r>
      <w:r w:rsidR="00581D44" w:rsidRPr="002A75F2">
        <w:rPr>
          <w:rFonts w:cs="Arial"/>
        </w:rPr>
        <w:t xml:space="preserve"> </w:t>
      </w:r>
      <w:r w:rsidRPr="002A75F2">
        <w:rPr>
          <w:rFonts w:cs="Arial"/>
        </w:rPr>
        <w:t xml:space="preserve">specific </w:t>
      </w:r>
      <w:r w:rsidR="00320403" w:rsidRPr="002A75F2">
        <w:rPr>
          <w:rFonts w:cs="Arial"/>
        </w:rPr>
        <w:t>standards</w:t>
      </w:r>
      <w:r w:rsidRPr="002A75F2">
        <w:rPr>
          <w:rFonts w:cs="Arial"/>
        </w:rPr>
        <w:t>. The analysis should address the exposure pathways of concern, including exposures via all potential media, and considering the current and/or future condition of the RA property without risk mitigation measures, including the following:</w:t>
      </w:r>
    </w:p>
    <w:p w14:paraId="11049567" w14:textId="77777777" w:rsidR="00B736F9" w:rsidRPr="002A75F2" w:rsidRDefault="00B736F9" w:rsidP="000E72E5">
      <w:pPr>
        <w:pStyle w:val="ListBullet2"/>
        <w:rPr>
          <w:rFonts w:cs="Arial"/>
        </w:rPr>
      </w:pPr>
      <w:r w:rsidRPr="002A75F2">
        <w:rPr>
          <w:rFonts w:cs="Arial"/>
        </w:rPr>
        <w:t xml:space="preserve">Exposure pathways of concern </w:t>
      </w:r>
      <w:r w:rsidR="004548DB" w:rsidRPr="002A75F2">
        <w:rPr>
          <w:rFonts w:cs="Arial"/>
        </w:rPr>
        <w:t xml:space="preserve">according to the ecological conceptual site model (Section </w:t>
      </w:r>
      <w:r w:rsidR="008E72B7" w:rsidRPr="002A75F2">
        <w:rPr>
          <w:rFonts w:cs="Arial"/>
        </w:rPr>
        <w:t>7</w:t>
      </w:r>
      <w:r w:rsidR="004548DB" w:rsidRPr="002A75F2">
        <w:rPr>
          <w:rFonts w:cs="Arial"/>
        </w:rPr>
        <w:t xml:space="preserve">.2.1 of this </w:t>
      </w:r>
      <w:r w:rsidR="002344B6" w:rsidRPr="002A75F2">
        <w:rPr>
          <w:rFonts w:cs="Arial"/>
        </w:rPr>
        <w:t>P</w:t>
      </w:r>
      <w:r w:rsidR="004548DB" w:rsidRPr="002A75F2">
        <w:rPr>
          <w:rFonts w:cs="Arial"/>
        </w:rPr>
        <w:t>rocedure</w:t>
      </w:r>
      <w:r w:rsidR="00292E15" w:rsidRPr="002A75F2">
        <w:rPr>
          <w:rFonts w:cs="Arial"/>
        </w:rPr>
        <w:t>s</w:t>
      </w:r>
      <w:r w:rsidR="004548DB" w:rsidRPr="002A75F2">
        <w:rPr>
          <w:rFonts w:cs="Arial"/>
        </w:rPr>
        <w:t xml:space="preserve"> document)</w:t>
      </w:r>
      <w:r w:rsidR="003E1B98" w:rsidRPr="002A75F2">
        <w:rPr>
          <w:rFonts w:cs="Arial"/>
        </w:rPr>
        <w:t>;</w:t>
      </w:r>
    </w:p>
    <w:p w14:paraId="77E4464A" w14:textId="77777777" w:rsidR="004548DB" w:rsidRPr="002A75F2" w:rsidRDefault="00B736F9" w:rsidP="000E72E5">
      <w:pPr>
        <w:pStyle w:val="ListBullet2"/>
        <w:rPr>
          <w:rFonts w:cs="Arial"/>
        </w:rPr>
      </w:pPr>
      <w:r w:rsidRPr="002A75F2">
        <w:rPr>
          <w:rFonts w:cs="Arial"/>
        </w:rPr>
        <w:t xml:space="preserve">The sources for all potential releases </w:t>
      </w:r>
      <w:r w:rsidR="003E1B98" w:rsidRPr="002A75F2">
        <w:rPr>
          <w:rFonts w:cs="Arial"/>
        </w:rPr>
        <w:t>(past, present and future);</w:t>
      </w:r>
    </w:p>
    <w:p w14:paraId="0B6975BA" w14:textId="77777777" w:rsidR="004548DB" w:rsidRPr="002A75F2" w:rsidRDefault="00A569E2" w:rsidP="000E72E5">
      <w:pPr>
        <w:pStyle w:val="ListBullet2"/>
        <w:rPr>
          <w:rFonts w:cs="Arial"/>
        </w:rPr>
      </w:pPr>
      <w:r w:rsidRPr="002A75F2">
        <w:rPr>
          <w:rFonts w:cs="Arial"/>
        </w:rPr>
        <w:t>T</w:t>
      </w:r>
      <w:r w:rsidR="00B736F9" w:rsidRPr="002A75F2">
        <w:rPr>
          <w:rFonts w:cs="Arial"/>
        </w:rPr>
        <w:t>he potential receiving media</w:t>
      </w:r>
      <w:r w:rsidR="00840964" w:rsidRPr="002A75F2">
        <w:rPr>
          <w:rFonts w:cs="Arial"/>
        </w:rPr>
        <w:t xml:space="preserve"> </w:t>
      </w:r>
      <w:r w:rsidR="00B736F9" w:rsidRPr="002A75F2">
        <w:rPr>
          <w:rFonts w:cs="Arial"/>
        </w:rPr>
        <w:t>(air, surface water, groundwater, soil, sediment, biota), and</w:t>
      </w:r>
    </w:p>
    <w:p w14:paraId="67D62953" w14:textId="77777777" w:rsidR="00B736F9" w:rsidRPr="002A75F2" w:rsidRDefault="00A569E2" w:rsidP="000E72E5">
      <w:pPr>
        <w:pStyle w:val="ListBullet2"/>
        <w:rPr>
          <w:rFonts w:cs="Arial"/>
        </w:rPr>
      </w:pPr>
      <w:r w:rsidRPr="002A75F2">
        <w:rPr>
          <w:rFonts w:cs="Arial"/>
        </w:rPr>
        <w:t>E</w:t>
      </w:r>
      <w:r w:rsidR="00B736F9" w:rsidRPr="002A75F2">
        <w:rPr>
          <w:rFonts w:cs="Arial"/>
        </w:rPr>
        <w:t xml:space="preserve">valuation of the physical and chemical fate and transport properties of the </w:t>
      </w:r>
      <w:smartTag w:uri="urn:schemas-microsoft-com:office:smarttags" w:element="stockticker">
        <w:r w:rsidR="00B736F9" w:rsidRPr="002A75F2">
          <w:rPr>
            <w:rFonts w:cs="Arial"/>
          </w:rPr>
          <w:t>COC</w:t>
        </w:r>
      </w:smartTag>
      <w:r w:rsidR="00B736F9" w:rsidRPr="002A75F2">
        <w:rPr>
          <w:rFonts w:cs="Arial"/>
        </w:rPr>
        <w:t xml:space="preserve"> to identify the media that are receiving or may receive the </w:t>
      </w:r>
      <w:r w:rsidR="00A346DE" w:rsidRPr="002A75F2">
        <w:rPr>
          <w:rFonts w:cs="Arial"/>
        </w:rPr>
        <w:t>COC</w:t>
      </w:r>
      <w:r w:rsidR="00B736F9" w:rsidRPr="002A75F2">
        <w:rPr>
          <w:rFonts w:cs="Arial"/>
        </w:rPr>
        <w:t>;</w:t>
      </w:r>
    </w:p>
    <w:p w14:paraId="1DFC3D4E" w14:textId="4718210F" w:rsidR="00B736F9" w:rsidRPr="002A75F2" w:rsidRDefault="00B736F9" w:rsidP="000E72E5">
      <w:pPr>
        <w:pStyle w:val="ListBullet2"/>
        <w:rPr>
          <w:rFonts w:cs="Arial"/>
        </w:rPr>
      </w:pPr>
      <w:r w:rsidRPr="002A75F2">
        <w:rPr>
          <w:rFonts w:cs="Arial"/>
        </w:rPr>
        <w:t xml:space="preserve">The exposure points (i.e. where the potentially exposed population can </w:t>
      </w:r>
      <w:r w:rsidR="00A346DE" w:rsidRPr="002A75F2">
        <w:rPr>
          <w:rFonts w:cs="Arial"/>
        </w:rPr>
        <w:t xml:space="preserve">come into </w:t>
      </w:r>
      <w:r w:rsidRPr="002A75F2">
        <w:rPr>
          <w:rFonts w:cs="Arial"/>
        </w:rPr>
        <w:t xml:space="preserve">contact </w:t>
      </w:r>
      <w:r w:rsidR="00A346DE" w:rsidRPr="002A75F2">
        <w:rPr>
          <w:rFonts w:cs="Arial"/>
        </w:rPr>
        <w:t xml:space="preserve">with </w:t>
      </w:r>
      <w:r w:rsidRPr="002A75F2">
        <w:rPr>
          <w:rFonts w:cs="Arial"/>
        </w:rPr>
        <w:t xml:space="preserve">the </w:t>
      </w:r>
      <w:smartTag w:uri="urn:schemas-microsoft-com:office:smarttags" w:element="stockticker">
        <w:r w:rsidRPr="002A75F2">
          <w:rPr>
            <w:rFonts w:cs="Arial"/>
          </w:rPr>
          <w:t>COC</w:t>
        </w:r>
      </w:smartTag>
      <w:r w:rsidRPr="002A75F2">
        <w:rPr>
          <w:rFonts w:cs="Arial"/>
        </w:rPr>
        <w:t>);</w:t>
      </w:r>
    </w:p>
    <w:p w14:paraId="70C89F3E" w14:textId="77777777" w:rsidR="00B736F9" w:rsidRPr="000C60E1" w:rsidRDefault="00B736F9" w:rsidP="000E72E5">
      <w:pPr>
        <w:pStyle w:val="ListBullet2"/>
        <w:rPr>
          <w:rFonts w:cs="Arial"/>
        </w:rPr>
      </w:pPr>
      <w:r w:rsidRPr="002A75F2">
        <w:rPr>
          <w:rFonts w:cs="Arial"/>
        </w:rPr>
        <w:t>The exposure routes</w:t>
      </w:r>
      <w:r w:rsidR="004E0658" w:rsidRPr="002A75F2">
        <w:rPr>
          <w:rFonts w:cs="Arial"/>
        </w:rPr>
        <w:t xml:space="preserve">, which </w:t>
      </w:r>
      <w:r w:rsidRPr="002A75F2">
        <w:rPr>
          <w:rFonts w:cs="Arial"/>
        </w:rPr>
        <w:t xml:space="preserve">could include but </w:t>
      </w:r>
      <w:r w:rsidR="004E0658" w:rsidRPr="002A75F2">
        <w:rPr>
          <w:rFonts w:cs="Arial"/>
        </w:rPr>
        <w:t xml:space="preserve">may </w:t>
      </w:r>
      <w:r w:rsidRPr="002A75F2">
        <w:rPr>
          <w:rFonts w:cs="Arial"/>
        </w:rPr>
        <w:t xml:space="preserve">not </w:t>
      </w:r>
      <w:r w:rsidR="004E0658" w:rsidRPr="002A75F2">
        <w:rPr>
          <w:rFonts w:cs="Arial"/>
        </w:rPr>
        <w:t xml:space="preserve">be </w:t>
      </w:r>
      <w:r w:rsidRPr="002A75F2">
        <w:rPr>
          <w:rFonts w:cs="Arial"/>
        </w:rPr>
        <w:t>limited to ingestion</w:t>
      </w:r>
      <w:r w:rsidRPr="000C60E1">
        <w:rPr>
          <w:rFonts w:cs="Arial"/>
        </w:rPr>
        <w:t xml:space="preserve"> of soil/water and/or </w:t>
      </w:r>
      <w:r w:rsidR="006A1912" w:rsidRPr="000C60E1">
        <w:rPr>
          <w:rFonts w:cs="Arial"/>
        </w:rPr>
        <w:t>food</w:t>
      </w:r>
      <w:r w:rsidRPr="000C60E1">
        <w:rPr>
          <w:rFonts w:cs="Arial"/>
        </w:rPr>
        <w:t xml:space="preserve">, inhalation of </w:t>
      </w:r>
      <w:proofErr w:type="spellStart"/>
      <w:r w:rsidRPr="000C60E1">
        <w:rPr>
          <w:rFonts w:cs="Arial"/>
        </w:rPr>
        <w:t>vapour</w:t>
      </w:r>
      <w:proofErr w:type="spellEnd"/>
      <w:r w:rsidRPr="000C60E1">
        <w:rPr>
          <w:rFonts w:cs="Arial"/>
        </w:rPr>
        <w:t>, inhalation of soil particles and dust, dermal contact with soil/water and other routes that may be associated with the contaminated media.</w:t>
      </w:r>
    </w:p>
    <w:p w14:paraId="5B91F96B" w14:textId="77777777" w:rsidR="00A569E2" w:rsidRPr="000C60E1" w:rsidRDefault="00A569E2" w:rsidP="00A569E2">
      <w:pPr>
        <w:rPr>
          <w:rFonts w:cs="Arial"/>
        </w:rPr>
      </w:pPr>
      <w:r w:rsidRPr="000C60E1">
        <w:rPr>
          <w:rFonts w:cs="Arial"/>
        </w:rPr>
        <w:t>The following points should be considered when evaluating exposure pathways.</w:t>
      </w:r>
    </w:p>
    <w:p w14:paraId="0A1A6D4B" w14:textId="6BE4EAFA" w:rsidR="00B736F9" w:rsidRPr="000C60E1" w:rsidRDefault="00B736F9" w:rsidP="000E72E5">
      <w:pPr>
        <w:pStyle w:val="ListBullet2"/>
        <w:rPr>
          <w:rFonts w:cs="Arial"/>
        </w:rPr>
      </w:pPr>
      <w:r w:rsidRPr="000C60E1">
        <w:rPr>
          <w:rFonts w:cs="Arial"/>
        </w:rPr>
        <w:lastRenderedPageBreak/>
        <w:t>Discuss the environmental fate of the contaminants including possible degradation. When sufficient laboratory and field evidence indicates that a contaminant could be degraded/biodegraded (transformed/</w:t>
      </w:r>
      <w:proofErr w:type="spellStart"/>
      <w:r w:rsidRPr="000C60E1">
        <w:rPr>
          <w:rFonts w:cs="Arial"/>
        </w:rPr>
        <w:t>biotransformed</w:t>
      </w:r>
      <w:proofErr w:type="spellEnd"/>
      <w:r w:rsidRPr="000C60E1">
        <w:rPr>
          <w:rFonts w:cs="Arial"/>
        </w:rPr>
        <w:t>) to a relatively more toxic and persistent intermediate/product, the future concentration of the potential degradation product/intermediate should be estimated from the present concentration of its precursors, if possible (</w:t>
      </w:r>
      <w:r w:rsidR="008A792B" w:rsidRPr="000C60E1">
        <w:rPr>
          <w:rFonts w:cs="Arial"/>
        </w:rPr>
        <w:t xml:space="preserve">e.g. </w:t>
      </w:r>
      <w:r w:rsidRPr="000C60E1">
        <w:rPr>
          <w:rFonts w:cs="Arial"/>
        </w:rPr>
        <w:t xml:space="preserve">the anaerobic biodegradation of chlorinated </w:t>
      </w:r>
      <w:proofErr w:type="spellStart"/>
      <w:r w:rsidRPr="000C60E1">
        <w:rPr>
          <w:rFonts w:cs="Arial"/>
        </w:rPr>
        <w:t>aliphatics</w:t>
      </w:r>
      <w:proofErr w:type="spellEnd"/>
      <w:r w:rsidRPr="000C60E1">
        <w:rPr>
          <w:rFonts w:cs="Arial"/>
        </w:rPr>
        <w:t xml:space="preserve"> in groundwater)</w:t>
      </w:r>
      <w:r w:rsidR="000868DD" w:rsidRPr="000C60E1">
        <w:rPr>
          <w:rFonts w:cs="Arial"/>
        </w:rPr>
        <w:t>.</w:t>
      </w:r>
    </w:p>
    <w:p w14:paraId="32DF8D8B" w14:textId="77777777" w:rsidR="00B736F9" w:rsidRPr="000C60E1" w:rsidRDefault="00B736F9" w:rsidP="000E72E5">
      <w:pPr>
        <w:pStyle w:val="ListBullet2"/>
        <w:rPr>
          <w:rFonts w:cs="Arial"/>
        </w:rPr>
      </w:pPr>
      <w:r w:rsidRPr="000C60E1">
        <w:rPr>
          <w:rFonts w:cs="Arial"/>
        </w:rPr>
        <w:t xml:space="preserve">Identify direct and indirect routes </w:t>
      </w:r>
      <w:r w:rsidR="00A569E2" w:rsidRPr="000C60E1">
        <w:rPr>
          <w:rFonts w:cs="Arial"/>
        </w:rPr>
        <w:t xml:space="preserve">(via intermediate receptors such as food/prey) </w:t>
      </w:r>
      <w:r w:rsidRPr="000C60E1">
        <w:rPr>
          <w:rFonts w:cs="Arial"/>
        </w:rPr>
        <w:t xml:space="preserve">and pathways of exposure for each </w:t>
      </w:r>
      <w:r w:rsidR="006A1912" w:rsidRPr="000C60E1">
        <w:rPr>
          <w:rFonts w:cs="Arial"/>
        </w:rPr>
        <w:t>VEC</w:t>
      </w:r>
      <w:r w:rsidRPr="000C60E1">
        <w:rPr>
          <w:rFonts w:cs="Arial"/>
        </w:rPr>
        <w:t>.</w:t>
      </w:r>
    </w:p>
    <w:p w14:paraId="4545E949" w14:textId="77777777" w:rsidR="00B736F9" w:rsidRPr="000C60E1" w:rsidRDefault="00B736F9" w:rsidP="000E72E5">
      <w:pPr>
        <w:pStyle w:val="ListBullet2"/>
        <w:rPr>
          <w:rFonts w:cs="Arial"/>
        </w:rPr>
      </w:pPr>
      <w:r w:rsidRPr="000C60E1">
        <w:rPr>
          <w:rFonts w:cs="Arial"/>
        </w:rPr>
        <w:t xml:space="preserve">Taking into account the proposed property use, plans for construction and the fate and transport of the contaminant in the environment, identify and document relevant exposure scenarios and exposure route/pathways to on-site and off-site </w:t>
      </w:r>
      <w:r w:rsidR="006A1912" w:rsidRPr="000C60E1">
        <w:rPr>
          <w:rFonts w:cs="Arial"/>
        </w:rPr>
        <w:t>VECs</w:t>
      </w:r>
      <w:r w:rsidRPr="000C60E1">
        <w:rPr>
          <w:rFonts w:cs="Arial"/>
        </w:rPr>
        <w:t>.</w:t>
      </w:r>
    </w:p>
    <w:p w14:paraId="26135C8E" w14:textId="77777777" w:rsidR="008F2F46" w:rsidRPr="000C60E1" w:rsidRDefault="008F2F46" w:rsidP="000E72E5">
      <w:pPr>
        <w:pStyle w:val="ListBullet2"/>
        <w:rPr>
          <w:rFonts w:cs="Arial"/>
        </w:rPr>
      </w:pPr>
      <w:r w:rsidRPr="000C60E1">
        <w:rPr>
          <w:rFonts w:cs="Arial"/>
        </w:rPr>
        <w:t xml:space="preserve">Justify the exclusion (if any) of receptors and exposure route/pathways associated with development of the component values for the full depth generic </w:t>
      </w:r>
      <w:r w:rsidR="009871FC" w:rsidRPr="000C60E1">
        <w:rPr>
          <w:rFonts w:cs="Arial"/>
        </w:rPr>
        <w:t xml:space="preserve">site condition standards </w:t>
      </w:r>
      <w:r w:rsidRPr="000C60E1">
        <w:rPr>
          <w:rFonts w:cs="Arial"/>
        </w:rPr>
        <w:t>(</w:t>
      </w:r>
      <w:r w:rsidR="002344B6" w:rsidRPr="000C60E1">
        <w:rPr>
          <w:rFonts w:cs="Arial"/>
        </w:rPr>
        <w:t xml:space="preserve">refer to the </w:t>
      </w:r>
      <w:r w:rsidR="00BA57DC" w:rsidRPr="000C60E1">
        <w:rPr>
          <w:rFonts w:cs="Arial"/>
        </w:rPr>
        <w:t>“</w:t>
      </w:r>
      <w:r w:rsidRPr="000C60E1">
        <w:rPr>
          <w:rFonts w:cs="Arial"/>
        </w:rPr>
        <w:t>Rationale for the Development of Generic Soil</w:t>
      </w:r>
      <w:r w:rsidR="002344B6" w:rsidRPr="000C60E1">
        <w:rPr>
          <w:rFonts w:cs="Arial"/>
        </w:rPr>
        <w:t xml:space="preserve"> and</w:t>
      </w:r>
      <w:r w:rsidRPr="000C60E1">
        <w:rPr>
          <w:rFonts w:cs="Arial"/>
        </w:rPr>
        <w:t xml:space="preserve"> Ground Water </w:t>
      </w:r>
      <w:r w:rsidR="002344B6" w:rsidRPr="000C60E1">
        <w:rPr>
          <w:rFonts w:cs="Arial"/>
        </w:rPr>
        <w:t>Standards</w:t>
      </w:r>
      <w:r w:rsidRPr="000C60E1">
        <w:rPr>
          <w:rFonts w:cs="Arial"/>
        </w:rPr>
        <w:t xml:space="preserve"> for </w:t>
      </w:r>
      <w:r w:rsidR="002E7F31" w:rsidRPr="000C60E1">
        <w:rPr>
          <w:rFonts w:cs="Arial"/>
        </w:rPr>
        <w:t>U</w:t>
      </w:r>
      <w:r w:rsidRPr="000C60E1">
        <w:rPr>
          <w:rFonts w:cs="Arial"/>
        </w:rPr>
        <w:t>se at Contaminated Sites in Ontario</w:t>
      </w:r>
      <w:r w:rsidR="00BA57DC" w:rsidRPr="000C60E1">
        <w:rPr>
          <w:rFonts w:cs="Arial"/>
        </w:rPr>
        <w:t>”</w:t>
      </w:r>
      <w:r w:rsidRPr="000C60E1">
        <w:rPr>
          <w:rFonts w:cs="Arial"/>
        </w:rPr>
        <w:t xml:space="preserve">, </w:t>
      </w:r>
      <w:r w:rsidR="002344B6" w:rsidRPr="000C60E1">
        <w:rPr>
          <w:rFonts w:cs="Arial"/>
        </w:rPr>
        <w:t>(2011</w:t>
      </w:r>
      <w:r w:rsidRPr="000C60E1">
        <w:rPr>
          <w:rFonts w:cs="Arial"/>
        </w:rPr>
        <w:t xml:space="preserve"> MOE).</w:t>
      </w:r>
    </w:p>
    <w:p w14:paraId="4FD26E8E" w14:textId="39C4630F" w:rsidR="00B736F9" w:rsidRPr="000C60E1" w:rsidRDefault="00B736F9" w:rsidP="00DE496B">
      <w:pPr>
        <w:pStyle w:val="Heading3"/>
        <w:rPr>
          <w:rFonts w:cs="Arial"/>
        </w:rPr>
      </w:pPr>
      <w:bookmarkStart w:id="284" w:name="_Toc91393578"/>
      <w:bookmarkStart w:id="285" w:name="_Toc112727441"/>
      <w:bookmarkStart w:id="286" w:name="_Toc41905717"/>
      <w:r w:rsidRPr="000C60E1">
        <w:rPr>
          <w:rFonts w:cs="Arial"/>
        </w:rPr>
        <w:t>Exposure Estimates</w:t>
      </w:r>
      <w:bookmarkEnd w:id="284"/>
      <w:bookmarkEnd w:id="285"/>
      <w:bookmarkEnd w:id="286"/>
    </w:p>
    <w:p w14:paraId="56E8158D" w14:textId="587E0519" w:rsidR="00B736F9" w:rsidRPr="000C60E1" w:rsidRDefault="00B736F9" w:rsidP="00840964">
      <w:pPr>
        <w:rPr>
          <w:rFonts w:cs="Arial"/>
        </w:rPr>
      </w:pPr>
      <w:r w:rsidRPr="000C60E1">
        <w:rPr>
          <w:rFonts w:cs="Arial"/>
        </w:rPr>
        <w:t xml:space="preserve">The exposure assessment should document the </w:t>
      </w:r>
      <w:r w:rsidR="00661AF9" w:rsidRPr="000C60E1">
        <w:rPr>
          <w:rFonts w:cs="Arial"/>
        </w:rPr>
        <w:t>COCs</w:t>
      </w:r>
      <w:r w:rsidRPr="000C60E1">
        <w:rPr>
          <w:rFonts w:cs="Arial"/>
        </w:rPr>
        <w:t xml:space="preserve"> to be assessed for specific VECs and follow through </w:t>
      </w:r>
      <w:r w:rsidR="00FB474A" w:rsidRPr="000C60E1">
        <w:rPr>
          <w:rFonts w:cs="Arial"/>
        </w:rPr>
        <w:t>with pathway</w:t>
      </w:r>
      <w:r w:rsidRPr="000C60E1">
        <w:rPr>
          <w:rFonts w:cs="Arial"/>
        </w:rPr>
        <w:t xml:space="preserve"> analysis and </w:t>
      </w:r>
      <w:r w:rsidR="00FB474A" w:rsidRPr="000C60E1">
        <w:rPr>
          <w:rFonts w:cs="Arial"/>
        </w:rPr>
        <w:t>quantification.</w:t>
      </w:r>
    </w:p>
    <w:p w14:paraId="208FA581" w14:textId="69196C14" w:rsidR="00DF6FFA" w:rsidRPr="000C60E1" w:rsidRDefault="00DF6FFA" w:rsidP="00840964">
      <w:pPr>
        <w:rPr>
          <w:rFonts w:cs="Arial"/>
        </w:rPr>
      </w:pPr>
      <w:r w:rsidRPr="000C60E1">
        <w:rPr>
          <w:rFonts w:cs="Arial"/>
        </w:rPr>
        <w:t>In many cases, quantification of exposure estimates will be required to meet the risk assessment objectives. Quantification of the exposure to the receptors refers to the calculation of intake or uptake rates or delivered target dose for each exposure pathway/route and the total aggregate exposure if relevant.</w:t>
      </w:r>
      <w:r w:rsidR="006C1F56" w:rsidRPr="000C60E1">
        <w:rPr>
          <w:rFonts w:cs="Arial"/>
        </w:rPr>
        <w:t xml:space="preserve"> </w:t>
      </w:r>
      <w:r w:rsidRPr="000C60E1">
        <w:rPr>
          <w:rFonts w:cs="Arial"/>
        </w:rPr>
        <w:t>Quantification of the contaminant intake and uptake should be done for each potentially complete exposure pathway. Quantification should include the following information:</w:t>
      </w:r>
    </w:p>
    <w:p w14:paraId="41CD1331" w14:textId="77777777" w:rsidR="00DF6FFA" w:rsidRPr="000C60E1" w:rsidRDefault="00DF6FFA" w:rsidP="000E72E5">
      <w:pPr>
        <w:pStyle w:val="ListBullet2"/>
        <w:rPr>
          <w:rFonts w:cs="Arial"/>
        </w:rPr>
      </w:pPr>
      <w:r w:rsidRPr="000C60E1">
        <w:rPr>
          <w:rFonts w:cs="Arial"/>
        </w:rPr>
        <w:t>Exposure concentration that is contacted over the exposure period at the external exposure point for each pathway,</w:t>
      </w:r>
    </w:p>
    <w:p w14:paraId="736603A8" w14:textId="77777777" w:rsidR="00DF6FFA" w:rsidRPr="000C60E1" w:rsidRDefault="00DF6FFA" w:rsidP="000E72E5">
      <w:pPr>
        <w:pStyle w:val="ListBullet2"/>
        <w:rPr>
          <w:rFonts w:cs="Arial"/>
        </w:rPr>
      </w:pPr>
      <w:r w:rsidRPr="000C60E1">
        <w:rPr>
          <w:rFonts w:cs="Arial"/>
        </w:rPr>
        <w:t>Contact rate (amount of contaminated medium contacted per unit time or event) and/or absorption rate, and</w:t>
      </w:r>
    </w:p>
    <w:p w14:paraId="2BA74176" w14:textId="77777777" w:rsidR="00DF6FFA" w:rsidRPr="000C60E1" w:rsidRDefault="00DF6FFA" w:rsidP="000E72E5">
      <w:pPr>
        <w:pStyle w:val="ListBullet2"/>
        <w:rPr>
          <w:rFonts w:cs="Arial"/>
        </w:rPr>
      </w:pPr>
      <w:r w:rsidRPr="000C60E1">
        <w:rPr>
          <w:rFonts w:cs="Arial"/>
        </w:rPr>
        <w:t>Total time of exposure (estimated from exposure frequency and duration).</w:t>
      </w:r>
    </w:p>
    <w:p w14:paraId="4A872867" w14:textId="77777777" w:rsidR="00DF6FFA" w:rsidRPr="000C60E1" w:rsidRDefault="00DF6FFA" w:rsidP="00840964">
      <w:pPr>
        <w:rPr>
          <w:rFonts w:cs="Arial"/>
        </w:rPr>
      </w:pPr>
      <w:r w:rsidRPr="000C60E1">
        <w:rPr>
          <w:rFonts w:cs="Arial"/>
        </w:rPr>
        <w:t>Reasonable maximum as well as average estimates of exposure or distribution for relevant populations should be developed based on both current and future property use assumptions, and measured concentrations on</w:t>
      </w:r>
      <w:r w:rsidR="00A87E11" w:rsidRPr="000C60E1">
        <w:rPr>
          <w:rFonts w:cs="Arial"/>
        </w:rPr>
        <w:t>, in</w:t>
      </w:r>
      <w:r w:rsidR="006D2338" w:rsidRPr="000C60E1">
        <w:rPr>
          <w:rFonts w:cs="Arial"/>
        </w:rPr>
        <w:t xml:space="preserve"> or under</w:t>
      </w:r>
      <w:r w:rsidRPr="000C60E1">
        <w:rPr>
          <w:rFonts w:cs="Arial"/>
        </w:rPr>
        <w:t xml:space="preserve"> the property.</w:t>
      </w:r>
    </w:p>
    <w:p w14:paraId="3E25DDC5" w14:textId="2E768913" w:rsidR="00D14E60" w:rsidRPr="002A75F2" w:rsidRDefault="00D14E60" w:rsidP="00D14E60">
      <w:pPr>
        <w:rPr>
          <w:rFonts w:cs="Arial"/>
        </w:rPr>
      </w:pPr>
      <w:r w:rsidRPr="000C60E1">
        <w:rPr>
          <w:rFonts w:cs="Arial"/>
        </w:rPr>
        <w:t xml:space="preserve">Care should be taken if </w:t>
      </w:r>
      <w:smartTag w:uri="urn:schemas-microsoft-com:office:smarttags" w:element="stockticker">
        <w:r w:rsidRPr="000C60E1">
          <w:rPr>
            <w:rFonts w:cs="Arial"/>
          </w:rPr>
          <w:t>COC</w:t>
        </w:r>
      </w:smartTag>
      <w:r w:rsidRPr="000C60E1">
        <w:rPr>
          <w:rFonts w:cs="Arial"/>
        </w:rPr>
        <w:t xml:space="preserve"> concentrations are characterized with an estimate of the average of the data </w:t>
      </w:r>
      <w:r w:rsidR="00E8655D" w:rsidRPr="000C60E1">
        <w:rPr>
          <w:rFonts w:cs="Arial"/>
        </w:rPr>
        <w:t>(e.g.</w:t>
      </w:r>
      <w:r w:rsidRPr="000C60E1">
        <w:rPr>
          <w:rFonts w:cs="Arial"/>
        </w:rPr>
        <w:t xml:space="preserve"> using the 95</w:t>
      </w:r>
      <w:r w:rsidR="00AD2B71" w:rsidRPr="000C60E1">
        <w:rPr>
          <w:rFonts w:cs="Arial"/>
        </w:rPr>
        <w:t>%</w:t>
      </w:r>
      <w:r w:rsidRPr="000C60E1">
        <w:rPr>
          <w:rFonts w:cs="Arial"/>
        </w:rPr>
        <w:t xml:space="preserve"> </w:t>
      </w:r>
      <w:r w:rsidR="00E8655D" w:rsidRPr="000C60E1">
        <w:rPr>
          <w:rFonts w:cs="Arial"/>
        </w:rPr>
        <w:t>upper confidence lim</w:t>
      </w:r>
      <w:r w:rsidR="001E50BF" w:rsidRPr="000C60E1">
        <w:rPr>
          <w:rFonts w:cs="Arial"/>
        </w:rPr>
        <w:t>i</w:t>
      </w:r>
      <w:r w:rsidR="00E8655D" w:rsidRPr="000C60E1">
        <w:rPr>
          <w:rFonts w:cs="Arial"/>
        </w:rPr>
        <w:t>t (</w:t>
      </w:r>
      <w:r w:rsidRPr="000C60E1">
        <w:rPr>
          <w:rFonts w:cs="Arial"/>
        </w:rPr>
        <w:t>UCL</w:t>
      </w:r>
      <w:r w:rsidR="00E8655D" w:rsidRPr="000C60E1">
        <w:rPr>
          <w:rFonts w:cs="Arial"/>
        </w:rPr>
        <w:t>)</w:t>
      </w:r>
      <w:r w:rsidRPr="000C60E1">
        <w:rPr>
          <w:rFonts w:cs="Arial"/>
        </w:rPr>
        <w:t xml:space="preserve"> </w:t>
      </w:r>
      <w:r w:rsidR="00E8655D" w:rsidRPr="000C60E1">
        <w:rPr>
          <w:rFonts w:cs="Arial"/>
        </w:rPr>
        <w:t xml:space="preserve">of </w:t>
      </w:r>
      <w:r w:rsidRPr="000C60E1">
        <w:rPr>
          <w:rFonts w:cs="Arial"/>
        </w:rPr>
        <w:t>the mean concentration</w:t>
      </w:r>
      <w:r w:rsidR="00E8655D" w:rsidRPr="000C60E1">
        <w:rPr>
          <w:rFonts w:cs="Arial"/>
        </w:rPr>
        <w:t>)</w:t>
      </w:r>
      <w:r w:rsidRPr="000C60E1">
        <w:rPr>
          <w:rFonts w:cs="Arial"/>
        </w:rPr>
        <w:t>. The range of the VECs</w:t>
      </w:r>
      <w:r w:rsidR="006D5503" w:rsidRPr="000C60E1">
        <w:rPr>
          <w:rFonts w:cs="Arial"/>
        </w:rPr>
        <w:t xml:space="preserve"> being considered</w:t>
      </w:r>
      <w:r w:rsidRPr="000C60E1">
        <w:rPr>
          <w:rFonts w:cs="Arial"/>
        </w:rPr>
        <w:t>, the area of the site that might be considered foraging habitat</w:t>
      </w:r>
      <w:r w:rsidR="00E8655D" w:rsidRPr="000C60E1">
        <w:rPr>
          <w:rFonts w:cs="Arial"/>
        </w:rPr>
        <w:t xml:space="preserve"> and the relative size of the RA property in relation to a VECs home range all need to be considered</w:t>
      </w:r>
      <w:r w:rsidRPr="000C60E1">
        <w:rPr>
          <w:rFonts w:cs="Arial"/>
        </w:rPr>
        <w:t>. The use of a one sided 95</w:t>
      </w:r>
      <w:r w:rsidR="00AD2B71" w:rsidRPr="000C60E1">
        <w:rPr>
          <w:rFonts w:cs="Arial"/>
        </w:rPr>
        <w:t>%</w:t>
      </w:r>
      <w:r w:rsidR="00572804" w:rsidRPr="000C60E1">
        <w:rPr>
          <w:rFonts w:cs="Arial"/>
        </w:rPr>
        <w:t xml:space="preserve"> </w:t>
      </w:r>
      <w:smartTag w:uri="urn:schemas-microsoft-com:office:smarttags" w:element="stockticker">
        <w:r w:rsidRPr="000C60E1">
          <w:rPr>
            <w:rFonts w:cs="Arial"/>
          </w:rPr>
          <w:t>UCL</w:t>
        </w:r>
      </w:smartTag>
      <w:r w:rsidRPr="000C60E1">
        <w:rPr>
          <w:rFonts w:cs="Arial"/>
        </w:rPr>
        <w:t xml:space="preserve"> for the mean is not </w:t>
      </w:r>
      <w:r w:rsidR="00E8655D" w:rsidRPr="000C60E1">
        <w:rPr>
          <w:rFonts w:cs="Arial"/>
        </w:rPr>
        <w:t xml:space="preserve">considered appropriate </w:t>
      </w:r>
      <w:r w:rsidRPr="000C60E1">
        <w:rPr>
          <w:rFonts w:cs="Arial"/>
        </w:rPr>
        <w:t>for vegetation or soil organisms which are essentially immobile</w:t>
      </w:r>
      <w:r w:rsidR="006D5503" w:rsidRPr="000C60E1">
        <w:rPr>
          <w:rFonts w:cs="Arial"/>
        </w:rPr>
        <w:t xml:space="preserve"> and may not be appropriate for smaller animals with limited home ranges</w:t>
      </w:r>
      <w:r w:rsidRPr="000C60E1">
        <w:rPr>
          <w:rFonts w:cs="Arial"/>
        </w:rPr>
        <w:t xml:space="preserve">. Rather, consideration </w:t>
      </w:r>
      <w:r w:rsidR="009871FC" w:rsidRPr="000C60E1">
        <w:rPr>
          <w:rFonts w:cs="Arial"/>
        </w:rPr>
        <w:lastRenderedPageBreak/>
        <w:t xml:space="preserve">should </w:t>
      </w:r>
      <w:r w:rsidRPr="000C60E1">
        <w:rPr>
          <w:rFonts w:cs="Arial"/>
        </w:rPr>
        <w:t xml:space="preserve">be given </w:t>
      </w:r>
      <w:r w:rsidR="009871FC" w:rsidRPr="000C60E1">
        <w:rPr>
          <w:rFonts w:cs="Arial"/>
        </w:rPr>
        <w:t xml:space="preserve">on a sample location-by-location basis </w:t>
      </w:r>
      <w:r w:rsidRPr="000C60E1">
        <w:rPr>
          <w:rFonts w:cs="Arial"/>
        </w:rPr>
        <w:t xml:space="preserve">to the areas of the site which exceed a given </w:t>
      </w:r>
      <w:r w:rsidR="006D5503" w:rsidRPr="000C60E1">
        <w:rPr>
          <w:rFonts w:cs="Arial"/>
        </w:rPr>
        <w:t xml:space="preserve">TRV or </w:t>
      </w:r>
      <w:r w:rsidR="00E8655D" w:rsidRPr="000C60E1">
        <w:rPr>
          <w:rFonts w:cs="Arial"/>
        </w:rPr>
        <w:t>risk-</w:t>
      </w:r>
      <w:r w:rsidR="00E8655D" w:rsidRPr="002A75F2">
        <w:rPr>
          <w:rFonts w:cs="Arial"/>
        </w:rPr>
        <w:t>based concentration (e.g. spa</w:t>
      </w:r>
      <w:r w:rsidR="001E50BF" w:rsidRPr="002A75F2">
        <w:rPr>
          <w:rFonts w:cs="Arial"/>
        </w:rPr>
        <w:t>t</w:t>
      </w:r>
      <w:r w:rsidR="00E8655D" w:rsidRPr="002A75F2">
        <w:rPr>
          <w:rFonts w:cs="Arial"/>
        </w:rPr>
        <w:t xml:space="preserve">ial </w:t>
      </w:r>
      <w:r w:rsidR="006D5503" w:rsidRPr="002A75F2">
        <w:rPr>
          <w:rFonts w:cs="Arial"/>
        </w:rPr>
        <w:t xml:space="preserve">distribution </w:t>
      </w:r>
      <w:r w:rsidR="00E8655D" w:rsidRPr="002A75F2">
        <w:rPr>
          <w:rFonts w:cs="Arial"/>
        </w:rPr>
        <w:t>of exceedances)</w:t>
      </w:r>
      <w:r w:rsidRPr="002A75F2">
        <w:rPr>
          <w:rFonts w:cs="Arial"/>
        </w:rPr>
        <w:t xml:space="preserve">. It is acknowledged that a risk assessment for plants and soil organisms is not meant to protect </w:t>
      </w:r>
      <w:r w:rsidR="00405F13" w:rsidRPr="002A75F2">
        <w:rPr>
          <w:rFonts w:cs="Arial"/>
        </w:rPr>
        <w:t>receptors at the individual level</w:t>
      </w:r>
      <w:r w:rsidR="0027278A" w:rsidRPr="002A75F2">
        <w:rPr>
          <w:rFonts w:cs="Arial"/>
        </w:rPr>
        <w:t>, except in the cases of rare or endangered species or where the individual species is of importance to the owner</w:t>
      </w:r>
      <w:r w:rsidR="009871FC" w:rsidRPr="002A75F2">
        <w:rPr>
          <w:rFonts w:cs="Arial"/>
        </w:rPr>
        <w:t>.</w:t>
      </w:r>
      <w:r w:rsidRPr="002A75F2">
        <w:rPr>
          <w:rFonts w:cs="Arial"/>
        </w:rPr>
        <w:t xml:space="preserve"> </w:t>
      </w:r>
      <w:r w:rsidR="009871FC" w:rsidRPr="002A75F2">
        <w:rPr>
          <w:rFonts w:cs="Arial"/>
        </w:rPr>
        <w:t>T</w:t>
      </w:r>
      <w:r w:rsidRPr="002A75F2">
        <w:rPr>
          <w:rFonts w:cs="Arial"/>
        </w:rPr>
        <w:t xml:space="preserve">he ecological significance of the spatial distribution of exceedances of a TRV </w:t>
      </w:r>
      <w:r w:rsidR="006D5503" w:rsidRPr="002A75F2">
        <w:rPr>
          <w:rFonts w:cs="Arial"/>
        </w:rPr>
        <w:t xml:space="preserve">or </w:t>
      </w:r>
      <w:r w:rsidR="00E8655D" w:rsidRPr="002A75F2">
        <w:rPr>
          <w:rFonts w:cs="Arial"/>
        </w:rPr>
        <w:t xml:space="preserve">risk-based concentration </w:t>
      </w:r>
      <w:r w:rsidR="009871FC" w:rsidRPr="002A75F2">
        <w:rPr>
          <w:rFonts w:cs="Arial"/>
        </w:rPr>
        <w:t xml:space="preserve">therefore should </w:t>
      </w:r>
      <w:r w:rsidRPr="002A75F2">
        <w:rPr>
          <w:rFonts w:cs="Arial"/>
        </w:rPr>
        <w:t>be evaluated. It should be noted that any methods chosen for use in the development of property</w:t>
      </w:r>
      <w:r w:rsidR="00405F13" w:rsidRPr="002A75F2">
        <w:rPr>
          <w:rFonts w:cs="Arial"/>
        </w:rPr>
        <w:t xml:space="preserve"> </w:t>
      </w:r>
      <w:r w:rsidRPr="002A75F2">
        <w:rPr>
          <w:rFonts w:cs="Arial"/>
        </w:rPr>
        <w:t xml:space="preserve">specific standards </w:t>
      </w:r>
      <w:r w:rsidR="009871FC" w:rsidRPr="002A75F2">
        <w:rPr>
          <w:rFonts w:cs="Arial"/>
        </w:rPr>
        <w:t>should be determined</w:t>
      </w:r>
      <w:r w:rsidRPr="002A75F2">
        <w:rPr>
          <w:rFonts w:cs="Arial"/>
        </w:rPr>
        <w:t xml:space="preserve"> by the quality and quantity of data available.</w:t>
      </w:r>
      <w:r w:rsidR="006C1F56" w:rsidRPr="002A75F2">
        <w:rPr>
          <w:rFonts w:cs="Arial"/>
        </w:rPr>
        <w:t xml:space="preserve"> </w:t>
      </w:r>
      <w:r w:rsidR="00D77766" w:rsidRPr="002A75F2">
        <w:rPr>
          <w:rFonts w:cs="Arial"/>
        </w:rPr>
        <w:t xml:space="preserve">If using a 95% UCL of the mean (or any other estimate of the mean or maximum concentration), the software used </w:t>
      </w:r>
      <w:r w:rsidR="00E15E33" w:rsidRPr="002A75F2">
        <w:rPr>
          <w:rFonts w:cs="Arial"/>
        </w:rPr>
        <w:t xml:space="preserve">to derive the value must be clearly identified (e.g. US EPA’s </w:t>
      </w:r>
      <w:proofErr w:type="spellStart"/>
      <w:r w:rsidR="00E15E33" w:rsidRPr="002A75F2">
        <w:rPr>
          <w:rFonts w:cs="Arial"/>
        </w:rPr>
        <w:t>ProUCL</w:t>
      </w:r>
      <w:proofErr w:type="spellEnd"/>
      <w:r w:rsidR="00E15E33" w:rsidRPr="002A75F2">
        <w:rPr>
          <w:rFonts w:cs="Arial"/>
        </w:rPr>
        <w:t xml:space="preserve">) and </w:t>
      </w:r>
      <w:r w:rsidR="00D77766" w:rsidRPr="002A75F2">
        <w:rPr>
          <w:rFonts w:cs="Arial"/>
        </w:rPr>
        <w:t>all inputs (e.g. environmental data) and outputs must be provided in an appendix of the risk assessment, for Ministry review.</w:t>
      </w:r>
    </w:p>
    <w:p w14:paraId="4DB9AD0D" w14:textId="0009141C" w:rsidR="00DF6FFA" w:rsidRPr="000C60E1" w:rsidRDefault="00A569E2" w:rsidP="00840964">
      <w:pPr>
        <w:rPr>
          <w:rFonts w:cs="Arial"/>
        </w:rPr>
      </w:pPr>
      <w:r w:rsidRPr="002A75F2">
        <w:rPr>
          <w:rFonts w:cs="Arial"/>
        </w:rPr>
        <w:t>Fate and transport models are frequently</w:t>
      </w:r>
      <w:r w:rsidRPr="000C60E1">
        <w:rPr>
          <w:rFonts w:cs="Arial"/>
        </w:rPr>
        <w:t xml:space="preserve"> used to predict the likely current extent of contamination as well as to assess the </w:t>
      </w:r>
      <w:proofErr w:type="spellStart"/>
      <w:r w:rsidRPr="000C60E1">
        <w:rPr>
          <w:rFonts w:cs="Arial"/>
        </w:rPr>
        <w:t>behaviour</w:t>
      </w:r>
      <w:proofErr w:type="spellEnd"/>
      <w:r w:rsidRPr="000C60E1">
        <w:rPr>
          <w:rFonts w:cs="Arial"/>
        </w:rPr>
        <w:t xml:space="preserve"> of contaminants under potential future scenarios. Such model</w:t>
      </w:r>
      <w:r w:rsidR="001630AE" w:rsidRPr="000C60E1">
        <w:rPr>
          <w:rFonts w:cs="Arial"/>
        </w:rPr>
        <w:t>l</w:t>
      </w:r>
      <w:r w:rsidRPr="000C60E1">
        <w:rPr>
          <w:rFonts w:cs="Arial"/>
        </w:rPr>
        <w:t xml:space="preserve">ing can be useful to direct sampling programs and draw conclusions regarding </w:t>
      </w:r>
      <w:r w:rsidR="00E8655D" w:rsidRPr="000C60E1">
        <w:rPr>
          <w:rFonts w:cs="Arial"/>
        </w:rPr>
        <w:t xml:space="preserve">the potential for </w:t>
      </w:r>
      <w:r w:rsidR="00E07841" w:rsidRPr="000C60E1">
        <w:rPr>
          <w:rFonts w:cs="Arial"/>
        </w:rPr>
        <w:t>off-site</w:t>
      </w:r>
      <w:r w:rsidRPr="000C60E1">
        <w:rPr>
          <w:rFonts w:cs="Arial"/>
        </w:rPr>
        <w:t xml:space="preserve"> migration of contaminants. </w:t>
      </w:r>
      <w:r w:rsidR="00DF6FFA" w:rsidRPr="000C60E1">
        <w:rPr>
          <w:rFonts w:cs="Arial"/>
        </w:rPr>
        <w:t xml:space="preserve">When a fate/transport model is utilized in the </w:t>
      </w:r>
      <w:r w:rsidR="006C4301" w:rsidRPr="000C60E1">
        <w:rPr>
          <w:rFonts w:cs="Arial"/>
        </w:rPr>
        <w:t>risk assessment</w:t>
      </w:r>
      <w:r w:rsidR="00DF6FFA" w:rsidRPr="000C60E1">
        <w:rPr>
          <w:rFonts w:cs="Arial"/>
        </w:rPr>
        <w:t xml:space="preserve"> to predict contaminant concentrations in soil or groundwater, the predicted concentrations should be verified through field sampling wherever possible.</w:t>
      </w:r>
    </w:p>
    <w:p w14:paraId="6730A76F" w14:textId="03B9123F" w:rsidR="00DF6FFA" w:rsidRPr="000C60E1" w:rsidRDefault="00DF6FFA" w:rsidP="00840964">
      <w:pPr>
        <w:rPr>
          <w:rFonts w:cs="Arial"/>
        </w:rPr>
      </w:pPr>
      <w:r w:rsidRPr="000C60E1">
        <w:rPr>
          <w:rFonts w:cs="Arial"/>
        </w:rPr>
        <w:t>Quantification may also include exposure from other sources/pathways/routes not specifically associated with the RA property, such as food ingestion, water supply and ambient air (i.e. typical background exposures)</w:t>
      </w:r>
      <w:r w:rsidR="001779FF" w:rsidRPr="000C60E1">
        <w:rPr>
          <w:rFonts w:cs="Arial"/>
        </w:rPr>
        <w:t>,</w:t>
      </w:r>
      <w:r w:rsidRPr="000C60E1">
        <w:rPr>
          <w:rFonts w:cs="Arial"/>
        </w:rPr>
        <w:t xml:space="preserve"> if sufficient information is available.</w:t>
      </w:r>
    </w:p>
    <w:p w14:paraId="509433C0" w14:textId="77777777" w:rsidR="00DF6FFA" w:rsidRPr="000C60E1" w:rsidRDefault="00DF6FFA" w:rsidP="00840964">
      <w:pPr>
        <w:rPr>
          <w:rFonts w:cs="Arial"/>
        </w:rPr>
      </w:pPr>
      <w:r w:rsidRPr="000C60E1">
        <w:rPr>
          <w:rFonts w:cs="Arial"/>
        </w:rPr>
        <w:t>In conducting quantitative exposure assessment</w:t>
      </w:r>
      <w:r w:rsidR="001E50BF" w:rsidRPr="000C60E1">
        <w:rPr>
          <w:rFonts w:cs="Arial"/>
        </w:rPr>
        <w:t>,</w:t>
      </w:r>
      <w:r w:rsidRPr="000C60E1">
        <w:rPr>
          <w:rFonts w:cs="Arial"/>
        </w:rPr>
        <w:t xml:space="preserve"> the following should be considered;</w:t>
      </w:r>
    </w:p>
    <w:p w14:paraId="60923234" w14:textId="77777777" w:rsidR="008E2F3D" w:rsidRPr="000C60E1" w:rsidRDefault="008E2F3D" w:rsidP="000E72E5">
      <w:pPr>
        <w:pStyle w:val="ListBullet2"/>
        <w:rPr>
          <w:rFonts w:cs="Arial"/>
        </w:rPr>
      </w:pPr>
      <w:r w:rsidRPr="000C60E1">
        <w:rPr>
          <w:rFonts w:cs="Arial"/>
        </w:rPr>
        <w:t>Document the exposure models, model assumptions and characteristics of the VECs, used for evaluation of exposures.</w:t>
      </w:r>
    </w:p>
    <w:p w14:paraId="639CCC7B" w14:textId="77777777" w:rsidR="008E2F3D" w:rsidRPr="000C60E1" w:rsidRDefault="008E2F3D" w:rsidP="000E72E5">
      <w:pPr>
        <w:pStyle w:val="ListBullet2"/>
        <w:rPr>
          <w:rFonts w:cs="Arial"/>
        </w:rPr>
      </w:pPr>
      <w:r w:rsidRPr="000C60E1">
        <w:rPr>
          <w:rFonts w:cs="Arial"/>
        </w:rPr>
        <w:t>Provide general equations and sample calculations for evaluating VEC exposure for the various pathways.</w:t>
      </w:r>
    </w:p>
    <w:p w14:paraId="115D717D" w14:textId="77777777" w:rsidR="008E2F3D" w:rsidRPr="000C60E1" w:rsidRDefault="008E2F3D" w:rsidP="000E72E5">
      <w:pPr>
        <w:pStyle w:val="ListBullet2"/>
        <w:rPr>
          <w:rFonts w:cs="Arial"/>
        </w:rPr>
      </w:pPr>
      <w:r w:rsidRPr="000C60E1">
        <w:rPr>
          <w:rFonts w:cs="Arial"/>
        </w:rPr>
        <w:t>Calculate exposures to the different VECs from various pathways identified for different contaminants.</w:t>
      </w:r>
    </w:p>
    <w:p w14:paraId="48D783FA" w14:textId="775537F5" w:rsidR="008E2F3D" w:rsidRPr="000C60E1" w:rsidRDefault="008E2F3D" w:rsidP="000E72E5">
      <w:pPr>
        <w:pStyle w:val="ListBullet2"/>
        <w:rPr>
          <w:rFonts w:cs="Arial"/>
        </w:rPr>
      </w:pPr>
      <w:r w:rsidRPr="000C60E1">
        <w:rPr>
          <w:rFonts w:cs="Arial"/>
        </w:rPr>
        <w:t>Consideration of background exposures other than exposure to on-site contamination (soil, air, water, etc.) should also be discussed with reference to the property specific exposure</w:t>
      </w:r>
      <w:r w:rsidR="0039301A" w:rsidRPr="000C60E1">
        <w:rPr>
          <w:rFonts w:cs="Arial"/>
        </w:rPr>
        <w:t xml:space="preserve"> (this may be particularly relevant for VECs that only spend a fraction of time at the RA property)</w:t>
      </w:r>
      <w:r w:rsidRPr="000C60E1">
        <w:rPr>
          <w:rFonts w:cs="Arial"/>
        </w:rPr>
        <w:t>.</w:t>
      </w:r>
      <w:r w:rsidR="00C9090B" w:rsidRPr="000C60E1">
        <w:rPr>
          <w:rFonts w:cs="Arial"/>
        </w:rPr>
        <w:t xml:space="preserve"> However, the off-site exposure conditions need to be supported with analytical data </w:t>
      </w:r>
      <w:r w:rsidR="001C746C" w:rsidRPr="000C60E1">
        <w:rPr>
          <w:rFonts w:cs="Arial"/>
        </w:rPr>
        <w:t xml:space="preserve">of COC concentrations </w:t>
      </w:r>
      <w:r w:rsidR="00C9090B" w:rsidRPr="000C60E1">
        <w:rPr>
          <w:rFonts w:cs="Arial"/>
        </w:rPr>
        <w:t xml:space="preserve">from within </w:t>
      </w:r>
      <w:r w:rsidR="001C746C" w:rsidRPr="000C60E1">
        <w:rPr>
          <w:rFonts w:cs="Arial"/>
        </w:rPr>
        <w:t>the off-site portion of the VEC’s home range – i.e. it is not acceptable to assume background soil or other medium concentrations in the estimation of exposure while no</w:t>
      </w:r>
      <w:r w:rsidR="00A43951" w:rsidRPr="000C60E1">
        <w:rPr>
          <w:rFonts w:cs="Arial"/>
        </w:rPr>
        <w:t>t</w:t>
      </w:r>
      <w:r w:rsidR="001C746C" w:rsidRPr="000C60E1">
        <w:rPr>
          <w:rFonts w:cs="Arial"/>
        </w:rPr>
        <w:t xml:space="preserve"> on the RA property.</w:t>
      </w:r>
    </w:p>
    <w:p w14:paraId="0EEEF72C" w14:textId="1B509E47" w:rsidR="008E2F3D" w:rsidRPr="000C60E1" w:rsidRDefault="008E2F3D" w:rsidP="000E72E5">
      <w:pPr>
        <w:pStyle w:val="ListBullet2"/>
        <w:rPr>
          <w:rFonts w:cs="Arial"/>
        </w:rPr>
      </w:pPr>
      <w:r w:rsidRPr="000C60E1">
        <w:rPr>
          <w:rFonts w:cs="Arial"/>
        </w:rPr>
        <w:t>Analysis of the major sources of uncertainty and how they affect (quantitatively, if possible) the exposure estimates.</w:t>
      </w:r>
      <w:r w:rsidR="00D14E60" w:rsidRPr="000C60E1">
        <w:rPr>
          <w:rFonts w:cs="Arial"/>
        </w:rPr>
        <w:t xml:space="preserve"> Uncertainty in the pathway analysis, for example, should be discussed in terms of the dependency of the exposure estimates on pathway assumptions that are unconfirmed or beyond the knowledge and control of the proponent.</w:t>
      </w:r>
    </w:p>
    <w:p w14:paraId="008D154D" w14:textId="55483060" w:rsidR="006D5503" w:rsidRPr="000C60E1" w:rsidRDefault="006D5503" w:rsidP="00840964">
      <w:pPr>
        <w:rPr>
          <w:rFonts w:cs="Arial"/>
        </w:rPr>
      </w:pPr>
      <w:r w:rsidRPr="000C60E1">
        <w:rPr>
          <w:rFonts w:cs="Arial"/>
        </w:rPr>
        <w:lastRenderedPageBreak/>
        <w:t xml:space="preserve">If computer models </w:t>
      </w:r>
      <w:r w:rsidR="000863DD" w:rsidRPr="000C60E1">
        <w:rPr>
          <w:rFonts w:cs="Arial"/>
        </w:rPr>
        <w:t xml:space="preserve">(that are </w:t>
      </w:r>
      <w:r w:rsidRPr="000C60E1">
        <w:rPr>
          <w:rFonts w:cs="Arial"/>
        </w:rPr>
        <w:t xml:space="preserve">not in the public </w:t>
      </w:r>
      <w:r w:rsidRPr="002A75F2">
        <w:rPr>
          <w:rFonts w:cs="Arial"/>
        </w:rPr>
        <w:t>domain</w:t>
      </w:r>
      <w:r w:rsidR="000863DD" w:rsidRPr="002A75F2">
        <w:rPr>
          <w:rFonts w:cs="Arial"/>
        </w:rPr>
        <w:t xml:space="preserve"> </w:t>
      </w:r>
      <w:r w:rsidRPr="002A75F2">
        <w:rPr>
          <w:rFonts w:cs="Arial"/>
        </w:rPr>
        <w:t xml:space="preserve">or </w:t>
      </w:r>
      <w:r w:rsidR="000863DD" w:rsidRPr="002A75F2">
        <w:rPr>
          <w:rFonts w:cs="Arial"/>
        </w:rPr>
        <w:t xml:space="preserve">that have not been used by the </w:t>
      </w:r>
      <w:r w:rsidRPr="002A75F2">
        <w:rPr>
          <w:rFonts w:cs="Arial"/>
        </w:rPr>
        <w:t>Ministry</w:t>
      </w:r>
      <w:r w:rsidR="000863DD" w:rsidRPr="002A75F2">
        <w:rPr>
          <w:rFonts w:cs="Arial"/>
        </w:rPr>
        <w:t>)</w:t>
      </w:r>
      <w:r w:rsidRPr="002A75F2">
        <w:rPr>
          <w:rFonts w:cs="Arial"/>
        </w:rPr>
        <w:t xml:space="preserve"> or </w:t>
      </w:r>
      <w:r w:rsidR="001E50BF" w:rsidRPr="002A75F2">
        <w:rPr>
          <w:rFonts w:cs="Arial"/>
        </w:rPr>
        <w:t>probabilistic</w:t>
      </w:r>
      <w:r w:rsidRPr="002A75F2">
        <w:rPr>
          <w:rFonts w:cs="Arial"/>
        </w:rPr>
        <w:t xml:space="preserve"> models are</w:t>
      </w:r>
      <w:r w:rsidR="000863DD" w:rsidRPr="002A75F2">
        <w:rPr>
          <w:rFonts w:cs="Arial"/>
        </w:rPr>
        <w:t xml:space="preserve"> used in the ERA, note that the </w:t>
      </w:r>
      <w:r w:rsidR="006C4301" w:rsidRPr="002A75F2">
        <w:rPr>
          <w:rFonts w:cs="Arial"/>
        </w:rPr>
        <w:t>risk assessment</w:t>
      </w:r>
      <w:r w:rsidR="000863DD" w:rsidRPr="002A75F2">
        <w:rPr>
          <w:rFonts w:cs="Arial"/>
        </w:rPr>
        <w:t xml:space="preserve"> will be designated as a new science </w:t>
      </w:r>
      <w:r w:rsidR="006C4301" w:rsidRPr="002A75F2">
        <w:rPr>
          <w:rFonts w:cs="Arial"/>
        </w:rPr>
        <w:t>risk assessment</w:t>
      </w:r>
      <w:r w:rsidR="000863DD" w:rsidRPr="002A75F2">
        <w:rPr>
          <w:rFonts w:cs="Arial"/>
        </w:rPr>
        <w:t xml:space="preserve"> and may require additional review time, as per the Regulation</w:t>
      </w:r>
      <w:r w:rsidR="00B90FE0" w:rsidRPr="002A75F2">
        <w:rPr>
          <w:rFonts w:cs="Arial"/>
        </w:rPr>
        <w:t xml:space="preserve"> (refer to Section 9.3.2 of this Procedures document). </w:t>
      </w:r>
    </w:p>
    <w:p w14:paraId="3F76D4EF" w14:textId="367C6BAA" w:rsidR="008E2F3D" w:rsidRPr="000C60E1" w:rsidRDefault="008E2F3D" w:rsidP="00840964">
      <w:pPr>
        <w:rPr>
          <w:rFonts w:cs="Arial"/>
        </w:rPr>
      </w:pPr>
      <w:r w:rsidRPr="000C60E1">
        <w:rPr>
          <w:rFonts w:cs="Arial"/>
        </w:rPr>
        <w:t xml:space="preserve">If computer models are utilized, ensure the models have been validated and/or are considered acceptable based on scientific principles. These </w:t>
      </w:r>
      <w:r w:rsidR="000863DD" w:rsidRPr="000C60E1">
        <w:rPr>
          <w:rFonts w:cs="Arial"/>
        </w:rPr>
        <w:t xml:space="preserve">computer </w:t>
      </w:r>
      <w:r w:rsidRPr="000C60E1">
        <w:rPr>
          <w:rFonts w:cs="Arial"/>
        </w:rPr>
        <w:t xml:space="preserve">models should also be available in the public domain. Use of proprietary models may be considered only when sufficient documentation of the modelling is provided. Such models (validated and/or accepted) should be accompanied by available technical support documentation of basic principles, user instructions, etc. The documentation should include all mathematical expressions and assumptions used in the model(s). </w:t>
      </w:r>
    </w:p>
    <w:p w14:paraId="4CD3A3E0" w14:textId="20DA8437" w:rsidR="008E2F3D" w:rsidRPr="000C60E1" w:rsidRDefault="008E2F3D" w:rsidP="00840964">
      <w:pPr>
        <w:rPr>
          <w:rFonts w:cs="Arial"/>
        </w:rPr>
      </w:pPr>
      <w:r w:rsidRPr="000C60E1">
        <w:rPr>
          <w:rFonts w:cs="Arial"/>
        </w:rPr>
        <w:t>If proprietary models and any supporting documentation are considered confidential, such material should be clearly marked confidential.</w:t>
      </w:r>
      <w:r w:rsidR="006C1F56" w:rsidRPr="000C60E1">
        <w:rPr>
          <w:rFonts w:cs="Arial"/>
        </w:rPr>
        <w:t xml:space="preserve"> </w:t>
      </w:r>
      <w:r w:rsidRPr="000C60E1">
        <w:rPr>
          <w:rFonts w:cs="Arial"/>
        </w:rPr>
        <w:t>In either case, review of a</w:t>
      </w:r>
      <w:r w:rsidR="00957F70" w:rsidRPr="000C60E1">
        <w:rPr>
          <w:rFonts w:cs="Arial"/>
        </w:rPr>
        <w:t>n</w:t>
      </w:r>
      <w:r w:rsidRPr="000C60E1">
        <w:rPr>
          <w:rFonts w:cs="Arial"/>
        </w:rPr>
        <w:t xml:space="preserve"> </w:t>
      </w:r>
      <w:r w:rsidR="0041572E" w:rsidRPr="000C60E1">
        <w:rPr>
          <w:rFonts w:cs="Arial"/>
        </w:rPr>
        <w:t>RA report</w:t>
      </w:r>
      <w:r w:rsidRPr="000C60E1">
        <w:rPr>
          <w:rFonts w:cs="Arial"/>
        </w:rPr>
        <w:t xml:space="preserve"> will be facilitated by provision of any computer software being utilized for the exposure calculations. The </w:t>
      </w:r>
      <w:r w:rsidR="00657FDB" w:rsidRPr="000C60E1">
        <w:rPr>
          <w:rFonts w:cs="Arial"/>
        </w:rPr>
        <w:t>M</w:t>
      </w:r>
      <w:r w:rsidR="002A6EE0" w:rsidRPr="000C60E1">
        <w:rPr>
          <w:rFonts w:cs="Arial"/>
        </w:rPr>
        <w:t>inistry</w:t>
      </w:r>
      <w:r w:rsidRPr="000C60E1">
        <w:rPr>
          <w:rFonts w:cs="Arial"/>
        </w:rPr>
        <w:t xml:space="preserve"> will require evidence that such software models are provided in a manner that will not infringe any third person’s copyright. The rationale for the suitability of any chosen model to the problems posed by a property should also be documented.</w:t>
      </w:r>
    </w:p>
    <w:p w14:paraId="6E429F84" w14:textId="7A0EEC45" w:rsidR="008E2F3D" w:rsidRPr="000C60E1" w:rsidRDefault="008E2F3D" w:rsidP="00840964">
      <w:pPr>
        <w:rPr>
          <w:rFonts w:cs="Arial"/>
        </w:rPr>
      </w:pPr>
      <w:r w:rsidRPr="000C60E1">
        <w:rPr>
          <w:rFonts w:cs="Arial"/>
        </w:rPr>
        <w:t xml:space="preserve">When conducting probabilistic modelling, statistical distributions developed from site-specific data or obtained from published peer reviewed scientific literature applicable to the site in question should be used for parameters associated with receptor characteristics (refer to Section </w:t>
      </w:r>
      <w:r w:rsidR="008E72B7" w:rsidRPr="000C60E1">
        <w:rPr>
          <w:rFonts w:cs="Arial"/>
        </w:rPr>
        <w:t>9</w:t>
      </w:r>
      <w:r w:rsidRPr="000C60E1">
        <w:rPr>
          <w:rFonts w:cs="Arial"/>
        </w:rPr>
        <w:t xml:space="preserve">.3.3 of this </w:t>
      </w:r>
      <w:r w:rsidR="0039301A" w:rsidRPr="000C60E1">
        <w:rPr>
          <w:rFonts w:cs="Arial"/>
        </w:rPr>
        <w:t>P</w:t>
      </w:r>
      <w:r w:rsidRPr="000C60E1">
        <w:rPr>
          <w:rFonts w:cs="Arial"/>
        </w:rPr>
        <w:t>rocedure</w:t>
      </w:r>
      <w:r w:rsidR="00292E15" w:rsidRPr="000C60E1">
        <w:rPr>
          <w:rFonts w:cs="Arial"/>
        </w:rPr>
        <w:t>s</w:t>
      </w:r>
      <w:r w:rsidRPr="000C60E1">
        <w:rPr>
          <w:rFonts w:cs="Arial"/>
        </w:rPr>
        <w:t xml:space="preserve"> document).</w:t>
      </w:r>
      <w:r w:rsidR="00625747" w:rsidRPr="000C60E1">
        <w:rPr>
          <w:rFonts w:cs="Arial"/>
        </w:rPr>
        <w:t xml:space="preserve"> The statistical distribution used in probabilistic modelling may require additional </w:t>
      </w:r>
      <w:r w:rsidR="00657FDB" w:rsidRPr="000C60E1">
        <w:rPr>
          <w:rFonts w:cs="Arial"/>
        </w:rPr>
        <w:t>M</w:t>
      </w:r>
      <w:r w:rsidR="00625747" w:rsidRPr="000C60E1">
        <w:rPr>
          <w:rFonts w:cs="Arial"/>
        </w:rPr>
        <w:t>inistry review</w:t>
      </w:r>
      <w:r w:rsidR="000863DD" w:rsidRPr="000C60E1">
        <w:rPr>
          <w:rFonts w:cs="Arial"/>
        </w:rPr>
        <w:t xml:space="preserve">. </w:t>
      </w:r>
    </w:p>
    <w:p w14:paraId="0CEE6E50" w14:textId="05F7FD5C" w:rsidR="00B736F9" w:rsidRPr="000C60E1" w:rsidRDefault="00B736F9" w:rsidP="000863DD">
      <w:pPr>
        <w:pStyle w:val="Heading2"/>
        <w:rPr>
          <w:rFonts w:cs="Arial"/>
        </w:rPr>
      </w:pPr>
      <w:bookmarkStart w:id="287" w:name="_5.4_Hazard_Assessment_Component_of_"/>
      <w:bookmarkStart w:id="288" w:name="_Toc74119423"/>
      <w:bookmarkStart w:id="289" w:name="_Toc74450902"/>
      <w:bookmarkStart w:id="290" w:name="_Toc78162212"/>
      <w:bookmarkStart w:id="291" w:name="_Toc79571590"/>
      <w:bookmarkStart w:id="292" w:name="_Toc91393579"/>
      <w:bookmarkStart w:id="293" w:name="_Toc112727442"/>
      <w:bookmarkStart w:id="294" w:name="_Toc41905718"/>
      <w:bookmarkEnd w:id="287"/>
      <w:r w:rsidRPr="000C60E1">
        <w:rPr>
          <w:rFonts w:cs="Arial"/>
        </w:rPr>
        <w:t>Hazard Assessment</w:t>
      </w:r>
      <w:bookmarkEnd w:id="288"/>
      <w:bookmarkEnd w:id="289"/>
      <w:bookmarkEnd w:id="290"/>
      <w:bookmarkEnd w:id="291"/>
      <w:bookmarkEnd w:id="292"/>
      <w:bookmarkEnd w:id="293"/>
      <w:bookmarkEnd w:id="294"/>
    </w:p>
    <w:p w14:paraId="320AA125" w14:textId="77777777" w:rsidR="00B736F9" w:rsidRPr="000C60E1" w:rsidRDefault="00B736F9" w:rsidP="00840964">
      <w:pPr>
        <w:rPr>
          <w:rFonts w:cs="Arial"/>
        </w:rPr>
      </w:pPr>
      <w:r w:rsidRPr="000C60E1">
        <w:rPr>
          <w:rFonts w:cs="Arial"/>
        </w:rPr>
        <w:t xml:space="preserve">The section in the </w:t>
      </w:r>
      <w:r w:rsidR="0041572E" w:rsidRPr="000C60E1">
        <w:rPr>
          <w:rFonts w:cs="Arial"/>
        </w:rPr>
        <w:t>RA report</w:t>
      </w:r>
      <w:r w:rsidRPr="000C60E1">
        <w:rPr>
          <w:rFonts w:cs="Arial"/>
        </w:rPr>
        <w:t xml:space="preserve"> pertaining to hazard assessment should provide documentation </w:t>
      </w:r>
      <w:r w:rsidR="00214FA9" w:rsidRPr="000C60E1">
        <w:rPr>
          <w:rFonts w:cs="Arial"/>
        </w:rPr>
        <w:t xml:space="preserve">relating to the nature of toxicity and dose response for each </w:t>
      </w:r>
      <w:smartTag w:uri="urn:schemas-microsoft-com:office:smarttags" w:element="stockticker">
        <w:r w:rsidR="00214FA9" w:rsidRPr="000C60E1">
          <w:rPr>
            <w:rFonts w:cs="Arial"/>
          </w:rPr>
          <w:t>COC</w:t>
        </w:r>
      </w:smartTag>
      <w:r w:rsidR="00214FA9" w:rsidRPr="000C60E1">
        <w:rPr>
          <w:rFonts w:cs="Arial"/>
        </w:rPr>
        <w:t xml:space="preserve"> </w:t>
      </w:r>
      <w:r w:rsidRPr="000C60E1">
        <w:rPr>
          <w:rFonts w:cs="Arial"/>
        </w:rPr>
        <w:t xml:space="preserve">as </w:t>
      </w:r>
      <w:r w:rsidR="00214FA9" w:rsidRPr="000C60E1">
        <w:rPr>
          <w:rFonts w:cs="Arial"/>
        </w:rPr>
        <w:t>they</w:t>
      </w:r>
      <w:r w:rsidRPr="000C60E1">
        <w:rPr>
          <w:rFonts w:cs="Arial"/>
        </w:rPr>
        <w:t xml:space="preserve"> appl</w:t>
      </w:r>
      <w:r w:rsidR="00214FA9" w:rsidRPr="000C60E1">
        <w:rPr>
          <w:rFonts w:cs="Arial"/>
        </w:rPr>
        <w:t>y</w:t>
      </w:r>
      <w:r w:rsidRPr="000C60E1">
        <w:rPr>
          <w:rFonts w:cs="Arial"/>
        </w:rPr>
        <w:t xml:space="preserve"> to VECs (exposed individuals or populations) including:</w:t>
      </w:r>
    </w:p>
    <w:p w14:paraId="5CD4D71D" w14:textId="77777777" w:rsidR="00B736F9" w:rsidRPr="000C60E1" w:rsidRDefault="00B736F9" w:rsidP="000E72E5">
      <w:pPr>
        <w:pStyle w:val="ListBullet2"/>
        <w:rPr>
          <w:rFonts w:cs="Arial"/>
        </w:rPr>
      </w:pPr>
      <w:r w:rsidRPr="000C60E1">
        <w:rPr>
          <w:rFonts w:cs="Arial"/>
        </w:rPr>
        <w:t>The potential adverse effects on the VECs associated with exposure to the specific contaminants, and</w:t>
      </w:r>
    </w:p>
    <w:p w14:paraId="6C4D6918" w14:textId="77777777" w:rsidR="00B736F9" w:rsidRPr="000C60E1" w:rsidRDefault="00B736F9" w:rsidP="000E72E5">
      <w:pPr>
        <w:pStyle w:val="ListBullet2"/>
        <w:rPr>
          <w:rFonts w:cs="Arial"/>
        </w:rPr>
      </w:pPr>
      <w:r w:rsidRPr="000C60E1">
        <w:rPr>
          <w:rFonts w:cs="Arial"/>
        </w:rPr>
        <w:t>The relationships between the magnitude of exposure from relevant exposure pathways and the probability of occurrence of adverse effects on the receptors.</w:t>
      </w:r>
    </w:p>
    <w:p w14:paraId="70C5BDB2" w14:textId="77DA5742" w:rsidR="00D14E60" w:rsidRPr="000C60E1" w:rsidRDefault="00D14E60" w:rsidP="00D14E60">
      <w:pPr>
        <w:rPr>
          <w:rFonts w:cs="Arial"/>
        </w:rPr>
      </w:pPr>
      <w:r w:rsidRPr="000C60E1">
        <w:rPr>
          <w:rFonts w:cs="Arial"/>
        </w:rPr>
        <w:t xml:space="preserve">Minimum requirements for the Hazard Assessment component of the ERA are provided in Table 1 </w:t>
      </w:r>
      <w:r w:rsidR="007B414E" w:rsidRPr="000C60E1">
        <w:rPr>
          <w:rFonts w:cs="Arial"/>
        </w:rPr>
        <w:t xml:space="preserve">of </w:t>
      </w:r>
      <w:r w:rsidRPr="000C60E1">
        <w:rPr>
          <w:rFonts w:cs="Arial"/>
        </w:rPr>
        <w:t>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16AE09DE" w14:textId="77777777" w:rsidTr="005B40DA">
        <w:trPr>
          <w:trHeight w:val="20"/>
          <w:tblHeader/>
        </w:trPr>
        <w:tc>
          <w:tcPr>
            <w:tcW w:w="2468" w:type="dxa"/>
          </w:tcPr>
          <w:p w14:paraId="6D0B38CB"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628EA992"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60C408D"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6F151406"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65C575FF" w14:textId="77777777" w:rsidTr="005B40DA">
        <w:trPr>
          <w:trHeight w:val="20"/>
        </w:trPr>
        <w:tc>
          <w:tcPr>
            <w:tcW w:w="2468" w:type="dxa"/>
          </w:tcPr>
          <w:p w14:paraId="2DBD3B7A"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4F9F8924" w14:textId="77777777" w:rsidR="00276BB8" w:rsidRPr="000C0EF2" w:rsidRDefault="00276BB8" w:rsidP="000C0EF2">
            <w:pPr>
              <w:pStyle w:val="table-e"/>
              <w:spacing w:line="240" w:lineRule="auto"/>
              <w:rPr>
                <w:sz w:val="24"/>
              </w:rPr>
            </w:pPr>
            <w:r w:rsidRPr="000C0EF2">
              <w:rPr>
                <w:sz w:val="24"/>
              </w:rPr>
              <w:t xml:space="preserve">(d)  Hazard Assessment </w:t>
            </w:r>
          </w:p>
        </w:tc>
        <w:tc>
          <w:tcPr>
            <w:tcW w:w="1839" w:type="dxa"/>
          </w:tcPr>
          <w:p w14:paraId="365D1168" w14:textId="77777777" w:rsidR="00276BB8" w:rsidRPr="000C0EF2" w:rsidRDefault="00276BB8" w:rsidP="000C0EF2">
            <w:pPr>
              <w:pStyle w:val="table-e"/>
              <w:spacing w:line="240" w:lineRule="auto"/>
              <w:rPr>
                <w:sz w:val="24"/>
              </w:rPr>
            </w:pPr>
            <w:r w:rsidRPr="000C0EF2">
              <w:rPr>
                <w:sz w:val="24"/>
              </w:rPr>
              <w:t>not applicable</w:t>
            </w:r>
          </w:p>
        </w:tc>
        <w:tc>
          <w:tcPr>
            <w:tcW w:w="3759" w:type="dxa"/>
          </w:tcPr>
          <w:p w14:paraId="2B7188C4" w14:textId="77777777" w:rsidR="00276BB8" w:rsidRPr="000C0EF2" w:rsidRDefault="00276BB8" w:rsidP="000C0EF2">
            <w:pPr>
              <w:pStyle w:val="table-e"/>
              <w:spacing w:line="240" w:lineRule="auto"/>
              <w:rPr>
                <w:sz w:val="24"/>
              </w:rPr>
            </w:pPr>
            <w:r w:rsidRPr="000C0EF2">
              <w:rPr>
                <w:sz w:val="24"/>
              </w:rPr>
              <w:t>1.  State the potential adverse effects on the valued ecosystem components associated with their exposure to each contaminant of concern.</w:t>
            </w:r>
          </w:p>
          <w:p w14:paraId="3D9893B5" w14:textId="77777777" w:rsidR="00276BB8" w:rsidRPr="000C0EF2" w:rsidRDefault="00276BB8" w:rsidP="000C0EF2">
            <w:pPr>
              <w:pStyle w:val="table-e"/>
              <w:spacing w:line="240" w:lineRule="auto"/>
              <w:rPr>
                <w:sz w:val="24"/>
              </w:rPr>
            </w:pPr>
            <w:r w:rsidRPr="000C0EF2">
              <w:rPr>
                <w:sz w:val="24"/>
              </w:rPr>
              <w:lastRenderedPageBreak/>
              <w:t>2.  For each contaminant of concern,</w:t>
            </w:r>
          </w:p>
          <w:p w14:paraId="21674BB1" w14:textId="77777777" w:rsidR="00276BB8" w:rsidRPr="000C0EF2" w:rsidRDefault="00276BB8" w:rsidP="000C0EF2">
            <w:pPr>
              <w:pStyle w:val="table-e"/>
              <w:spacing w:line="240" w:lineRule="auto"/>
              <w:rPr>
                <w:sz w:val="24"/>
              </w:rPr>
            </w:pPr>
            <w:r w:rsidRPr="000C0EF2">
              <w:rPr>
                <w:sz w:val="24"/>
              </w:rPr>
              <w:t>(a)  describe the relationship between the magnitude of exposure to the contaminant from each route of exposure and the probability of the occurrence of the adverse ecological effect identified in the hazard assessment;</w:t>
            </w:r>
          </w:p>
          <w:p w14:paraId="12CF7CFA" w14:textId="77777777" w:rsidR="00276BB8" w:rsidRPr="000C0EF2" w:rsidRDefault="00276BB8" w:rsidP="000C0EF2">
            <w:pPr>
              <w:pStyle w:val="table-e"/>
              <w:spacing w:line="240" w:lineRule="auto"/>
              <w:rPr>
                <w:sz w:val="24"/>
              </w:rPr>
            </w:pPr>
            <w:r w:rsidRPr="000C0EF2">
              <w:rPr>
                <w:sz w:val="24"/>
              </w:rPr>
              <w:t>(b)  if the data permits, propose a toxicity reference value for each of the routes of exposure identified in clause (a); and</w:t>
            </w:r>
          </w:p>
          <w:p w14:paraId="3CFA34B9" w14:textId="77777777" w:rsidR="00276BB8" w:rsidRPr="000C0EF2" w:rsidRDefault="00276BB8" w:rsidP="000C0EF2">
            <w:pPr>
              <w:pStyle w:val="table-e"/>
              <w:spacing w:line="240" w:lineRule="auto"/>
              <w:rPr>
                <w:sz w:val="24"/>
              </w:rPr>
            </w:pPr>
            <w:r w:rsidRPr="000C0EF2">
              <w:rPr>
                <w:sz w:val="24"/>
              </w:rPr>
              <w:t xml:space="preserve">(c)  </w:t>
            </w:r>
            <w:r w:rsidRPr="000C0EF2">
              <w:rPr>
                <w:sz w:val="24"/>
                <w:lang w:val="en-CA"/>
              </w:rPr>
              <w:t>analyze</w:t>
            </w:r>
            <w:r w:rsidRPr="000C0EF2">
              <w:rPr>
                <w:sz w:val="24"/>
              </w:rPr>
              <w:t xml:space="preserve"> the sources of uncertainty in the data used to conduct the hazard assessment, including any gaps or variability in the data and state how such uncertainty could affect the assessment.</w:t>
            </w:r>
          </w:p>
        </w:tc>
      </w:tr>
    </w:tbl>
    <w:p w14:paraId="634C9AD7" w14:textId="77777777" w:rsidR="00B736F9" w:rsidRPr="000C60E1" w:rsidRDefault="00B736F9" w:rsidP="00840964">
      <w:pPr>
        <w:rPr>
          <w:rFonts w:cs="Arial"/>
        </w:rPr>
      </w:pPr>
      <w:r w:rsidRPr="000C60E1">
        <w:rPr>
          <w:rFonts w:cs="Arial"/>
        </w:rPr>
        <w:lastRenderedPageBreak/>
        <w:t xml:space="preserve">The </w:t>
      </w:r>
      <w:r w:rsidR="000767FF" w:rsidRPr="000C60E1">
        <w:rPr>
          <w:rFonts w:cs="Arial"/>
        </w:rPr>
        <w:t>QP</w:t>
      </w:r>
      <w:r w:rsidR="000767FF" w:rsidRPr="000C60E1">
        <w:rPr>
          <w:rFonts w:cs="Arial"/>
          <w:vertAlign w:val="subscript"/>
        </w:rPr>
        <w:t>RA</w:t>
      </w:r>
      <w:r w:rsidRPr="000C60E1">
        <w:rPr>
          <w:rFonts w:cs="Arial"/>
        </w:rPr>
        <w:t xml:space="preserve"> must identify the potential adverse effects (</w:t>
      </w:r>
      <w:r w:rsidR="0027278A" w:rsidRPr="000C60E1">
        <w:rPr>
          <w:rFonts w:cs="Arial"/>
        </w:rPr>
        <w:t xml:space="preserve">assessment </w:t>
      </w:r>
      <w:r w:rsidRPr="000C60E1">
        <w:rPr>
          <w:rFonts w:cs="Arial"/>
        </w:rPr>
        <w:t>endpoints) selected for each chosen VEC (</w:t>
      </w:r>
      <w:r w:rsidR="008A792B" w:rsidRPr="000C60E1">
        <w:rPr>
          <w:rFonts w:cs="Arial"/>
        </w:rPr>
        <w:t>e.g.</w:t>
      </w:r>
      <w:r w:rsidRPr="000C60E1">
        <w:rPr>
          <w:rFonts w:cs="Arial"/>
        </w:rPr>
        <w:t xml:space="preserve"> mortality, growth, reproduction)</w:t>
      </w:r>
      <w:r w:rsidR="008618B8" w:rsidRPr="000C60E1">
        <w:rPr>
          <w:rFonts w:cs="Arial"/>
        </w:rPr>
        <w:t>.</w:t>
      </w:r>
    </w:p>
    <w:p w14:paraId="0CDD16D4" w14:textId="0DC07B38" w:rsidR="00257551" w:rsidRPr="000C60E1" w:rsidRDefault="00FC6167" w:rsidP="00257551">
      <w:pPr>
        <w:rPr>
          <w:rFonts w:cs="Arial"/>
        </w:rPr>
      </w:pPr>
      <w:r w:rsidRPr="000C60E1">
        <w:rPr>
          <w:rFonts w:cs="Arial"/>
        </w:rPr>
        <w:t xml:space="preserve">Ministry </w:t>
      </w:r>
      <w:r w:rsidR="0039301A" w:rsidRPr="000C60E1">
        <w:rPr>
          <w:rFonts w:cs="Arial"/>
        </w:rPr>
        <w:t xml:space="preserve">ecological </w:t>
      </w:r>
      <w:r w:rsidRPr="000C60E1">
        <w:rPr>
          <w:rFonts w:cs="Arial"/>
        </w:rPr>
        <w:t xml:space="preserve">TRVs </w:t>
      </w:r>
      <w:r w:rsidR="000863DD" w:rsidRPr="000C60E1">
        <w:rPr>
          <w:rFonts w:cs="Arial"/>
        </w:rPr>
        <w:t>that were used in the develop</w:t>
      </w:r>
      <w:r w:rsidR="0039301A" w:rsidRPr="000C60E1">
        <w:rPr>
          <w:rFonts w:cs="Arial"/>
        </w:rPr>
        <w:t>m</w:t>
      </w:r>
      <w:r w:rsidR="000863DD" w:rsidRPr="000C60E1">
        <w:rPr>
          <w:rFonts w:cs="Arial"/>
        </w:rPr>
        <w:t>ent</w:t>
      </w:r>
      <w:r w:rsidR="0039301A" w:rsidRPr="000C60E1">
        <w:rPr>
          <w:rFonts w:cs="Arial"/>
        </w:rPr>
        <w:t xml:space="preserve"> of the generic </w:t>
      </w:r>
      <w:r w:rsidR="005C53DA" w:rsidRPr="000C60E1">
        <w:rPr>
          <w:rFonts w:cs="Arial"/>
        </w:rPr>
        <w:t>site condition standards</w:t>
      </w:r>
      <w:r w:rsidR="0039301A" w:rsidRPr="000C60E1">
        <w:rPr>
          <w:rFonts w:cs="Arial"/>
        </w:rPr>
        <w:t xml:space="preserve"> are </w:t>
      </w:r>
      <w:r w:rsidRPr="002A75F2">
        <w:rPr>
          <w:rFonts w:cs="Arial"/>
        </w:rPr>
        <w:t xml:space="preserve">published in the </w:t>
      </w:r>
      <w:r w:rsidR="00BA57DC" w:rsidRPr="002A75F2">
        <w:rPr>
          <w:rFonts w:cs="Arial"/>
        </w:rPr>
        <w:t>“</w:t>
      </w:r>
      <w:r w:rsidRPr="002A75F2">
        <w:rPr>
          <w:rFonts w:cs="Arial"/>
        </w:rPr>
        <w:t>Rationale for the Development of Generic Soil</w:t>
      </w:r>
      <w:r w:rsidR="0039301A" w:rsidRPr="002A75F2">
        <w:rPr>
          <w:rFonts w:cs="Arial"/>
        </w:rPr>
        <w:t xml:space="preserve"> and</w:t>
      </w:r>
      <w:r w:rsidRPr="002A75F2">
        <w:rPr>
          <w:rFonts w:cs="Arial"/>
        </w:rPr>
        <w:t xml:space="preserve"> Ground Water </w:t>
      </w:r>
      <w:r w:rsidR="0039301A" w:rsidRPr="002A75F2">
        <w:rPr>
          <w:rFonts w:cs="Arial"/>
        </w:rPr>
        <w:t>Standards</w:t>
      </w:r>
      <w:r w:rsidRPr="002A75F2">
        <w:rPr>
          <w:rFonts w:cs="Arial"/>
        </w:rPr>
        <w:t xml:space="preserve"> for </w:t>
      </w:r>
      <w:r w:rsidR="002E7F31" w:rsidRPr="002A75F2">
        <w:rPr>
          <w:rFonts w:cs="Arial"/>
        </w:rPr>
        <w:t>U</w:t>
      </w:r>
      <w:r w:rsidRPr="002A75F2">
        <w:rPr>
          <w:rFonts w:cs="Arial"/>
        </w:rPr>
        <w:t>se at Contaminated Sites in Ontario</w:t>
      </w:r>
      <w:r w:rsidR="00BA57DC" w:rsidRPr="002A75F2">
        <w:rPr>
          <w:rFonts w:cs="Arial"/>
        </w:rPr>
        <w:t>”</w:t>
      </w:r>
      <w:r w:rsidRPr="002A75F2">
        <w:rPr>
          <w:rFonts w:cs="Arial"/>
        </w:rPr>
        <w:t xml:space="preserve"> (</w:t>
      </w:r>
      <w:r w:rsidR="0039301A" w:rsidRPr="002A75F2">
        <w:rPr>
          <w:rFonts w:cs="Arial"/>
        </w:rPr>
        <w:t xml:space="preserve">2011 </w:t>
      </w:r>
      <w:r w:rsidRPr="002A75F2">
        <w:rPr>
          <w:rFonts w:cs="Arial"/>
        </w:rPr>
        <w:t>MOE)</w:t>
      </w:r>
      <w:r w:rsidR="008F1343" w:rsidRPr="002A75F2">
        <w:rPr>
          <w:rFonts w:cs="Arial"/>
        </w:rPr>
        <w:t xml:space="preserve"> and </w:t>
      </w:r>
      <w:r w:rsidR="00B862FD" w:rsidRPr="002A75F2">
        <w:rPr>
          <w:rFonts w:cs="Arial"/>
        </w:rPr>
        <w:t xml:space="preserve">the </w:t>
      </w:r>
      <w:r w:rsidR="008F1343" w:rsidRPr="002A75F2">
        <w:rPr>
          <w:rFonts w:cs="Arial"/>
        </w:rPr>
        <w:t>most up-to-date Ministry ecological component values are included in the Ministry’s approved model (and updated from time to time)</w:t>
      </w:r>
      <w:r w:rsidR="0039301A" w:rsidRPr="002A75F2">
        <w:rPr>
          <w:rFonts w:cs="Arial"/>
        </w:rPr>
        <w:t>. These</w:t>
      </w:r>
      <w:r w:rsidRPr="002A75F2">
        <w:rPr>
          <w:rFonts w:cs="Arial"/>
        </w:rPr>
        <w:t xml:space="preserve"> </w:t>
      </w:r>
      <w:r w:rsidR="00CD7B24" w:rsidRPr="002A75F2">
        <w:rPr>
          <w:rFonts w:cs="Arial"/>
        </w:rPr>
        <w:t xml:space="preserve">values </w:t>
      </w:r>
      <w:r w:rsidRPr="002A75F2">
        <w:rPr>
          <w:rFonts w:cs="Arial"/>
        </w:rPr>
        <w:t xml:space="preserve">should be </w:t>
      </w:r>
      <w:r w:rsidR="00CD7B24" w:rsidRPr="002A75F2">
        <w:rPr>
          <w:rFonts w:cs="Arial"/>
        </w:rPr>
        <w:t>considered by the QP</w:t>
      </w:r>
      <w:r w:rsidR="00CD7B24" w:rsidRPr="002A75F2">
        <w:rPr>
          <w:rFonts w:cs="Arial"/>
          <w:vertAlign w:val="subscript"/>
        </w:rPr>
        <w:t>RA</w:t>
      </w:r>
      <w:r w:rsidR="00CD7B24" w:rsidRPr="002A75F2">
        <w:rPr>
          <w:rFonts w:cs="Arial"/>
        </w:rPr>
        <w:t xml:space="preserve"> w</w:t>
      </w:r>
      <w:r w:rsidR="000863DD" w:rsidRPr="002A75F2">
        <w:rPr>
          <w:rFonts w:cs="Arial"/>
        </w:rPr>
        <w:t xml:space="preserve">hen selecting </w:t>
      </w:r>
      <w:r w:rsidR="00B46BEF" w:rsidRPr="002A75F2">
        <w:rPr>
          <w:rFonts w:cs="Arial"/>
        </w:rPr>
        <w:t xml:space="preserve">screening values and </w:t>
      </w:r>
      <w:r w:rsidR="000863DD" w:rsidRPr="002A75F2">
        <w:rPr>
          <w:rFonts w:cs="Arial"/>
        </w:rPr>
        <w:t>TRVs</w:t>
      </w:r>
      <w:r w:rsidR="000863DD" w:rsidRPr="000C60E1">
        <w:rPr>
          <w:rFonts w:cs="Arial"/>
        </w:rPr>
        <w:t xml:space="preserve"> for use in an E</w:t>
      </w:r>
      <w:r w:rsidR="00CD7B24" w:rsidRPr="000C60E1">
        <w:rPr>
          <w:rFonts w:cs="Arial"/>
        </w:rPr>
        <w:t xml:space="preserve">RA. Note that </w:t>
      </w:r>
      <w:r w:rsidRPr="000C60E1">
        <w:rPr>
          <w:rFonts w:cs="Arial"/>
        </w:rPr>
        <w:t xml:space="preserve">there </w:t>
      </w:r>
      <w:r w:rsidR="00CD7B24" w:rsidRPr="000C60E1">
        <w:rPr>
          <w:rFonts w:cs="Arial"/>
        </w:rPr>
        <w:t xml:space="preserve">may be more recent (and relevant) </w:t>
      </w:r>
      <w:r w:rsidRPr="000C60E1">
        <w:rPr>
          <w:rFonts w:cs="Arial"/>
        </w:rPr>
        <w:t xml:space="preserve">values published by </w:t>
      </w:r>
      <w:r w:rsidR="00CD7B24" w:rsidRPr="000C60E1">
        <w:rPr>
          <w:rFonts w:cs="Arial"/>
        </w:rPr>
        <w:t xml:space="preserve">other </w:t>
      </w:r>
      <w:r w:rsidR="00617CB5" w:rsidRPr="000C60E1">
        <w:rPr>
          <w:rFonts w:cs="Arial"/>
        </w:rPr>
        <w:t>credible</w:t>
      </w:r>
      <w:r w:rsidRPr="000C60E1">
        <w:rPr>
          <w:rFonts w:cs="Arial"/>
        </w:rPr>
        <w:t xml:space="preserve"> agenc</w:t>
      </w:r>
      <w:r w:rsidR="00CD7B24" w:rsidRPr="000C60E1">
        <w:rPr>
          <w:rFonts w:cs="Arial"/>
        </w:rPr>
        <w:t xml:space="preserve">ies, </w:t>
      </w:r>
      <w:r w:rsidR="002E5534" w:rsidRPr="000C60E1">
        <w:rPr>
          <w:rFonts w:cs="Arial"/>
        </w:rPr>
        <w:t xml:space="preserve">and </w:t>
      </w:r>
      <w:r w:rsidR="00CD7B24" w:rsidRPr="000C60E1">
        <w:rPr>
          <w:rFonts w:cs="Arial"/>
        </w:rPr>
        <w:t>these should also be considered during the TRV selection process</w:t>
      </w:r>
      <w:r w:rsidRPr="000C60E1">
        <w:rPr>
          <w:rFonts w:cs="Arial"/>
        </w:rPr>
        <w:t>.</w:t>
      </w:r>
      <w:r w:rsidR="009E5B44" w:rsidRPr="000C60E1">
        <w:rPr>
          <w:rFonts w:cs="Arial"/>
        </w:rPr>
        <w:t xml:space="preserve"> A search of the most recent toxicity data should have been conducted within two years prior to submission of the RA report. </w:t>
      </w:r>
      <w:r w:rsidR="00FB474A" w:rsidRPr="000C60E1">
        <w:rPr>
          <w:rFonts w:cs="Arial"/>
        </w:rPr>
        <w:t xml:space="preserve">For those contaminants for which the </w:t>
      </w:r>
      <w:r w:rsidR="00657FDB" w:rsidRPr="000C60E1">
        <w:rPr>
          <w:rFonts w:cs="Arial"/>
        </w:rPr>
        <w:t>M</w:t>
      </w:r>
      <w:r w:rsidR="002A6EE0" w:rsidRPr="000C60E1">
        <w:rPr>
          <w:rFonts w:cs="Arial"/>
        </w:rPr>
        <w:t>inistry</w:t>
      </w:r>
      <w:r w:rsidR="00FB474A" w:rsidRPr="000C60E1">
        <w:rPr>
          <w:rFonts w:cs="Arial"/>
        </w:rPr>
        <w:t xml:space="preserve"> has not developed any TRVs, values published by other credible regulatory agencies may be used</w:t>
      </w:r>
      <w:r w:rsidR="002E5534" w:rsidRPr="000C60E1">
        <w:rPr>
          <w:rFonts w:cs="Arial"/>
        </w:rPr>
        <w:t xml:space="preserve"> if it can be demonstrated that the TRV/media concentration benchmark was developed in a manner consistent with </w:t>
      </w:r>
      <w:r w:rsidR="002E5534" w:rsidRPr="002A75F2">
        <w:rPr>
          <w:rFonts w:cs="Arial"/>
        </w:rPr>
        <w:t xml:space="preserve">the </w:t>
      </w:r>
      <w:r w:rsidR="00B46BEF" w:rsidRPr="002A75F2">
        <w:rPr>
          <w:rFonts w:cs="Arial"/>
        </w:rPr>
        <w:t xml:space="preserve">Ministry’s </w:t>
      </w:r>
      <w:r w:rsidR="002E5534" w:rsidRPr="002A75F2">
        <w:rPr>
          <w:rFonts w:cs="Arial"/>
        </w:rPr>
        <w:t>development</w:t>
      </w:r>
      <w:r w:rsidR="002E5534" w:rsidRPr="000C60E1">
        <w:rPr>
          <w:rFonts w:cs="Arial"/>
        </w:rPr>
        <w:t xml:space="preserve"> of the TRVs used in the generic </w:t>
      </w:r>
      <w:r w:rsidR="005C53DA" w:rsidRPr="000C60E1">
        <w:rPr>
          <w:rFonts w:cs="Arial"/>
        </w:rPr>
        <w:t>site condition standards</w:t>
      </w:r>
      <w:r w:rsidR="002E5534" w:rsidRPr="000C60E1">
        <w:rPr>
          <w:rFonts w:cs="Arial"/>
        </w:rPr>
        <w:t xml:space="preserve"> development process and will provide the level of protection considered appropriate for the site based on the VECs and the assessment and measurement endpoints established in the Problem Formulation stage.</w:t>
      </w:r>
    </w:p>
    <w:p w14:paraId="18C18C00" w14:textId="6A80A63E" w:rsidR="00775A2B" w:rsidRPr="002A75F2" w:rsidRDefault="00257551" w:rsidP="00775A2B">
      <w:pPr>
        <w:rPr>
          <w:rFonts w:cs="Arial"/>
        </w:rPr>
      </w:pPr>
      <w:r w:rsidRPr="000C60E1">
        <w:rPr>
          <w:rFonts w:cs="Arial"/>
        </w:rPr>
        <w:t>Toxicity values published by the CCME in Canadian Soil Quality Guidelines supporting documents (publications specific for individual contaminants) and toxicity values published by the US</w:t>
      </w:r>
      <w:r w:rsidR="005A323C" w:rsidRPr="000C60E1">
        <w:rPr>
          <w:rFonts w:cs="Arial"/>
        </w:rPr>
        <w:t xml:space="preserve"> </w:t>
      </w:r>
      <w:r w:rsidRPr="000C60E1">
        <w:rPr>
          <w:rFonts w:cs="Arial"/>
        </w:rPr>
        <w:t xml:space="preserve">EPA for Ecological Soil Screening Levels are generally considered acceptable to the </w:t>
      </w:r>
      <w:r w:rsidR="00657FDB" w:rsidRPr="000C60E1">
        <w:rPr>
          <w:rFonts w:cs="Arial"/>
        </w:rPr>
        <w:t>M</w:t>
      </w:r>
      <w:r w:rsidRPr="000C60E1">
        <w:rPr>
          <w:rFonts w:cs="Arial"/>
        </w:rPr>
        <w:t xml:space="preserve">inistry with limited review. Toxicity values from other sources </w:t>
      </w:r>
      <w:r w:rsidR="00625747" w:rsidRPr="000C60E1">
        <w:rPr>
          <w:rFonts w:cs="Arial"/>
        </w:rPr>
        <w:t xml:space="preserve">for contaminants without </w:t>
      </w:r>
      <w:r w:rsidR="00657FDB" w:rsidRPr="000C60E1">
        <w:rPr>
          <w:rFonts w:cs="Arial"/>
        </w:rPr>
        <w:lastRenderedPageBreak/>
        <w:t>M</w:t>
      </w:r>
      <w:r w:rsidR="005A323C" w:rsidRPr="000C60E1">
        <w:rPr>
          <w:rFonts w:cs="Arial"/>
        </w:rPr>
        <w:t>i</w:t>
      </w:r>
      <w:r w:rsidR="00625747" w:rsidRPr="000C60E1">
        <w:rPr>
          <w:rFonts w:cs="Arial"/>
        </w:rPr>
        <w:t>nistry site condition stand</w:t>
      </w:r>
      <w:r w:rsidR="00625747" w:rsidRPr="002A75F2">
        <w:rPr>
          <w:rFonts w:cs="Arial"/>
        </w:rPr>
        <w:t xml:space="preserve">ards </w:t>
      </w:r>
      <w:r w:rsidRPr="002A75F2">
        <w:rPr>
          <w:rFonts w:cs="Arial"/>
        </w:rPr>
        <w:t xml:space="preserve">may require additional </w:t>
      </w:r>
      <w:r w:rsidR="00657FDB" w:rsidRPr="002A75F2">
        <w:rPr>
          <w:rFonts w:cs="Arial"/>
        </w:rPr>
        <w:t>M</w:t>
      </w:r>
      <w:r w:rsidRPr="002A75F2">
        <w:rPr>
          <w:rFonts w:cs="Arial"/>
        </w:rPr>
        <w:t>inistry review</w:t>
      </w:r>
      <w:r w:rsidR="00775A2B" w:rsidRPr="002A75F2">
        <w:rPr>
          <w:rFonts w:cs="Arial"/>
        </w:rPr>
        <w:t xml:space="preserve"> time. Note that </w:t>
      </w:r>
      <w:r w:rsidR="00BE50F7" w:rsidRPr="002A75F2">
        <w:rPr>
          <w:rFonts w:cs="Arial"/>
        </w:rPr>
        <w:t xml:space="preserve">in some cases, </w:t>
      </w:r>
      <w:r w:rsidR="00775A2B" w:rsidRPr="002A75F2">
        <w:rPr>
          <w:rFonts w:cs="Arial"/>
        </w:rPr>
        <w:t xml:space="preserve">when risk assessing a contaminant for which there is no applicable site condition standard, the </w:t>
      </w:r>
      <w:r w:rsidR="006C4301" w:rsidRPr="002A75F2">
        <w:rPr>
          <w:rFonts w:cs="Arial"/>
        </w:rPr>
        <w:t>risk assessment</w:t>
      </w:r>
      <w:r w:rsidR="00775A2B" w:rsidRPr="002A75F2">
        <w:rPr>
          <w:rFonts w:cs="Arial"/>
        </w:rPr>
        <w:t xml:space="preserve"> </w:t>
      </w:r>
      <w:r w:rsidR="00573DCC" w:rsidRPr="002A75F2">
        <w:rPr>
          <w:rFonts w:cs="Arial"/>
        </w:rPr>
        <w:t>may</w:t>
      </w:r>
      <w:r w:rsidR="00775A2B" w:rsidRPr="002A75F2">
        <w:rPr>
          <w:rFonts w:cs="Arial"/>
        </w:rPr>
        <w:t xml:space="preserve"> be considered as a new science risk assessment as per the Regulation</w:t>
      </w:r>
      <w:r w:rsidR="00B90FE0" w:rsidRPr="002A75F2">
        <w:rPr>
          <w:rFonts w:cs="Arial"/>
        </w:rPr>
        <w:t>, refer to Section 9.3.1 of this Procedures document for additional details.</w:t>
      </w:r>
    </w:p>
    <w:p w14:paraId="54248C54" w14:textId="77777777" w:rsidR="00B736F9" w:rsidRPr="000C60E1" w:rsidRDefault="00617CB5" w:rsidP="00840964">
      <w:pPr>
        <w:rPr>
          <w:rFonts w:cs="Arial"/>
        </w:rPr>
      </w:pPr>
      <w:r w:rsidRPr="002A75F2">
        <w:rPr>
          <w:rFonts w:cs="Arial"/>
        </w:rPr>
        <w:t>Credible</w:t>
      </w:r>
      <w:r w:rsidR="002671B6" w:rsidRPr="002A75F2">
        <w:rPr>
          <w:rFonts w:cs="Arial"/>
        </w:rPr>
        <w:t xml:space="preserve"> </w:t>
      </w:r>
      <w:r w:rsidR="00B736F9" w:rsidRPr="002A75F2">
        <w:rPr>
          <w:rFonts w:cs="Arial"/>
        </w:rPr>
        <w:t>agencies are those which have incorporated the</w:t>
      </w:r>
      <w:r w:rsidR="00B736F9" w:rsidRPr="000C60E1">
        <w:rPr>
          <w:rFonts w:cs="Arial"/>
        </w:rPr>
        <w:t xml:space="preserve"> following in developing TRVs:</w:t>
      </w:r>
    </w:p>
    <w:p w14:paraId="1928526D" w14:textId="77777777" w:rsidR="002671B6" w:rsidRPr="000C60E1" w:rsidRDefault="002671B6" w:rsidP="000E72E5">
      <w:pPr>
        <w:pStyle w:val="ListBullet2"/>
        <w:rPr>
          <w:rFonts w:cs="Arial"/>
        </w:rPr>
      </w:pPr>
      <w:r w:rsidRPr="000C60E1">
        <w:rPr>
          <w:rFonts w:cs="Arial"/>
        </w:rPr>
        <w:t>A rigorous peer review mechanism by credible experts/multiple regulatory bodies/jurisdictions and/or academia,</w:t>
      </w:r>
    </w:p>
    <w:p w14:paraId="3AEEE641" w14:textId="77777777" w:rsidR="002671B6" w:rsidRPr="000C60E1" w:rsidRDefault="002671B6" w:rsidP="000E72E5">
      <w:pPr>
        <w:pStyle w:val="ListBullet2"/>
        <w:rPr>
          <w:rFonts w:cs="Arial"/>
        </w:rPr>
      </w:pPr>
      <w:r w:rsidRPr="000C60E1">
        <w:rPr>
          <w:rFonts w:cs="Arial"/>
        </w:rPr>
        <w:t>Ongoing review and updating of values on the basis of new studies or advances in science, and,</w:t>
      </w:r>
    </w:p>
    <w:p w14:paraId="7A043077" w14:textId="77777777" w:rsidR="002671B6" w:rsidRPr="000C60E1" w:rsidRDefault="002671B6" w:rsidP="000E72E5">
      <w:pPr>
        <w:pStyle w:val="ListBullet2"/>
        <w:rPr>
          <w:rFonts w:cs="Arial"/>
        </w:rPr>
      </w:pPr>
      <w:r w:rsidRPr="000C60E1">
        <w:rPr>
          <w:rFonts w:cs="Arial"/>
        </w:rPr>
        <w:t xml:space="preserve">Published and/or publicly available </w:t>
      </w:r>
      <w:smartTag w:uri="urn:schemas-microsoft-com:office:smarttags" w:element="stockticker">
        <w:r w:rsidRPr="000C60E1">
          <w:rPr>
            <w:rFonts w:cs="Arial"/>
          </w:rPr>
          <w:t>TRV</w:t>
        </w:r>
      </w:smartTag>
      <w:r w:rsidRPr="000C60E1">
        <w:rPr>
          <w:rFonts w:cs="Arial"/>
        </w:rPr>
        <w:t xml:space="preserve"> values, together with the basis for the value selection.</w:t>
      </w:r>
    </w:p>
    <w:p w14:paraId="0DC431CE" w14:textId="647695A7" w:rsidR="00B736F9" w:rsidRPr="000C60E1" w:rsidRDefault="00257551" w:rsidP="00840964">
      <w:pPr>
        <w:rPr>
          <w:rFonts w:cs="Arial"/>
        </w:rPr>
      </w:pPr>
      <w:r w:rsidRPr="000C60E1">
        <w:rPr>
          <w:rFonts w:cs="Arial"/>
        </w:rPr>
        <w:t>Examples of credible agencies include but are not limited to CCME, US EPA</w:t>
      </w:r>
      <w:r w:rsidR="00625747" w:rsidRPr="000C60E1">
        <w:rPr>
          <w:rFonts w:cs="Arial"/>
        </w:rPr>
        <w:t>,</w:t>
      </w:r>
      <w:r w:rsidRPr="000C60E1">
        <w:rPr>
          <w:rFonts w:cs="Arial"/>
        </w:rPr>
        <w:t xml:space="preserve"> Oak Ridge National Laboratory. </w:t>
      </w:r>
      <w:r w:rsidR="00B736F9" w:rsidRPr="000C60E1">
        <w:rPr>
          <w:rFonts w:cs="Arial"/>
        </w:rPr>
        <w:t xml:space="preserve">If the data from a </w:t>
      </w:r>
      <w:r w:rsidR="00617CB5" w:rsidRPr="000C60E1">
        <w:rPr>
          <w:rFonts w:cs="Arial"/>
        </w:rPr>
        <w:t>credible</w:t>
      </w:r>
      <w:r w:rsidR="002671B6" w:rsidRPr="000C60E1">
        <w:rPr>
          <w:rFonts w:cs="Arial"/>
        </w:rPr>
        <w:t xml:space="preserve"> </w:t>
      </w:r>
      <w:r w:rsidR="00B736F9" w:rsidRPr="000C60E1">
        <w:rPr>
          <w:rFonts w:cs="Arial"/>
        </w:rPr>
        <w:t>agency is utilized, the data should be accompanied by:</w:t>
      </w:r>
    </w:p>
    <w:p w14:paraId="3AB766F4" w14:textId="77777777" w:rsidR="00B736F9" w:rsidRPr="000C60E1" w:rsidRDefault="00173CDA" w:rsidP="000E72E5">
      <w:pPr>
        <w:pStyle w:val="ListBullet2"/>
        <w:rPr>
          <w:rFonts w:cs="Arial"/>
        </w:rPr>
      </w:pPr>
      <w:r w:rsidRPr="000C60E1">
        <w:rPr>
          <w:rFonts w:cs="Arial"/>
        </w:rPr>
        <w:t>A</w:t>
      </w:r>
      <w:r w:rsidR="00B736F9" w:rsidRPr="000C60E1">
        <w:rPr>
          <w:rFonts w:cs="Arial"/>
        </w:rPr>
        <w:t xml:space="preserve"> discussion of the rationale used by the agency in the choice of data and the critical study</w:t>
      </w:r>
      <w:r w:rsidRPr="000C60E1">
        <w:rPr>
          <w:rFonts w:cs="Arial"/>
        </w:rPr>
        <w:t>,</w:t>
      </w:r>
    </w:p>
    <w:p w14:paraId="28F5848B" w14:textId="77777777" w:rsidR="00B736F9" w:rsidRPr="000C60E1" w:rsidRDefault="00B736F9" w:rsidP="000E72E5">
      <w:pPr>
        <w:pStyle w:val="ListBullet2"/>
        <w:rPr>
          <w:rFonts w:cs="Arial"/>
        </w:rPr>
      </w:pPr>
      <w:r w:rsidRPr="000C60E1">
        <w:rPr>
          <w:rFonts w:cs="Arial"/>
        </w:rPr>
        <w:t>A description of how the considerations of the agency are applicable to the receptors and site conditions of the RA property (</w:t>
      </w:r>
      <w:r w:rsidR="008A792B" w:rsidRPr="000C60E1">
        <w:rPr>
          <w:rFonts w:cs="Arial"/>
        </w:rPr>
        <w:t>e.g.</w:t>
      </w:r>
      <w:r w:rsidRPr="000C60E1">
        <w:rPr>
          <w:rFonts w:cs="Arial"/>
        </w:rPr>
        <w:t xml:space="preserve"> dose-response model, uncertainty factors, etc.)</w:t>
      </w:r>
      <w:r w:rsidR="00173CDA" w:rsidRPr="000C60E1">
        <w:rPr>
          <w:rFonts w:cs="Arial"/>
        </w:rPr>
        <w:t>,</w:t>
      </w:r>
    </w:p>
    <w:p w14:paraId="6DEAA388" w14:textId="77777777" w:rsidR="00B736F9" w:rsidRPr="000C60E1" w:rsidRDefault="00B736F9" w:rsidP="000E72E5">
      <w:pPr>
        <w:pStyle w:val="ListBullet2"/>
        <w:rPr>
          <w:rFonts w:cs="Arial"/>
        </w:rPr>
      </w:pPr>
      <w:r w:rsidRPr="000C60E1">
        <w:rPr>
          <w:rFonts w:cs="Arial"/>
        </w:rPr>
        <w:t>Documentation of the description and evaluation of the toxicity assessment and provision of a rationale for adopting that particular toxicity assessment.</w:t>
      </w:r>
    </w:p>
    <w:p w14:paraId="5D908CD8" w14:textId="34580E8C" w:rsidR="00B736F9" w:rsidRPr="000C60E1" w:rsidRDefault="00B736F9" w:rsidP="00840964">
      <w:pPr>
        <w:rPr>
          <w:rFonts w:cs="Arial"/>
        </w:rPr>
      </w:pPr>
      <w:r w:rsidRPr="000C60E1">
        <w:rPr>
          <w:rFonts w:cs="Arial"/>
        </w:rPr>
        <w:t xml:space="preserve">The </w:t>
      </w:r>
      <w:r w:rsidR="00657FDB" w:rsidRPr="000C60E1">
        <w:rPr>
          <w:rFonts w:cs="Arial"/>
        </w:rPr>
        <w:t>M</w:t>
      </w:r>
      <w:r w:rsidR="00683E92" w:rsidRPr="000C60E1">
        <w:rPr>
          <w:rFonts w:cs="Arial"/>
        </w:rPr>
        <w:t>inistry</w:t>
      </w:r>
      <w:r w:rsidRPr="000C60E1">
        <w:rPr>
          <w:rFonts w:cs="Arial"/>
        </w:rPr>
        <w:t xml:space="preserve"> </w:t>
      </w:r>
      <w:r w:rsidR="00625747" w:rsidRPr="000C60E1">
        <w:rPr>
          <w:rFonts w:cs="Arial"/>
        </w:rPr>
        <w:t xml:space="preserve">also </w:t>
      </w:r>
      <w:r w:rsidRPr="000C60E1">
        <w:rPr>
          <w:rFonts w:cs="Arial"/>
        </w:rPr>
        <w:t xml:space="preserve">supports the development of </w:t>
      </w:r>
      <w:r w:rsidR="00625747" w:rsidRPr="000C60E1">
        <w:rPr>
          <w:rFonts w:cs="Arial"/>
        </w:rPr>
        <w:t xml:space="preserve">new ecological </w:t>
      </w:r>
      <w:r w:rsidRPr="000C60E1">
        <w:rPr>
          <w:rFonts w:cs="Arial"/>
        </w:rPr>
        <w:t>TRVs based on the best available science. TRVs should be developed using the following process:</w:t>
      </w:r>
    </w:p>
    <w:p w14:paraId="0D781ECD" w14:textId="77777777" w:rsidR="00B736F9" w:rsidRPr="000C60E1" w:rsidRDefault="00B736F9" w:rsidP="000E72E5">
      <w:pPr>
        <w:pStyle w:val="ListBullet2"/>
        <w:rPr>
          <w:rFonts w:cs="Arial"/>
        </w:rPr>
      </w:pPr>
      <w:r w:rsidRPr="000C60E1">
        <w:rPr>
          <w:rFonts w:cs="Arial"/>
        </w:rPr>
        <w:t>A search of toxicological databases for toxicological literature pertaining to the given chemical parameter and VECs of interest;</w:t>
      </w:r>
    </w:p>
    <w:p w14:paraId="54425A44" w14:textId="77777777" w:rsidR="00B736F9" w:rsidRPr="000C60E1" w:rsidRDefault="00B736F9" w:rsidP="000E72E5">
      <w:pPr>
        <w:pStyle w:val="ListBullet2"/>
        <w:rPr>
          <w:rFonts w:cs="Arial"/>
        </w:rPr>
      </w:pPr>
      <w:r w:rsidRPr="000C60E1">
        <w:rPr>
          <w:rFonts w:cs="Arial"/>
        </w:rPr>
        <w:t>A review of the quality of the studies and their applicability to the RA property;</w:t>
      </w:r>
    </w:p>
    <w:p w14:paraId="108DBA99" w14:textId="77777777" w:rsidR="00B736F9" w:rsidRPr="000C60E1" w:rsidRDefault="00B736F9" w:rsidP="00756E24">
      <w:pPr>
        <w:pStyle w:val="ListBullet3"/>
        <w:rPr>
          <w:rFonts w:cs="Arial"/>
        </w:rPr>
      </w:pPr>
      <w:r w:rsidRPr="000C60E1">
        <w:rPr>
          <w:rFonts w:cs="Arial"/>
        </w:rPr>
        <w:t>Selection of a LOEL, from existing dose-response data;</w:t>
      </w:r>
    </w:p>
    <w:p w14:paraId="283C3588" w14:textId="77777777" w:rsidR="00B736F9" w:rsidRPr="000C60E1" w:rsidRDefault="00B736F9" w:rsidP="00756E24">
      <w:pPr>
        <w:pStyle w:val="ListBullet3"/>
        <w:rPr>
          <w:rFonts w:cs="Arial"/>
        </w:rPr>
      </w:pPr>
      <w:r w:rsidRPr="000C60E1">
        <w:rPr>
          <w:rFonts w:cs="Arial"/>
        </w:rPr>
        <w:t>Selection of a NOAEL for threatened or endangered species.</w:t>
      </w:r>
    </w:p>
    <w:p w14:paraId="28DE73DB" w14:textId="77777777" w:rsidR="00B736F9" w:rsidRPr="000C60E1" w:rsidRDefault="00B736F9" w:rsidP="00840964">
      <w:pPr>
        <w:rPr>
          <w:rFonts w:cs="Arial"/>
        </w:rPr>
      </w:pPr>
      <w:r w:rsidRPr="000C60E1">
        <w:rPr>
          <w:rFonts w:cs="Arial"/>
        </w:rPr>
        <w:t xml:space="preserve">In selecting toxicity data from which a </w:t>
      </w:r>
      <w:smartTag w:uri="urn:schemas-microsoft-com:office:smarttags" w:element="stockticker">
        <w:r w:rsidRPr="000C60E1">
          <w:rPr>
            <w:rFonts w:cs="Arial"/>
          </w:rPr>
          <w:t>TRV</w:t>
        </w:r>
      </w:smartTag>
      <w:r w:rsidRPr="000C60E1">
        <w:rPr>
          <w:rFonts w:cs="Arial"/>
        </w:rPr>
        <w:t xml:space="preserve"> is derived, preference will be given to:</w:t>
      </w:r>
    </w:p>
    <w:p w14:paraId="790F5D0A" w14:textId="77777777" w:rsidR="00B736F9" w:rsidRPr="000C60E1" w:rsidRDefault="00173CDA" w:rsidP="000E72E5">
      <w:pPr>
        <w:pStyle w:val="ListBullet2"/>
        <w:rPr>
          <w:rFonts w:cs="Arial"/>
        </w:rPr>
      </w:pPr>
      <w:r w:rsidRPr="000C60E1">
        <w:rPr>
          <w:rFonts w:cs="Arial"/>
        </w:rPr>
        <w:t>T</w:t>
      </w:r>
      <w:r w:rsidR="00B736F9" w:rsidRPr="000C60E1">
        <w:rPr>
          <w:rFonts w:cs="Arial"/>
        </w:rPr>
        <w:t>oxicity data derived from the species which are closely related to each VEC (</w:t>
      </w:r>
      <w:r w:rsidR="008A792B" w:rsidRPr="000C60E1">
        <w:rPr>
          <w:rFonts w:cs="Arial"/>
        </w:rPr>
        <w:t>e.g.</w:t>
      </w:r>
      <w:r w:rsidR="00B736F9" w:rsidRPr="000C60E1">
        <w:rPr>
          <w:rFonts w:cs="Arial"/>
        </w:rPr>
        <w:t xml:space="preserve"> laboratory mouse data for small </w:t>
      </w:r>
      <w:r w:rsidRPr="000C60E1">
        <w:rPr>
          <w:rFonts w:cs="Arial"/>
        </w:rPr>
        <w:t>mammals, quail data for grouse);</w:t>
      </w:r>
    </w:p>
    <w:p w14:paraId="5D714995" w14:textId="77777777" w:rsidR="00B736F9" w:rsidRPr="000C60E1" w:rsidRDefault="00173CDA" w:rsidP="000E72E5">
      <w:pPr>
        <w:pStyle w:val="ListBullet2"/>
        <w:rPr>
          <w:rFonts w:cs="Arial"/>
        </w:rPr>
      </w:pPr>
      <w:r w:rsidRPr="000C60E1">
        <w:rPr>
          <w:rFonts w:cs="Arial"/>
        </w:rPr>
        <w:t>F</w:t>
      </w:r>
      <w:r w:rsidR="00B736F9" w:rsidRPr="000C60E1">
        <w:rPr>
          <w:rFonts w:cs="Arial"/>
        </w:rPr>
        <w:t>eeding studies using multiple exposure levels (</w:t>
      </w:r>
      <w:proofErr w:type="spellStart"/>
      <w:r w:rsidR="00B736F9" w:rsidRPr="000C60E1">
        <w:rPr>
          <w:rFonts w:cs="Arial"/>
        </w:rPr>
        <w:t>not</w:t>
      </w:r>
      <w:proofErr w:type="spellEnd"/>
      <w:r w:rsidR="00B736F9" w:rsidRPr="000C60E1">
        <w:rPr>
          <w:rFonts w:cs="Arial"/>
        </w:rPr>
        <w:t xml:space="preserve"> single dose, or gavage, or injection studies)</w:t>
      </w:r>
      <w:r w:rsidRPr="000C60E1">
        <w:rPr>
          <w:rFonts w:cs="Arial"/>
        </w:rPr>
        <w:t>;</w:t>
      </w:r>
    </w:p>
    <w:p w14:paraId="5E20CA32" w14:textId="77777777" w:rsidR="00B736F9" w:rsidRPr="000C60E1" w:rsidRDefault="00173CDA" w:rsidP="000E72E5">
      <w:pPr>
        <w:pStyle w:val="ListBullet2"/>
        <w:rPr>
          <w:rFonts w:cs="Arial"/>
        </w:rPr>
      </w:pPr>
      <w:r w:rsidRPr="000C60E1">
        <w:rPr>
          <w:rFonts w:cs="Arial"/>
        </w:rPr>
        <w:t>C</w:t>
      </w:r>
      <w:r w:rsidR="00B736F9" w:rsidRPr="000C60E1">
        <w:rPr>
          <w:rFonts w:cs="Arial"/>
        </w:rPr>
        <w:t xml:space="preserve">hronic exposure studies, </w:t>
      </w:r>
      <w:r w:rsidR="00B736F9" w:rsidRPr="002A75F2">
        <w:rPr>
          <w:rFonts w:cs="Arial"/>
        </w:rPr>
        <w:t xml:space="preserve">particularly </w:t>
      </w:r>
      <w:r w:rsidR="00A2159B" w:rsidRPr="002A75F2">
        <w:rPr>
          <w:rFonts w:cs="Arial"/>
        </w:rPr>
        <w:t xml:space="preserve">if duration is </w:t>
      </w:r>
      <w:r w:rsidR="00B736F9" w:rsidRPr="002A75F2">
        <w:rPr>
          <w:rFonts w:cs="Arial"/>
        </w:rPr>
        <w:t>over several</w:t>
      </w:r>
      <w:r w:rsidR="00B736F9" w:rsidRPr="000C60E1">
        <w:rPr>
          <w:rFonts w:cs="Arial"/>
        </w:rPr>
        <w:t xml:space="preserve"> months, and/or over sensitive life stages (</w:t>
      </w:r>
      <w:r w:rsidR="008A792B" w:rsidRPr="000C60E1">
        <w:rPr>
          <w:rFonts w:cs="Arial"/>
        </w:rPr>
        <w:t>e.g.</w:t>
      </w:r>
      <w:r w:rsidR="00B736F9" w:rsidRPr="000C60E1">
        <w:rPr>
          <w:rFonts w:cs="Arial"/>
        </w:rPr>
        <w:t xml:space="preserve"> during reproduction); </w:t>
      </w:r>
    </w:p>
    <w:p w14:paraId="2AF9BDAD" w14:textId="01773BE1" w:rsidR="00AF2B7C" w:rsidRPr="000C60E1" w:rsidRDefault="00173CDA" w:rsidP="000E72E5">
      <w:pPr>
        <w:pStyle w:val="ListBullet2"/>
        <w:rPr>
          <w:rFonts w:cs="Arial"/>
        </w:rPr>
      </w:pPr>
      <w:r w:rsidRPr="000C60E1">
        <w:rPr>
          <w:rFonts w:cs="Arial"/>
        </w:rPr>
        <w:lastRenderedPageBreak/>
        <w:t>S</w:t>
      </w:r>
      <w:r w:rsidR="00B736F9" w:rsidRPr="000C60E1">
        <w:rPr>
          <w:rFonts w:cs="Arial"/>
        </w:rPr>
        <w:t>tudies which evaluate a reproductive endpoint (</w:t>
      </w:r>
      <w:r w:rsidR="008A792B" w:rsidRPr="000C60E1">
        <w:rPr>
          <w:rFonts w:cs="Arial"/>
        </w:rPr>
        <w:t>e.g.</w:t>
      </w:r>
      <w:r w:rsidR="00B736F9" w:rsidRPr="000C60E1">
        <w:rPr>
          <w:rFonts w:cs="Arial"/>
        </w:rPr>
        <w:t xml:space="preserve"> number of live births, number of eggs hatched) </w:t>
      </w:r>
      <w:r w:rsidR="00217D45">
        <w:rPr>
          <w:rFonts w:cs="Arial"/>
        </w:rPr>
        <w:t xml:space="preserve">– </w:t>
      </w:r>
      <w:r w:rsidR="00B736F9" w:rsidRPr="000C60E1">
        <w:rPr>
          <w:rFonts w:cs="Arial"/>
        </w:rPr>
        <w:t>these</w:t>
      </w:r>
      <w:r w:rsidR="00217D45">
        <w:rPr>
          <w:rFonts w:cs="Arial"/>
        </w:rPr>
        <w:t xml:space="preserve"> </w:t>
      </w:r>
      <w:r w:rsidR="00B736F9" w:rsidRPr="000C60E1">
        <w:rPr>
          <w:rFonts w:cs="Arial"/>
        </w:rPr>
        <w:t>data are preferred as these assessment endpoints most closely relate to wildlife success.</w:t>
      </w:r>
      <w:r w:rsidR="00E47BA0" w:rsidRPr="000C60E1">
        <w:rPr>
          <w:rFonts w:cs="Arial"/>
        </w:rPr>
        <w:t xml:space="preserve"> In cases where there are differences in the most protective </w:t>
      </w:r>
      <w:r w:rsidR="00A2159B" w:rsidRPr="000C60E1">
        <w:rPr>
          <w:rFonts w:cs="Arial"/>
        </w:rPr>
        <w:t>versus</w:t>
      </w:r>
      <w:r w:rsidR="00E47BA0" w:rsidRPr="000C60E1">
        <w:rPr>
          <w:rFonts w:cs="Arial"/>
        </w:rPr>
        <w:t xml:space="preserve"> the preferred </w:t>
      </w:r>
      <w:r w:rsidR="00F334C5" w:rsidRPr="000C60E1">
        <w:rPr>
          <w:rFonts w:cs="Arial"/>
        </w:rPr>
        <w:t xml:space="preserve">toxicity </w:t>
      </w:r>
      <w:r w:rsidR="00E47BA0" w:rsidRPr="000C60E1">
        <w:rPr>
          <w:rFonts w:cs="Arial"/>
        </w:rPr>
        <w:t>data, there needs to be some discussion of how the decision was made – i.</w:t>
      </w:r>
      <w:r w:rsidR="00F334C5" w:rsidRPr="000C60E1">
        <w:rPr>
          <w:rFonts w:cs="Arial"/>
        </w:rPr>
        <w:t>e. a weighing</w:t>
      </w:r>
      <w:r w:rsidR="00E47BA0" w:rsidRPr="000C60E1">
        <w:rPr>
          <w:rFonts w:cs="Arial"/>
        </w:rPr>
        <w:t xml:space="preserve"> of </w:t>
      </w:r>
      <w:r w:rsidR="00F334C5" w:rsidRPr="000C60E1">
        <w:rPr>
          <w:rFonts w:cs="Arial"/>
        </w:rPr>
        <w:t xml:space="preserve">the </w:t>
      </w:r>
      <w:r w:rsidR="00E47BA0" w:rsidRPr="000C60E1">
        <w:rPr>
          <w:rFonts w:cs="Arial"/>
        </w:rPr>
        <w:t>evidence discussion to support the selected values.</w:t>
      </w:r>
    </w:p>
    <w:p w14:paraId="49EE63B3" w14:textId="77777777" w:rsidR="00775A2B" w:rsidRPr="000C60E1" w:rsidRDefault="00775A2B" w:rsidP="000E72E5">
      <w:pPr>
        <w:pStyle w:val="ListBullet2"/>
        <w:rPr>
          <w:rFonts w:cs="Arial"/>
        </w:rPr>
      </w:pPr>
      <w:r w:rsidRPr="000C60E1">
        <w:rPr>
          <w:rFonts w:cs="Arial"/>
        </w:rPr>
        <w:t>Secondary preference will be given to survival and growth data.</w:t>
      </w:r>
    </w:p>
    <w:p w14:paraId="5973994D" w14:textId="77777777" w:rsidR="00775A2B" w:rsidRPr="002A75F2" w:rsidRDefault="006A3AC3" w:rsidP="000E72E5">
      <w:pPr>
        <w:pStyle w:val="ListBullet2"/>
        <w:rPr>
          <w:rFonts w:cs="Arial"/>
        </w:rPr>
      </w:pPr>
      <w:r w:rsidRPr="002A75F2">
        <w:rPr>
          <w:rFonts w:cs="Arial"/>
        </w:rPr>
        <w:t>T</w:t>
      </w:r>
      <w:r w:rsidR="00EA6883" w:rsidRPr="002A75F2">
        <w:rPr>
          <w:rFonts w:cs="Arial"/>
        </w:rPr>
        <w:t>h</w:t>
      </w:r>
      <w:r w:rsidR="00657FDB" w:rsidRPr="002A75F2">
        <w:rPr>
          <w:rFonts w:cs="Arial"/>
        </w:rPr>
        <w:t>e M</w:t>
      </w:r>
      <w:r w:rsidR="00EA6883" w:rsidRPr="002A75F2">
        <w:rPr>
          <w:rFonts w:cs="Arial"/>
        </w:rPr>
        <w:t xml:space="preserve">inistry does not recommend that allometric dose scaling be used for chronic effects data. </w:t>
      </w:r>
    </w:p>
    <w:p w14:paraId="42CCFF8E" w14:textId="5640CE39" w:rsidR="0053355D" w:rsidRPr="000C60E1" w:rsidRDefault="0053355D" w:rsidP="000E72E5">
      <w:pPr>
        <w:pStyle w:val="ListBullet2"/>
        <w:numPr>
          <w:ilvl w:val="0"/>
          <w:numId w:val="0"/>
        </w:numPr>
        <w:rPr>
          <w:rFonts w:cs="Arial"/>
        </w:rPr>
      </w:pPr>
      <w:r w:rsidRPr="000C60E1">
        <w:rPr>
          <w:rFonts w:cs="Arial"/>
        </w:rPr>
        <w:t>For the levels of ERA other than the SL-ERA, bioassays or field surveys may become important tools for hazard assessment. If bioassays or field surveys are conducted, they should:</w:t>
      </w:r>
    </w:p>
    <w:p w14:paraId="4D74C998" w14:textId="77777777" w:rsidR="0053355D" w:rsidRPr="000C60E1" w:rsidRDefault="0053355D" w:rsidP="000E72E5">
      <w:pPr>
        <w:pStyle w:val="ListBullet2"/>
        <w:rPr>
          <w:rFonts w:cs="Arial"/>
        </w:rPr>
      </w:pPr>
      <w:r w:rsidRPr="000C60E1">
        <w:rPr>
          <w:rFonts w:cs="Arial"/>
        </w:rPr>
        <w:t>Be chosen to include species and endpoints that are relevant to the property being assessed and that are known or thought to be sensitive to the potential contaminants, and</w:t>
      </w:r>
    </w:p>
    <w:p w14:paraId="1466B259" w14:textId="77777777" w:rsidR="0053355D" w:rsidRPr="000C60E1" w:rsidRDefault="0053355D" w:rsidP="000E72E5">
      <w:pPr>
        <w:pStyle w:val="ListBullet2"/>
        <w:rPr>
          <w:rFonts w:cs="Arial"/>
        </w:rPr>
      </w:pPr>
      <w:r w:rsidRPr="000C60E1">
        <w:rPr>
          <w:rFonts w:cs="Arial"/>
        </w:rPr>
        <w:t>Include generally accepted standardized procedures and species.</w:t>
      </w:r>
    </w:p>
    <w:p w14:paraId="42D4C9E9" w14:textId="77777777" w:rsidR="00B736F9" w:rsidRPr="000C60E1" w:rsidRDefault="00B736F9" w:rsidP="00840964">
      <w:pPr>
        <w:rPr>
          <w:rFonts w:cs="Arial"/>
        </w:rPr>
      </w:pPr>
      <w:r w:rsidRPr="000C60E1">
        <w:rPr>
          <w:rFonts w:cs="Arial"/>
        </w:rPr>
        <w:t xml:space="preserve">A lack of </w:t>
      </w:r>
      <w:r w:rsidR="00625747" w:rsidRPr="000C60E1">
        <w:rPr>
          <w:rFonts w:cs="Arial"/>
        </w:rPr>
        <w:t xml:space="preserve">sufficient </w:t>
      </w:r>
      <w:r w:rsidRPr="000C60E1">
        <w:rPr>
          <w:rFonts w:cs="Arial"/>
        </w:rPr>
        <w:t xml:space="preserve">relevant </w:t>
      </w:r>
      <w:r w:rsidR="00F334C5" w:rsidRPr="000C60E1">
        <w:rPr>
          <w:rFonts w:cs="Arial"/>
        </w:rPr>
        <w:t xml:space="preserve">toxicity </w:t>
      </w:r>
      <w:r w:rsidRPr="000C60E1">
        <w:rPr>
          <w:rFonts w:cs="Arial"/>
        </w:rPr>
        <w:t>data should lead to the following conclusions:</w:t>
      </w:r>
    </w:p>
    <w:p w14:paraId="7852D7B8" w14:textId="77777777" w:rsidR="00B736F9" w:rsidRPr="000C60E1" w:rsidRDefault="00B736F9" w:rsidP="00A47B50">
      <w:pPr>
        <w:pStyle w:val="ListNumber2"/>
        <w:numPr>
          <w:ilvl w:val="0"/>
          <w:numId w:val="16"/>
        </w:numPr>
        <w:rPr>
          <w:rFonts w:cs="Arial"/>
        </w:rPr>
      </w:pPr>
      <w:r w:rsidRPr="000C60E1">
        <w:rPr>
          <w:rFonts w:cs="Arial"/>
        </w:rPr>
        <w:t>The present status of scientific knowledge does not allow for the quantitative evaluation of ecological risk, and</w:t>
      </w:r>
    </w:p>
    <w:p w14:paraId="1D2A9326" w14:textId="77777777" w:rsidR="00625747" w:rsidRPr="000C60E1" w:rsidRDefault="00C7434C" w:rsidP="00A47B50">
      <w:pPr>
        <w:pStyle w:val="ListNumber2"/>
        <w:numPr>
          <w:ilvl w:val="0"/>
          <w:numId w:val="16"/>
        </w:numPr>
        <w:rPr>
          <w:rFonts w:cs="Arial"/>
        </w:rPr>
      </w:pPr>
      <w:r w:rsidRPr="000C60E1">
        <w:rPr>
          <w:rFonts w:cs="Arial"/>
        </w:rPr>
        <w:t>N</w:t>
      </w:r>
      <w:r w:rsidR="00625747" w:rsidRPr="000C60E1">
        <w:rPr>
          <w:rFonts w:cs="Arial"/>
        </w:rPr>
        <w:t>o property specific ecologically based standard can be established</w:t>
      </w:r>
      <w:r w:rsidRPr="000C60E1">
        <w:rPr>
          <w:rFonts w:cs="Arial"/>
        </w:rPr>
        <w:t>.</w:t>
      </w:r>
    </w:p>
    <w:p w14:paraId="055BE277" w14:textId="65E15A03" w:rsidR="0053355D" w:rsidRPr="000C60E1" w:rsidRDefault="0053355D" w:rsidP="0053355D">
      <w:pPr>
        <w:rPr>
          <w:rFonts w:cs="Arial"/>
        </w:rPr>
      </w:pPr>
      <w:r w:rsidRPr="000C60E1">
        <w:rPr>
          <w:rFonts w:cs="Arial"/>
        </w:rPr>
        <w:t>Recommendations can be made that, for the protection of the natural environment and in the absence of adequate knowledge of ecological risk, exposure to environmental receptors be reduced as much as possible and property</w:t>
      </w:r>
      <w:r w:rsidR="005C373C" w:rsidRPr="000C60E1">
        <w:rPr>
          <w:rFonts w:cs="Arial"/>
        </w:rPr>
        <w:t xml:space="preserve"> </w:t>
      </w:r>
      <w:r w:rsidRPr="000C60E1">
        <w:rPr>
          <w:rFonts w:cs="Arial"/>
        </w:rPr>
        <w:t>specific standards be based on other factors (</w:t>
      </w:r>
      <w:r w:rsidR="008A792B" w:rsidRPr="000C60E1">
        <w:rPr>
          <w:rFonts w:cs="Arial"/>
        </w:rPr>
        <w:t>e.g.</w:t>
      </w:r>
      <w:r w:rsidRPr="000C60E1">
        <w:rPr>
          <w:rFonts w:cs="Arial"/>
        </w:rPr>
        <w:t xml:space="preserve"> the full depth background site condition standards in Table 1</w:t>
      </w:r>
      <w:r w:rsidR="00D51009" w:rsidRPr="000C60E1">
        <w:rPr>
          <w:rFonts w:cs="Arial"/>
        </w:rPr>
        <w:t xml:space="preserve"> </w:t>
      </w:r>
      <w:r w:rsidRPr="000C60E1">
        <w:rPr>
          <w:rFonts w:cs="Arial"/>
        </w:rPr>
        <w:t>of the Soil, Ground Water and Sediment Standards</w:t>
      </w:r>
      <w:r w:rsidR="00775A2B" w:rsidRPr="000C60E1">
        <w:rPr>
          <w:rFonts w:cs="Arial"/>
        </w:rPr>
        <w:t xml:space="preserve">). </w:t>
      </w:r>
      <w:r w:rsidRPr="000C60E1">
        <w:rPr>
          <w:rFonts w:cs="Arial"/>
        </w:rPr>
        <w:t xml:space="preserve">When no site condition standard exists for a given chemical parameter, the property owner may choose to adopt a background-based or effects-based soil or groundwater value from another credible regulatory agency. Under the Regulation, adopting a standard or guideline for environmental media (soil, </w:t>
      </w:r>
      <w:r w:rsidR="00775A2B" w:rsidRPr="000C60E1">
        <w:rPr>
          <w:rFonts w:cs="Arial"/>
        </w:rPr>
        <w:t>ground</w:t>
      </w:r>
      <w:r w:rsidRPr="000C60E1">
        <w:rPr>
          <w:rFonts w:cs="Arial"/>
        </w:rPr>
        <w:t>water, sediment) from another jurisdiction</w:t>
      </w:r>
      <w:r w:rsidR="00C7434C" w:rsidRPr="000C60E1">
        <w:rPr>
          <w:rFonts w:cs="Arial"/>
        </w:rPr>
        <w:t xml:space="preserve">, if there is no </w:t>
      </w:r>
      <w:r w:rsidR="00657FDB" w:rsidRPr="000C60E1">
        <w:rPr>
          <w:rFonts w:cs="Arial"/>
        </w:rPr>
        <w:t>M</w:t>
      </w:r>
      <w:r w:rsidR="00C7434C" w:rsidRPr="000C60E1">
        <w:rPr>
          <w:rFonts w:cs="Arial"/>
        </w:rPr>
        <w:t>inistry site condition standard,</w:t>
      </w:r>
      <w:r w:rsidRPr="000C60E1">
        <w:rPr>
          <w:rFonts w:cs="Arial"/>
        </w:rPr>
        <w:t xml:space="preserve"> is considered a new science risk assessment</w:t>
      </w:r>
      <w:r w:rsidR="008D4702" w:rsidRPr="000C60E1">
        <w:rPr>
          <w:rFonts w:cs="Arial"/>
        </w:rPr>
        <w:t>.</w:t>
      </w:r>
    </w:p>
    <w:p w14:paraId="310B918D" w14:textId="63424ABE" w:rsidR="00B736F9" w:rsidRPr="000C60E1" w:rsidRDefault="00B736F9" w:rsidP="00AF2B7C">
      <w:pPr>
        <w:pStyle w:val="Heading2"/>
        <w:rPr>
          <w:rFonts w:cs="Arial"/>
        </w:rPr>
      </w:pPr>
      <w:bookmarkStart w:id="295" w:name="_Risk_Characterization_Component_of_"/>
      <w:bookmarkStart w:id="296" w:name="_Toc74119424"/>
      <w:bookmarkStart w:id="297" w:name="_Toc74450903"/>
      <w:bookmarkStart w:id="298" w:name="_Toc78162213"/>
      <w:bookmarkStart w:id="299" w:name="_Toc79571591"/>
      <w:bookmarkStart w:id="300" w:name="_Toc91393580"/>
      <w:bookmarkStart w:id="301" w:name="_Toc112727443"/>
      <w:bookmarkStart w:id="302" w:name="_Toc41905719"/>
      <w:bookmarkEnd w:id="295"/>
      <w:r w:rsidRPr="000C60E1">
        <w:rPr>
          <w:rFonts w:cs="Arial"/>
        </w:rPr>
        <w:t>Risk Characterization</w:t>
      </w:r>
      <w:bookmarkEnd w:id="296"/>
      <w:bookmarkEnd w:id="297"/>
      <w:bookmarkEnd w:id="298"/>
      <w:bookmarkEnd w:id="299"/>
      <w:bookmarkEnd w:id="300"/>
      <w:bookmarkEnd w:id="301"/>
      <w:bookmarkEnd w:id="302"/>
    </w:p>
    <w:p w14:paraId="23DB890B" w14:textId="77777777" w:rsidR="00B736F9" w:rsidRPr="000C60E1" w:rsidRDefault="00B736F9" w:rsidP="00840964">
      <w:pPr>
        <w:rPr>
          <w:rFonts w:cs="Arial"/>
        </w:rPr>
      </w:pPr>
      <w:r w:rsidRPr="000C60E1">
        <w:rPr>
          <w:rFonts w:cs="Arial"/>
        </w:rPr>
        <w:t xml:space="preserve">The section in the </w:t>
      </w:r>
      <w:r w:rsidR="0041572E" w:rsidRPr="000C60E1">
        <w:rPr>
          <w:rFonts w:cs="Arial"/>
        </w:rPr>
        <w:t>RA report</w:t>
      </w:r>
      <w:r w:rsidRPr="000C60E1">
        <w:rPr>
          <w:rFonts w:cs="Arial"/>
        </w:rPr>
        <w:t xml:space="preserve"> relating to ecological risk characterization should document the following:</w:t>
      </w:r>
    </w:p>
    <w:p w14:paraId="38253507" w14:textId="77777777" w:rsidR="00B736F9" w:rsidRPr="000C60E1" w:rsidRDefault="00B736F9" w:rsidP="000E72E5">
      <w:pPr>
        <w:pStyle w:val="ListBullet2"/>
        <w:rPr>
          <w:rFonts w:cs="Arial"/>
        </w:rPr>
      </w:pPr>
      <w:r w:rsidRPr="000C60E1">
        <w:rPr>
          <w:rFonts w:cs="Arial"/>
        </w:rPr>
        <w:t>An estimate of the degree of risk that is present from specified contaminants to the VECs present, or which will be present, at a property.</w:t>
      </w:r>
    </w:p>
    <w:p w14:paraId="067012B5" w14:textId="3DBC68A5" w:rsidR="00B736F9" w:rsidRPr="000C60E1" w:rsidRDefault="00B736F9" w:rsidP="000E72E5">
      <w:pPr>
        <w:pStyle w:val="ListBullet2"/>
        <w:rPr>
          <w:rFonts w:cs="Arial"/>
        </w:rPr>
      </w:pPr>
      <w:r w:rsidRPr="000C60E1">
        <w:rPr>
          <w:rFonts w:cs="Arial"/>
        </w:rPr>
        <w:t>A property specific standard</w:t>
      </w:r>
      <w:r w:rsidRPr="000C60E1">
        <w:rPr>
          <w:rFonts w:cs="Arial"/>
          <w:highlight w:val="white"/>
        </w:rPr>
        <w:t xml:space="preserve"> that results</w:t>
      </w:r>
      <w:r w:rsidRPr="000C60E1">
        <w:rPr>
          <w:rFonts w:cs="Arial"/>
        </w:rPr>
        <w:t xml:space="preserve"> in the same level of </w:t>
      </w:r>
      <w:r w:rsidR="005C373C" w:rsidRPr="000C60E1">
        <w:rPr>
          <w:rFonts w:cs="Arial"/>
        </w:rPr>
        <w:t xml:space="preserve">protection </w:t>
      </w:r>
      <w:r w:rsidRPr="000C60E1">
        <w:rPr>
          <w:rFonts w:cs="Arial"/>
        </w:rPr>
        <w:t xml:space="preserve">to the environment </w:t>
      </w:r>
      <w:r w:rsidR="005C373C" w:rsidRPr="000C60E1">
        <w:rPr>
          <w:rFonts w:cs="Arial"/>
        </w:rPr>
        <w:t xml:space="preserve">as </w:t>
      </w:r>
      <w:r w:rsidRPr="000C60E1">
        <w:rPr>
          <w:rFonts w:cs="Arial"/>
        </w:rPr>
        <w:t>intended by the generic site condition standards.</w:t>
      </w:r>
    </w:p>
    <w:p w14:paraId="148A4FF8" w14:textId="3475C38C" w:rsidR="00B736F9" w:rsidRPr="000C60E1" w:rsidRDefault="00B736F9" w:rsidP="00840964">
      <w:pPr>
        <w:rPr>
          <w:rFonts w:cs="Arial"/>
        </w:rPr>
      </w:pPr>
      <w:r w:rsidRPr="000C60E1">
        <w:rPr>
          <w:rFonts w:cs="Arial"/>
        </w:rPr>
        <w:lastRenderedPageBreak/>
        <w:t>Measured and predicted contaminant concentrations are compared with toxicity information to determine the potential for adverse effects. Minimum requirements for the Risk Characterization component of the ERA are provided in Table 1 Schedule C of 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4851562F" w14:textId="77777777" w:rsidTr="005B40DA">
        <w:trPr>
          <w:trHeight w:val="20"/>
          <w:tblHeader/>
        </w:trPr>
        <w:tc>
          <w:tcPr>
            <w:tcW w:w="2468" w:type="dxa"/>
          </w:tcPr>
          <w:p w14:paraId="192AA900"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14A2188E"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2994B1DD"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4878408E"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7BB068D6" w14:textId="77777777" w:rsidTr="005B40DA">
        <w:trPr>
          <w:trHeight w:val="20"/>
        </w:trPr>
        <w:tc>
          <w:tcPr>
            <w:tcW w:w="2468" w:type="dxa"/>
          </w:tcPr>
          <w:p w14:paraId="736437AA"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66B878DB" w14:textId="77777777" w:rsidR="00276BB8" w:rsidRPr="000C0EF2" w:rsidRDefault="00276BB8" w:rsidP="000C0EF2">
            <w:pPr>
              <w:pStyle w:val="table-e"/>
              <w:spacing w:line="240" w:lineRule="auto"/>
              <w:rPr>
                <w:sz w:val="24"/>
              </w:rPr>
            </w:pPr>
            <w:r w:rsidRPr="000C0EF2">
              <w:rPr>
                <w:sz w:val="24"/>
              </w:rPr>
              <w:t xml:space="preserve">(e)  Risk Characterization </w:t>
            </w:r>
          </w:p>
        </w:tc>
        <w:tc>
          <w:tcPr>
            <w:tcW w:w="1839" w:type="dxa"/>
          </w:tcPr>
          <w:p w14:paraId="4E014C63" w14:textId="77777777" w:rsidR="00276BB8" w:rsidRPr="000C0EF2" w:rsidRDefault="00276BB8" w:rsidP="000C0EF2">
            <w:pPr>
              <w:pStyle w:val="table-e"/>
              <w:spacing w:line="240" w:lineRule="auto"/>
              <w:rPr>
                <w:sz w:val="24"/>
              </w:rPr>
            </w:pPr>
            <w:r w:rsidRPr="000C0EF2">
              <w:rPr>
                <w:sz w:val="24"/>
              </w:rPr>
              <w:t>(</w:t>
            </w:r>
            <w:proofErr w:type="spellStart"/>
            <w:r w:rsidRPr="000C0EF2">
              <w:rPr>
                <w:sz w:val="24"/>
              </w:rPr>
              <w:t>i</w:t>
            </w:r>
            <w:proofErr w:type="spellEnd"/>
            <w:r w:rsidRPr="000C0EF2">
              <w:rPr>
                <w:sz w:val="24"/>
              </w:rPr>
              <w:t>)  Interpretation of Ecological Risks</w:t>
            </w:r>
          </w:p>
        </w:tc>
        <w:tc>
          <w:tcPr>
            <w:tcW w:w="3759" w:type="dxa"/>
          </w:tcPr>
          <w:p w14:paraId="22DC6236" w14:textId="77777777" w:rsidR="00276BB8" w:rsidRPr="000C0EF2" w:rsidRDefault="00276BB8" w:rsidP="000C0EF2">
            <w:pPr>
              <w:pStyle w:val="table-e"/>
              <w:spacing w:line="240" w:lineRule="auto"/>
              <w:rPr>
                <w:sz w:val="24"/>
              </w:rPr>
            </w:pPr>
            <w:r w:rsidRPr="000C0EF2">
              <w:rPr>
                <w:sz w:val="24"/>
              </w:rPr>
              <w:t>For each contaminant of concern, having regard to the exposure assessment and the hazard assessment, state the risk attributable in respect of that contaminant to each exposure route for the valued ecological components on the RA property, using either a quantitative or qualitative analysis.</w:t>
            </w:r>
          </w:p>
        </w:tc>
      </w:tr>
    </w:tbl>
    <w:p w14:paraId="39B2D4ED" w14:textId="77777777" w:rsidR="006F61F7" w:rsidRPr="000C60E1" w:rsidRDefault="000A7ECC" w:rsidP="00840964">
      <w:pPr>
        <w:rPr>
          <w:rFonts w:cs="Arial"/>
        </w:rPr>
      </w:pPr>
      <w:r w:rsidRPr="000C60E1">
        <w:rPr>
          <w:rFonts w:cs="Arial"/>
        </w:rPr>
        <w:t>Additional guidance is provided in the following sections</w:t>
      </w:r>
      <w:r w:rsidR="00A937A2" w:rsidRPr="000C60E1">
        <w:rPr>
          <w:rFonts w:cs="Arial"/>
        </w:rPr>
        <w:t xml:space="preserve"> of this </w:t>
      </w:r>
      <w:r w:rsidR="00FC08AE" w:rsidRPr="000C60E1">
        <w:rPr>
          <w:rFonts w:cs="Arial"/>
        </w:rPr>
        <w:t>P</w:t>
      </w:r>
      <w:r w:rsidR="00A937A2" w:rsidRPr="000C60E1">
        <w:rPr>
          <w:rFonts w:cs="Arial"/>
        </w:rPr>
        <w:t>rocedures document</w:t>
      </w:r>
      <w:r w:rsidRPr="000C60E1">
        <w:rPr>
          <w:rFonts w:cs="Arial"/>
        </w:rPr>
        <w:t>.</w:t>
      </w:r>
    </w:p>
    <w:p w14:paraId="1C9F5341" w14:textId="34199A85" w:rsidR="00B736F9" w:rsidRPr="000C60E1" w:rsidRDefault="00B736F9" w:rsidP="00DE496B">
      <w:pPr>
        <w:pStyle w:val="Heading3"/>
        <w:rPr>
          <w:rFonts w:cs="Arial"/>
        </w:rPr>
      </w:pPr>
      <w:bookmarkStart w:id="303" w:name="_Toc91393581"/>
      <w:bookmarkStart w:id="304" w:name="_Toc112727444"/>
      <w:bookmarkStart w:id="305" w:name="_Toc41905720"/>
      <w:r w:rsidRPr="000C60E1">
        <w:rPr>
          <w:rFonts w:cs="Arial"/>
        </w:rPr>
        <w:t>Quantitative Interpretation of Ecological Risk</w:t>
      </w:r>
      <w:bookmarkEnd w:id="303"/>
      <w:bookmarkEnd w:id="304"/>
      <w:bookmarkEnd w:id="305"/>
    </w:p>
    <w:p w14:paraId="27499F36" w14:textId="710144D4" w:rsidR="002671B6" w:rsidRPr="000C60E1" w:rsidRDefault="002671B6" w:rsidP="002671B6">
      <w:pPr>
        <w:rPr>
          <w:rFonts w:cs="Arial"/>
        </w:rPr>
      </w:pPr>
      <w:r w:rsidRPr="000C60E1">
        <w:rPr>
          <w:rFonts w:cs="Arial"/>
        </w:rPr>
        <w:t xml:space="preserve">When a quantitative assessment of risk is the objective of the ERA, the minimum requirements, as specified in </w:t>
      </w:r>
      <w:r w:rsidR="007B414E" w:rsidRPr="000C60E1">
        <w:rPr>
          <w:rFonts w:cs="Arial"/>
        </w:rPr>
        <w:t>Table 1 of</w:t>
      </w:r>
      <w:r w:rsidRPr="000C60E1">
        <w:rPr>
          <w:rFonts w:cs="Arial"/>
        </w:rPr>
        <w:t xml:space="preserve"> </w:t>
      </w:r>
      <w:r w:rsidR="007B414E" w:rsidRPr="000C60E1">
        <w:rPr>
          <w:rFonts w:cs="Arial"/>
        </w:rPr>
        <w:t xml:space="preserve">Schedule C of the </w:t>
      </w:r>
      <w:r w:rsidRPr="000C60E1">
        <w:rPr>
          <w:rFonts w:cs="Arial"/>
        </w:rPr>
        <w:t xml:space="preserve">Regulation (reproduced below), are to be included in the RA report. Additional guidance on meeting these requirements </w:t>
      </w:r>
      <w:r w:rsidR="00474043" w:rsidRPr="000C60E1">
        <w:rPr>
          <w:rFonts w:cs="Arial"/>
        </w:rPr>
        <w:t>is</w:t>
      </w:r>
      <w:r w:rsidRPr="000C60E1">
        <w:rPr>
          <w:rFonts w:cs="Arial"/>
        </w:rPr>
        <w:t xml:space="preserve"> provided in the following sections.</w:t>
      </w:r>
    </w:p>
    <w:p w14:paraId="4E6D8FBE" w14:textId="77777777" w:rsidR="00B736F9" w:rsidRPr="000C60E1" w:rsidRDefault="00B736F9" w:rsidP="00840964">
      <w:pPr>
        <w:rPr>
          <w:rFonts w:cs="Arial"/>
          <w:highlight w:val="white"/>
        </w:rPr>
      </w:pPr>
      <w:r w:rsidRPr="000C60E1">
        <w:rPr>
          <w:rFonts w:cs="Arial"/>
          <w:highlight w:val="white"/>
        </w:rPr>
        <w:t xml:space="preserve">If a quantitative analysis of toxicity and/or exposure assessment has been undertaken, contaminant-specific toxicity information must be compared against measured contaminant exposure levels and levels predicted through fate and transport </w:t>
      </w:r>
      <w:r w:rsidR="002671B6" w:rsidRPr="000C60E1">
        <w:rPr>
          <w:rFonts w:cs="Arial"/>
          <w:highlight w:val="white"/>
        </w:rPr>
        <w:t>model</w:t>
      </w:r>
      <w:r w:rsidR="001630AE" w:rsidRPr="000C60E1">
        <w:rPr>
          <w:rFonts w:cs="Arial"/>
          <w:highlight w:val="white"/>
        </w:rPr>
        <w:t>l</w:t>
      </w:r>
      <w:r w:rsidR="002671B6" w:rsidRPr="000C60E1">
        <w:rPr>
          <w:rFonts w:cs="Arial"/>
          <w:highlight w:val="white"/>
        </w:rPr>
        <w:t>ing from which risk values can be derived</w:t>
      </w:r>
      <w:r w:rsidRPr="000C60E1">
        <w:rPr>
          <w:rFonts w:cs="Arial"/>
          <w:highlight w:val="white"/>
        </w:rPr>
        <w:t xml:space="preserve">. </w:t>
      </w:r>
    </w:p>
    <w:p w14:paraId="5C303D8B" w14:textId="2EAF0AE3" w:rsidR="00522AAB" w:rsidRPr="000C60E1" w:rsidRDefault="00522AAB" w:rsidP="00522AAB">
      <w:pPr>
        <w:rPr>
          <w:rFonts w:cs="Arial"/>
        </w:rPr>
      </w:pPr>
      <w:r w:rsidRPr="000C60E1">
        <w:rPr>
          <w:rFonts w:cs="Arial"/>
        </w:rPr>
        <w:t xml:space="preserve">A comparison of the </w:t>
      </w:r>
      <w:smartTag w:uri="urn:schemas-microsoft-com:office:smarttags" w:element="stockticker">
        <w:r w:rsidRPr="000C60E1">
          <w:rPr>
            <w:rFonts w:cs="Arial"/>
          </w:rPr>
          <w:t>TRV</w:t>
        </w:r>
      </w:smartTag>
      <w:r w:rsidRPr="000C60E1">
        <w:rPr>
          <w:rFonts w:cs="Arial"/>
        </w:rPr>
        <w:t xml:space="preserve"> identified through </w:t>
      </w:r>
      <w:r w:rsidR="00332B5D" w:rsidRPr="000C60E1">
        <w:rPr>
          <w:rFonts w:cs="Arial"/>
        </w:rPr>
        <w:t xml:space="preserve">hazard </w:t>
      </w:r>
      <w:r w:rsidRPr="000C60E1">
        <w:rPr>
          <w:rFonts w:cs="Arial"/>
        </w:rPr>
        <w:t xml:space="preserve">assessment (as described in </w:t>
      </w:r>
      <w:r w:rsidR="00FC08AE" w:rsidRPr="000C60E1">
        <w:rPr>
          <w:rFonts w:cs="Arial"/>
        </w:rPr>
        <w:t>S</w:t>
      </w:r>
      <w:r w:rsidRPr="000C60E1">
        <w:rPr>
          <w:rFonts w:cs="Arial"/>
        </w:rPr>
        <w:t xml:space="preserve">ection </w:t>
      </w:r>
      <w:r w:rsidR="008E72B7" w:rsidRPr="000C60E1">
        <w:rPr>
          <w:rFonts w:cs="Arial"/>
        </w:rPr>
        <w:t>7</w:t>
      </w:r>
      <w:r w:rsidR="00332B5D" w:rsidRPr="000C60E1">
        <w:rPr>
          <w:rFonts w:cs="Arial"/>
        </w:rPr>
        <w:t>.5</w:t>
      </w:r>
      <w:r w:rsidRPr="000C60E1">
        <w:rPr>
          <w:rFonts w:cs="Arial"/>
        </w:rPr>
        <w:t xml:space="preserve">) with the </w:t>
      </w:r>
      <w:r w:rsidR="00332B5D" w:rsidRPr="000C60E1">
        <w:rPr>
          <w:rFonts w:cs="Arial"/>
        </w:rPr>
        <w:t>exposure estimate</w:t>
      </w:r>
      <w:r w:rsidRPr="000C60E1">
        <w:rPr>
          <w:rFonts w:cs="Arial"/>
        </w:rPr>
        <w:t xml:space="preserve"> (</w:t>
      </w:r>
      <w:r w:rsidR="00FC08AE" w:rsidRPr="000C60E1">
        <w:rPr>
          <w:rFonts w:cs="Arial"/>
        </w:rPr>
        <w:t>S</w:t>
      </w:r>
      <w:r w:rsidRPr="000C60E1">
        <w:rPr>
          <w:rFonts w:cs="Arial"/>
        </w:rPr>
        <w:t xml:space="preserve">ection </w:t>
      </w:r>
      <w:r w:rsidR="008E72B7" w:rsidRPr="000C60E1">
        <w:rPr>
          <w:rFonts w:cs="Arial"/>
        </w:rPr>
        <w:t>7</w:t>
      </w:r>
      <w:r w:rsidR="00332B5D" w:rsidRPr="000C60E1">
        <w:rPr>
          <w:rFonts w:cs="Arial"/>
        </w:rPr>
        <w:t>.4</w:t>
      </w:r>
      <w:r w:rsidRPr="000C60E1">
        <w:rPr>
          <w:rFonts w:cs="Arial"/>
        </w:rPr>
        <w:t xml:space="preserve"> of this </w:t>
      </w:r>
      <w:r w:rsidR="00FC08AE" w:rsidRPr="000C60E1">
        <w:rPr>
          <w:rFonts w:cs="Arial"/>
        </w:rPr>
        <w:t>P</w:t>
      </w:r>
      <w:r w:rsidRPr="000C60E1">
        <w:rPr>
          <w:rFonts w:cs="Arial"/>
        </w:rPr>
        <w:t>rocedure</w:t>
      </w:r>
      <w:r w:rsidR="00292E15" w:rsidRPr="000C60E1">
        <w:rPr>
          <w:rFonts w:cs="Arial"/>
        </w:rPr>
        <w:t>s</w:t>
      </w:r>
      <w:r w:rsidRPr="000C60E1">
        <w:rPr>
          <w:rFonts w:cs="Arial"/>
        </w:rPr>
        <w:t xml:space="preserve"> document) provides a </w:t>
      </w:r>
      <w:r w:rsidR="009859CE" w:rsidRPr="000C60E1">
        <w:rPr>
          <w:rFonts w:cs="Arial"/>
        </w:rPr>
        <w:t>“</w:t>
      </w:r>
      <w:r w:rsidRPr="000C60E1">
        <w:rPr>
          <w:rFonts w:cs="Arial"/>
        </w:rPr>
        <w:t>forward driven</w:t>
      </w:r>
      <w:r w:rsidR="009859CE" w:rsidRPr="000C60E1">
        <w:rPr>
          <w:rFonts w:cs="Arial"/>
        </w:rPr>
        <w:t>”</w:t>
      </w:r>
      <w:r w:rsidRPr="000C60E1">
        <w:rPr>
          <w:rFonts w:cs="Arial"/>
        </w:rPr>
        <w:t xml:space="preserve"> science-based </w:t>
      </w:r>
      <w:r w:rsidR="00332B5D" w:rsidRPr="000C60E1">
        <w:rPr>
          <w:rFonts w:cs="Arial"/>
        </w:rPr>
        <w:t xml:space="preserve">estimation </w:t>
      </w:r>
      <w:r w:rsidRPr="000C60E1">
        <w:rPr>
          <w:rFonts w:cs="Arial"/>
        </w:rPr>
        <w:t>of risk.</w:t>
      </w:r>
      <w:r w:rsidR="00217D45">
        <w:rPr>
          <w:rFonts w:cs="Arial"/>
        </w:rPr>
        <w:t xml:space="preserve"> </w:t>
      </w:r>
      <w:r w:rsidRPr="000C60E1">
        <w:rPr>
          <w:rFonts w:cs="Arial"/>
        </w:rPr>
        <w:t xml:space="preserve">The </w:t>
      </w:r>
      <w:r w:rsidR="008E72B7" w:rsidRPr="000C60E1">
        <w:rPr>
          <w:rFonts w:cs="Arial"/>
        </w:rPr>
        <w:t>R</w:t>
      </w:r>
      <w:r w:rsidRPr="000C60E1">
        <w:rPr>
          <w:rFonts w:cs="Arial"/>
        </w:rPr>
        <w:t xml:space="preserve">egulation requires this risk </w:t>
      </w:r>
      <w:r w:rsidR="00332B5D" w:rsidRPr="000C60E1">
        <w:rPr>
          <w:rFonts w:cs="Arial"/>
        </w:rPr>
        <w:t xml:space="preserve">estimation or </w:t>
      </w:r>
      <w:r w:rsidRPr="000C60E1">
        <w:rPr>
          <w:rFonts w:cs="Arial"/>
        </w:rPr>
        <w:t>calculation to be performed and reported without consideration of risk management</w:t>
      </w:r>
      <w:r w:rsidR="00F62A77" w:rsidRPr="000C60E1">
        <w:rPr>
          <w:rFonts w:cs="Arial"/>
        </w:rPr>
        <w:t>.</w:t>
      </w:r>
    </w:p>
    <w:p w14:paraId="41B5EF50" w14:textId="17519421" w:rsidR="00522AAB" w:rsidRPr="000C60E1" w:rsidRDefault="00522AAB" w:rsidP="00522AAB">
      <w:pPr>
        <w:rPr>
          <w:rFonts w:cs="Arial"/>
        </w:rPr>
      </w:pPr>
      <w:r w:rsidRPr="000C60E1">
        <w:rPr>
          <w:rFonts w:cs="Arial"/>
        </w:rPr>
        <w:t>As a second step, a proposed property specific standard may be back-calculated, using the same exposure equations, to propose a risk</w:t>
      </w:r>
      <w:r w:rsidR="00FC08AE" w:rsidRPr="000C60E1">
        <w:rPr>
          <w:rFonts w:cs="Arial"/>
        </w:rPr>
        <w:t>-based concentration, for which risk management measures are not needed (e.g. cleanup value)</w:t>
      </w:r>
      <w:r w:rsidRPr="000C60E1">
        <w:rPr>
          <w:rFonts w:cs="Arial"/>
        </w:rPr>
        <w:t xml:space="preserve">. Alternatively, risk management measures may be proposed which </w:t>
      </w:r>
      <w:r w:rsidR="00FC08AE" w:rsidRPr="000C60E1">
        <w:rPr>
          <w:rFonts w:cs="Arial"/>
        </w:rPr>
        <w:t xml:space="preserve">modify </w:t>
      </w:r>
      <w:r w:rsidRPr="000C60E1">
        <w:rPr>
          <w:rFonts w:cs="Arial"/>
        </w:rPr>
        <w:t>the exposure equations</w:t>
      </w:r>
      <w:r w:rsidR="00FC08AE" w:rsidRPr="000C60E1">
        <w:rPr>
          <w:rFonts w:cs="Arial"/>
        </w:rPr>
        <w:t>,</w:t>
      </w:r>
      <w:r w:rsidRPr="000C60E1">
        <w:rPr>
          <w:rFonts w:cs="Arial"/>
        </w:rPr>
        <w:t xml:space="preserve"> resulting in a reduced </w:t>
      </w:r>
      <w:r w:rsidR="00FC08AE" w:rsidRPr="000C60E1">
        <w:rPr>
          <w:rFonts w:cs="Arial"/>
        </w:rPr>
        <w:t xml:space="preserve">(acceptable) </w:t>
      </w:r>
      <w:r w:rsidRPr="000C60E1">
        <w:rPr>
          <w:rFonts w:cs="Arial"/>
        </w:rPr>
        <w:t>estimate of risk.</w:t>
      </w:r>
    </w:p>
    <w:p w14:paraId="7BAAA687" w14:textId="09EFA72F" w:rsidR="00522AAB" w:rsidRPr="000C60E1" w:rsidRDefault="00522AAB" w:rsidP="00840964">
      <w:pPr>
        <w:rPr>
          <w:rFonts w:cs="Arial"/>
        </w:rPr>
      </w:pPr>
      <w:r w:rsidRPr="000C60E1">
        <w:rPr>
          <w:rFonts w:cs="Arial"/>
        </w:rPr>
        <w:t>Care should be taken in using back-calculations to estimate proposed property specific standards, as these calculation</w:t>
      </w:r>
      <w:r w:rsidR="00F62A77" w:rsidRPr="000C60E1">
        <w:rPr>
          <w:rFonts w:cs="Arial"/>
        </w:rPr>
        <w:t>s</w:t>
      </w:r>
      <w:r w:rsidRPr="000C60E1">
        <w:rPr>
          <w:rFonts w:cs="Arial"/>
        </w:rPr>
        <w:t xml:space="preserve"> do not necessarily account for physical/chemical limitations such as the formation of pure chemical compound. A contaminant concentration </w:t>
      </w:r>
      <w:r w:rsidR="00F62A77" w:rsidRPr="000C60E1">
        <w:rPr>
          <w:rFonts w:cs="Arial"/>
        </w:rPr>
        <w:t>which has been determined to result</w:t>
      </w:r>
      <w:r w:rsidRPr="000C60E1">
        <w:rPr>
          <w:rFonts w:cs="Arial"/>
        </w:rPr>
        <w:t xml:space="preserve"> in an acceptable level of risk to </w:t>
      </w:r>
      <w:r w:rsidR="00F62A77" w:rsidRPr="000C60E1">
        <w:rPr>
          <w:rFonts w:cs="Arial"/>
        </w:rPr>
        <w:t>the environment</w:t>
      </w:r>
      <w:r w:rsidRPr="000C60E1">
        <w:rPr>
          <w:rFonts w:cs="Arial"/>
        </w:rPr>
        <w:t xml:space="preserve"> may be proposed as a</w:t>
      </w:r>
      <w:r w:rsidR="00F62A77" w:rsidRPr="000C60E1">
        <w:rPr>
          <w:rFonts w:cs="Arial"/>
        </w:rPr>
        <w:t>n</w:t>
      </w:r>
      <w:r w:rsidRPr="000C60E1">
        <w:rPr>
          <w:rFonts w:cs="Arial"/>
        </w:rPr>
        <w:t xml:space="preserve"> </w:t>
      </w:r>
      <w:r w:rsidR="00F62A77" w:rsidRPr="000C60E1">
        <w:rPr>
          <w:rFonts w:cs="Arial"/>
        </w:rPr>
        <w:t>ecological effects</w:t>
      </w:r>
      <w:r w:rsidR="008A4E8F" w:rsidRPr="000C60E1">
        <w:rPr>
          <w:rFonts w:cs="Arial"/>
        </w:rPr>
        <w:t>-</w:t>
      </w:r>
      <w:r w:rsidRPr="000C60E1">
        <w:rPr>
          <w:rFonts w:cs="Arial"/>
        </w:rPr>
        <w:t>based standard</w:t>
      </w:r>
      <w:r w:rsidR="00FC08AE" w:rsidRPr="000C60E1">
        <w:rPr>
          <w:rFonts w:cs="Arial"/>
        </w:rPr>
        <w:t xml:space="preserve"> for a property</w:t>
      </w:r>
      <w:r w:rsidRPr="000C60E1">
        <w:rPr>
          <w:rFonts w:cs="Arial"/>
        </w:rPr>
        <w:t xml:space="preserve">. However, the </w:t>
      </w:r>
      <w:r w:rsidR="00657FDB" w:rsidRPr="000C60E1">
        <w:rPr>
          <w:rFonts w:cs="Arial"/>
        </w:rPr>
        <w:t>M</w:t>
      </w:r>
      <w:r w:rsidRPr="000C60E1">
        <w:rPr>
          <w:rFonts w:cs="Arial"/>
        </w:rPr>
        <w:t>inistry also expects the proposed sta</w:t>
      </w:r>
      <w:r w:rsidRPr="002A75F2">
        <w:rPr>
          <w:rFonts w:cs="Arial"/>
        </w:rPr>
        <w:t xml:space="preserve">ndard to reasonably represent </w:t>
      </w:r>
      <w:r w:rsidR="00CA7A27" w:rsidRPr="002A75F2">
        <w:rPr>
          <w:rFonts w:cs="Arial"/>
        </w:rPr>
        <w:t xml:space="preserve">no more than </w:t>
      </w:r>
      <w:r w:rsidRPr="002A75F2">
        <w:rPr>
          <w:rFonts w:cs="Arial"/>
        </w:rPr>
        <w:t xml:space="preserve">an upper estimate of the actual </w:t>
      </w:r>
      <w:r w:rsidRPr="002A75F2">
        <w:rPr>
          <w:rFonts w:cs="Arial"/>
        </w:rPr>
        <w:lastRenderedPageBreak/>
        <w:t>concentrations remaining on</w:t>
      </w:r>
      <w:r w:rsidR="00A87E11" w:rsidRPr="002A75F2">
        <w:rPr>
          <w:rFonts w:cs="Arial"/>
        </w:rPr>
        <w:t>, in</w:t>
      </w:r>
      <w:r w:rsidRPr="002A75F2">
        <w:rPr>
          <w:rFonts w:cs="Arial"/>
        </w:rPr>
        <w:t xml:space="preserve"> </w:t>
      </w:r>
      <w:r w:rsidR="006D2338" w:rsidRPr="002A75F2">
        <w:rPr>
          <w:rFonts w:cs="Arial"/>
        </w:rPr>
        <w:t xml:space="preserve">or under </w:t>
      </w:r>
      <w:r w:rsidRPr="002A75F2">
        <w:rPr>
          <w:rFonts w:cs="Arial"/>
        </w:rPr>
        <w:t xml:space="preserve">the property at the time the standards are to </w:t>
      </w:r>
      <w:r w:rsidR="00474043" w:rsidRPr="002A75F2">
        <w:rPr>
          <w:rFonts w:cs="Arial"/>
        </w:rPr>
        <w:t xml:space="preserve">submit an </w:t>
      </w:r>
      <w:r w:rsidRPr="002A75F2">
        <w:rPr>
          <w:rFonts w:cs="Arial"/>
        </w:rPr>
        <w:t>RSC</w:t>
      </w:r>
      <w:r w:rsidR="00474043" w:rsidRPr="002A75F2">
        <w:rPr>
          <w:rFonts w:cs="Arial"/>
        </w:rPr>
        <w:t xml:space="preserve"> for filing</w:t>
      </w:r>
      <w:r w:rsidRPr="002A75F2">
        <w:rPr>
          <w:rFonts w:cs="Arial"/>
        </w:rPr>
        <w:t>.</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1A757147" w14:textId="77777777" w:rsidTr="005B40DA">
        <w:trPr>
          <w:trHeight w:val="20"/>
          <w:tblHeader/>
        </w:trPr>
        <w:tc>
          <w:tcPr>
            <w:tcW w:w="2468" w:type="dxa"/>
          </w:tcPr>
          <w:p w14:paraId="5CC37A68"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523BE13D"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5E3CCBDB"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5D658392"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2BC6D8A0" w14:textId="77777777" w:rsidTr="005B40DA">
        <w:trPr>
          <w:trHeight w:val="20"/>
        </w:trPr>
        <w:tc>
          <w:tcPr>
            <w:tcW w:w="2468" w:type="dxa"/>
          </w:tcPr>
          <w:p w14:paraId="26876039"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328343B9" w14:textId="77777777" w:rsidR="00276BB8" w:rsidRPr="000C0EF2" w:rsidRDefault="00276BB8" w:rsidP="000C0EF2">
            <w:pPr>
              <w:pStyle w:val="table-e"/>
              <w:spacing w:line="240" w:lineRule="auto"/>
              <w:rPr>
                <w:sz w:val="24"/>
              </w:rPr>
            </w:pPr>
            <w:r w:rsidRPr="000C0EF2">
              <w:rPr>
                <w:sz w:val="24"/>
              </w:rPr>
              <w:t>(e)  Risk Characterization</w:t>
            </w:r>
          </w:p>
        </w:tc>
        <w:tc>
          <w:tcPr>
            <w:tcW w:w="1839" w:type="dxa"/>
          </w:tcPr>
          <w:p w14:paraId="70C9E1F3" w14:textId="77777777" w:rsidR="00276BB8" w:rsidRPr="000C0EF2" w:rsidRDefault="00276BB8" w:rsidP="000C0EF2">
            <w:pPr>
              <w:pStyle w:val="table-e"/>
              <w:spacing w:line="240" w:lineRule="auto"/>
              <w:rPr>
                <w:sz w:val="24"/>
              </w:rPr>
            </w:pPr>
            <w:r w:rsidRPr="000C0EF2">
              <w:rPr>
                <w:sz w:val="24"/>
              </w:rPr>
              <w:t>(ii)  Quantitative Interpretation of Ecological Risks</w:t>
            </w:r>
          </w:p>
        </w:tc>
        <w:tc>
          <w:tcPr>
            <w:tcW w:w="3759" w:type="dxa"/>
          </w:tcPr>
          <w:p w14:paraId="0BEE2E00" w14:textId="77777777" w:rsidR="00276BB8" w:rsidRPr="000C0EF2" w:rsidRDefault="00276BB8" w:rsidP="000C0EF2">
            <w:pPr>
              <w:pStyle w:val="table-e"/>
              <w:spacing w:line="240" w:lineRule="auto"/>
              <w:rPr>
                <w:sz w:val="24"/>
              </w:rPr>
            </w:pPr>
            <w:r w:rsidRPr="000C0EF2">
              <w:rPr>
                <w:sz w:val="24"/>
              </w:rPr>
              <w:t>A quantitative analysis that has been undertaken for a contaminant of concern must include the following:</w:t>
            </w:r>
          </w:p>
          <w:p w14:paraId="4B678041" w14:textId="77777777" w:rsidR="00276BB8" w:rsidRPr="000C0EF2" w:rsidRDefault="00276BB8" w:rsidP="000C0EF2">
            <w:pPr>
              <w:pStyle w:val="table-e"/>
              <w:spacing w:line="240" w:lineRule="auto"/>
              <w:rPr>
                <w:sz w:val="24"/>
              </w:rPr>
            </w:pPr>
            <w:proofErr w:type="spellStart"/>
            <w:r w:rsidRPr="000C0EF2">
              <w:rPr>
                <w:sz w:val="24"/>
              </w:rPr>
              <w:t>i</w:t>
            </w:r>
            <w:proofErr w:type="spellEnd"/>
            <w:r w:rsidRPr="000C0EF2">
              <w:rPr>
                <w:sz w:val="24"/>
              </w:rPr>
              <w:t>.  For each valued ecosystem component, provide a comparison of the toxicity reference value proposed in the “Hazard Assessment” to the exposure estimate proposed in the “Exposure Assessment” to derive an estimate of the degree of risk at the RA property in the absence of any measures that have been taken or are being proposed at the RA property which have the effect of reducing the risk from the contaminant of concern.</w:t>
            </w:r>
          </w:p>
          <w:p w14:paraId="5CB017AD" w14:textId="77777777" w:rsidR="00276BB8" w:rsidRPr="000C0EF2" w:rsidRDefault="00276BB8" w:rsidP="000C0EF2">
            <w:pPr>
              <w:pStyle w:val="table-e"/>
              <w:spacing w:line="240" w:lineRule="auto"/>
              <w:rPr>
                <w:sz w:val="24"/>
              </w:rPr>
            </w:pPr>
            <w:r w:rsidRPr="000C0EF2">
              <w:rPr>
                <w:sz w:val="24"/>
              </w:rPr>
              <w:t xml:space="preserve">ii.  Provide narrative to describe all magnitudes, comparisons and limitations relied upon to derive the risk under paragraph </w:t>
            </w:r>
            <w:proofErr w:type="spellStart"/>
            <w:r w:rsidRPr="000C0EF2">
              <w:rPr>
                <w:sz w:val="24"/>
              </w:rPr>
              <w:t>i</w:t>
            </w:r>
            <w:proofErr w:type="spellEnd"/>
            <w:r w:rsidRPr="000C0EF2">
              <w:rPr>
                <w:sz w:val="24"/>
              </w:rPr>
              <w:t>.</w:t>
            </w:r>
          </w:p>
          <w:p w14:paraId="6A892E6C" w14:textId="77777777" w:rsidR="00276BB8" w:rsidRPr="000C0EF2" w:rsidRDefault="00276BB8" w:rsidP="000C0EF2">
            <w:pPr>
              <w:pStyle w:val="table-e"/>
              <w:spacing w:line="240" w:lineRule="auto"/>
              <w:rPr>
                <w:sz w:val="24"/>
              </w:rPr>
            </w:pPr>
            <w:r w:rsidRPr="000C0EF2">
              <w:rPr>
                <w:sz w:val="24"/>
              </w:rPr>
              <w:t>iii.  Taking into consideration any risk management measures being proposed in the risk assessment, propose and justify an ecological standard for the contaminant, ensuring that the standard achieves the same level of protection for each valued ecosystem component that is intended to be achieved by the applicable full-depth generic site condition standard for that contaminant.</w:t>
            </w:r>
          </w:p>
        </w:tc>
      </w:tr>
    </w:tbl>
    <w:p w14:paraId="0671417A" w14:textId="260E8BC7" w:rsidR="00B736F9" w:rsidRPr="000C60E1" w:rsidRDefault="00B736F9" w:rsidP="00DE496B">
      <w:pPr>
        <w:pStyle w:val="Heading3"/>
        <w:rPr>
          <w:rFonts w:cs="Arial"/>
        </w:rPr>
      </w:pPr>
      <w:bookmarkStart w:id="306" w:name="_Toc91393582"/>
      <w:bookmarkStart w:id="307" w:name="_Toc112727445"/>
      <w:bookmarkStart w:id="308" w:name="_Toc41905721"/>
      <w:r w:rsidRPr="000C60E1">
        <w:rPr>
          <w:rFonts w:cs="Arial"/>
        </w:rPr>
        <w:t>Qualitative Interpretation of Ecological Risk</w:t>
      </w:r>
      <w:bookmarkEnd w:id="306"/>
      <w:bookmarkEnd w:id="307"/>
      <w:bookmarkEnd w:id="308"/>
    </w:p>
    <w:p w14:paraId="41E9A682" w14:textId="0A9F5962" w:rsidR="005413D8" w:rsidRPr="000C60E1" w:rsidRDefault="005413D8" w:rsidP="005413D8">
      <w:pPr>
        <w:rPr>
          <w:rFonts w:cs="Arial"/>
        </w:rPr>
      </w:pPr>
      <w:r w:rsidRPr="000C60E1">
        <w:rPr>
          <w:rFonts w:cs="Arial"/>
        </w:rPr>
        <w:t>The QP</w:t>
      </w:r>
      <w:r w:rsidRPr="000C60E1">
        <w:rPr>
          <w:rFonts w:cs="Arial"/>
          <w:vertAlign w:val="subscript"/>
        </w:rPr>
        <w:t>RA</w:t>
      </w:r>
      <w:r w:rsidRPr="000C60E1">
        <w:rPr>
          <w:rFonts w:cs="Arial"/>
        </w:rPr>
        <w:t xml:space="preserve"> may make use of both quantitative and qualitative options in assessing risk. A qualitative assessment of risk relies primarily on a descriptive justification for the use of information not specific to the site. In a qualitative analysis, the QP</w:t>
      </w:r>
      <w:r w:rsidRPr="000C60E1">
        <w:rPr>
          <w:rFonts w:cs="Arial"/>
          <w:vertAlign w:val="subscript"/>
        </w:rPr>
        <w:t>RA</w:t>
      </w:r>
      <w:r w:rsidRPr="000C60E1">
        <w:rPr>
          <w:rFonts w:cs="Arial"/>
        </w:rPr>
        <w:t xml:space="preserve"> should explain why a </w:t>
      </w:r>
      <w:r w:rsidRPr="000C60E1">
        <w:rPr>
          <w:rFonts w:cs="Arial"/>
        </w:rPr>
        <w:lastRenderedPageBreak/>
        <w:t>qualitative approach was used and justify why a quantitative analysis was not appropriate or not required for a given VEC.</w:t>
      </w:r>
      <w:r w:rsidR="00217D45">
        <w:rPr>
          <w:rFonts w:cs="Arial"/>
        </w:rPr>
        <w:t xml:space="preserve"> </w:t>
      </w:r>
      <w:r w:rsidRPr="000C60E1">
        <w:rPr>
          <w:rFonts w:cs="Arial"/>
        </w:rPr>
        <w:t>The QP</w:t>
      </w:r>
      <w:r w:rsidR="00FB0178" w:rsidRPr="000C60E1">
        <w:rPr>
          <w:rFonts w:cs="Arial"/>
          <w:vertAlign w:val="subscript"/>
        </w:rPr>
        <w:t>RA</w:t>
      </w:r>
      <w:r w:rsidRPr="000C60E1">
        <w:rPr>
          <w:rFonts w:cs="Arial"/>
        </w:rPr>
        <w:t xml:space="preserve"> must also indicate the process to be used in the qualitative analysis; for example, a non-numeric (descriptive) characterization of risk or a conservative numeric assessment of exposure or toxicity for screening purposes and risk prioritization. Qualitative risk assessment must also address any risk management measures that are being proposed for the property, and justify a property-specific ecological effects-based standard for the contaminant.</w:t>
      </w:r>
    </w:p>
    <w:p w14:paraId="3BA5A41D" w14:textId="77777777" w:rsidR="00816168" w:rsidRPr="000C60E1" w:rsidRDefault="00B33819" w:rsidP="00840964">
      <w:pPr>
        <w:rPr>
          <w:rFonts w:cs="Arial"/>
        </w:rPr>
      </w:pPr>
      <w:r w:rsidRPr="000C60E1">
        <w:rPr>
          <w:rFonts w:cs="Arial"/>
        </w:rPr>
        <w:t xml:space="preserve">The minimum requirements for reporting a qualitative characterization of risk are reproduced </w:t>
      </w:r>
      <w:r w:rsidR="00474043" w:rsidRPr="000C60E1">
        <w:rPr>
          <w:rFonts w:cs="Arial"/>
        </w:rPr>
        <w:t xml:space="preserve">below </w:t>
      </w:r>
      <w:r w:rsidRPr="000C60E1">
        <w:rPr>
          <w:rFonts w:cs="Arial"/>
        </w:rPr>
        <w:t xml:space="preserve">from </w:t>
      </w:r>
      <w:r w:rsidR="00474043" w:rsidRPr="000C60E1">
        <w:rPr>
          <w:rFonts w:cs="Arial"/>
        </w:rPr>
        <w:t xml:space="preserve">Table 1 of Schedule C of </w:t>
      </w:r>
      <w:r w:rsidRPr="000C60E1">
        <w:rPr>
          <w:rFonts w:cs="Arial"/>
        </w:rPr>
        <w:t xml:space="preserve">the </w:t>
      </w:r>
      <w:r w:rsidR="00855A6A" w:rsidRPr="000C60E1">
        <w:rPr>
          <w:rFonts w:cs="Arial"/>
        </w:rPr>
        <w:t>R</w:t>
      </w:r>
      <w:r w:rsidRPr="000C60E1">
        <w:rPr>
          <w:rFonts w:cs="Arial"/>
        </w:rPr>
        <w:t>egulation.</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559FD02C" w14:textId="77777777" w:rsidTr="005B40DA">
        <w:trPr>
          <w:trHeight w:val="20"/>
          <w:tblHeader/>
        </w:trPr>
        <w:tc>
          <w:tcPr>
            <w:tcW w:w="2468" w:type="dxa"/>
          </w:tcPr>
          <w:p w14:paraId="5C95D309"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7ACDECB0"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48FE15C5"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56960DE4"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369E0D08" w14:textId="77777777" w:rsidTr="005B40DA">
        <w:trPr>
          <w:trHeight w:val="20"/>
        </w:trPr>
        <w:tc>
          <w:tcPr>
            <w:tcW w:w="2468" w:type="dxa"/>
          </w:tcPr>
          <w:p w14:paraId="6F021AD9"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3ECCE221" w14:textId="77777777" w:rsidR="00276BB8" w:rsidRPr="000C0EF2" w:rsidRDefault="00276BB8" w:rsidP="000C0EF2">
            <w:pPr>
              <w:pStyle w:val="table-e"/>
              <w:spacing w:line="240" w:lineRule="auto"/>
              <w:rPr>
                <w:sz w:val="24"/>
              </w:rPr>
            </w:pPr>
            <w:r w:rsidRPr="000C0EF2">
              <w:rPr>
                <w:sz w:val="24"/>
              </w:rPr>
              <w:t>(e)  Risk Characterization</w:t>
            </w:r>
          </w:p>
        </w:tc>
        <w:tc>
          <w:tcPr>
            <w:tcW w:w="1839" w:type="dxa"/>
          </w:tcPr>
          <w:p w14:paraId="550BEA06" w14:textId="77777777" w:rsidR="00276BB8" w:rsidRPr="000C0EF2" w:rsidRDefault="00276BB8" w:rsidP="000C0EF2">
            <w:pPr>
              <w:pStyle w:val="table-e"/>
              <w:spacing w:line="240" w:lineRule="auto"/>
              <w:rPr>
                <w:sz w:val="24"/>
              </w:rPr>
            </w:pPr>
            <w:r w:rsidRPr="000C0EF2">
              <w:rPr>
                <w:sz w:val="24"/>
              </w:rPr>
              <w:t>(iii)  Qualitative Interpretation of Ecological Risks</w:t>
            </w:r>
          </w:p>
        </w:tc>
        <w:tc>
          <w:tcPr>
            <w:tcW w:w="3759" w:type="dxa"/>
          </w:tcPr>
          <w:p w14:paraId="451DC072" w14:textId="77777777" w:rsidR="00276BB8" w:rsidRPr="000C0EF2" w:rsidRDefault="00276BB8" w:rsidP="000C0EF2">
            <w:pPr>
              <w:pStyle w:val="table-e"/>
              <w:spacing w:line="240" w:lineRule="auto"/>
              <w:rPr>
                <w:sz w:val="24"/>
              </w:rPr>
            </w:pPr>
            <w:r w:rsidRPr="000C0EF2">
              <w:rPr>
                <w:sz w:val="24"/>
              </w:rPr>
              <w:t>A qualitative analysis that has been undertaken for a contaminant of concern must include the following:</w:t>
            </w:r>
          </w:p>
          <w:p w14:paraId="216CAE35" w14:textId="77777777" w:rsidR="00276BB8" w:rsidRPr="000C0EF2" w:rsidRDefault="00276BB8" w:rsidP="000C0EF2">
            <w:pPr>
              <w:pStyle w:val="table-e"/>
              <w:spacing w:line="240" w:lineRule="auto"/>
              <w:rPr>
                <w:sz w:val="24"/>
              </w:rPr>
            </w:pPr>
            <w:proofErr w:type="spellStart"/>
            <w:r w:rsidRPr="000C0EF2">
              <w:rPr>
                <w:sz w:val="24"/>
              </w:rPr>
              <w:t>i</w:t>
            </w:r>
            <w:proofErr w:type="spellEnd"/>
            <w:r w:rsidRPr="000C0EF2">
              <w:rPr>
                <w:sz w:val="24"/>
              </w:rPr>
              <w:t>.  Provide a justification for why a quantitative analysis was not undertaken.</w:t>
            </w:r>
          </w:p>
          <w:p w14:paraId="6163E418" w14:textId="77777777" w:rsidR="00276BB8" w:rsidRPr="000C0EF2" w:rsidRDefault="00276BB8" w:rsidP="000C0EF2">
            <w:pPr>
              <w:pStyle w:val="table-e"/>
              <w:spacing w:line="240" w:lineRule="auto"/>
              <w:rPr>
                <w:sz w:val="24"/>
              </w:rPr>
            </w:pPr>
            <w:r w:rsidRPr="000C0EF2">
              <w:rPr>
                <w:sz w:val="24"/>
              </w:rPr>
              <w:t xml:space="preserve">ii.  Describe the justification process being used as part of the qualitative analysis. The justification process includes a non-numeric characterization of risk and may include a numeric assessment of exposure or toxicity for screening purposes and risk </w:t>
            </w:r>
            <w:r w:rsidRPr="000C0EF2">
              <w:rPr>
                <w:sz w:val="24"/>
                <w:lang w:val="en-CA"/>
              </w:rPr>
              <w:t>prioritization</w:t>
            </w:r>
            <w:r w:rsidRPr="000C0EF2">
              <w:rPr>
                <w:sz w:val="24"/>
              </w:rPr>
              <w:t>.</w:t>
            </w:r>
          </w:p>
          <w:p w14:paraId="50325970" w14:textId="77777777" w:rsidR="00276BB8" w:rsidRPr="000C0EF2" w:rsidRDefault="00276BB8" w:rsidP="000C0EF2">
            <w:pPr>
              <w:pStyle w:val="table-e"/>
              <w:spacing w:line="240" w:lineRule="auto"/>
              <w:rPr>
                <w:sz w:val="24"/>
              </w:rPr>
            </w:pPr>
            <w:r w:rsidRPr="000C0EF2">
              <w:rPr>
                <w:sz w:val="24"/>
              </w:rPr>
              <w:t>iii.  Taking into consideration any risk management measures being proposed for the RA property, propose and justify an ecological standard for the contaminant, ensuring that the standard achieves the same level of protection for each valued ecosystem component that is intended to be achieved by the applicable full-depth generic site condition standard for that contaminant.</w:t>
            </w:r>
          </w:p>
        </w:tc>
      </w:tr>
    </w:tbl>
    <w:p w14:paraId="6866C299" w14:textId="77777777" w:rsidR="0046050A" w:rsidRPr="000C60E1" w:rsidRDefault="00A02C4B" w:rsidP="00840964">
      <w:pPr>
        <w:rPr>
          <w:rFonts w:cs="Arial"/>
        </w:rPr>
      </w:pPr>
      <w:r w:rsidRPr="000C60E1">
        <w:rPr>
          <w:rFonts w:cs="Arial"/>
        </w:rPr>
        <w:t>An e</w:t>
      </w:r>
      <w:r w:rsidR="0046050A" w:rsidRPr="000C60E1">
        <w:rPr>
          <w:rFonts w:cs="Arial"/>
        </w:rPr>
        <w:t xml:space="preserve">xample of </w:t>
      </w:r>
      <w:r w:rsidRPr="000C60E1">
        <w:rPr>
          <w:rFonts w:cs="Arial"/>
        </w:rPr>
        <w:t xml:space="preserve">a </w:t>
      </w:r>
      <w:r w:rsidR="0046050A" w:rsidRPr="000C60E1">
        <w:rPr>
          <w:rFonts w:cs="Arial"/>
        </w:rPr>
        <w:t>situation suitable for a qualitative interpretation of risk would include the following</w:t>
      </w:r>
      <w:r w:rsidRPr="000C60E1">
        <w:rPr>
          <w:rFonts w:cs="Arial"/>
        </w:rPr>
        <w:t>:</w:t>
      </w:r>
    </w:p>
    <w:p w14:paraId="4944477D" w14:textId="77777777" w:rsidR="0046050A" w:rsidRPr="000C60E1" w:rsidRDefault="0046050A" w:rsidP="000E72E5">
      <w:pPr>
        <w:pStyle w:val="ListBullet2"/>
        <w:rPr>
          <w:rFonts w:cs="Arial"/>
        </w:rPr>
      </w:pPr>
      <w:r w:rsidRPr="000C60E1">
        <w:rPr>
          <w:rFonts w:cs="Arial"/>
        </w:rPr>
        <w:lastRenderedPageBreak/>
        <w:t xml:space="preserve">Based on the results of the exposure assessment and the toxicity assessment, the </w:t>
      </w:r>
      <w:r w:rsidR="00B33819" w:rsidRPr="000C60E1">
        <w:rPr>
          <w:rFonts w:cs="Arial"/>
        </w:rPr>
        <w:t xml:space="preserve">ecological </w:t>
      </w:r>
      <w:r w:rsidRPr="000C60E1">
        <w:rPr>
          <w:rFonts w:cs="Arial"/>
        </w:rPr>
        <w:t xml:space="preserve">component values contained in </w:t>
      </w:r>
      <w:r w:rsidR="00D5292B" w:rsidRPr="000C60E1">
        <w:rPr>
          <w:rFonts w:cs="Arial"/>
        </w:rPr>
        <w:t xml:space="preserve">Ministry’s approved model </w:t>
      </w:r>
      <w:r w:rsidRPr="000C60E1">
        <w:rPr>
          <w:rFonts w:cs="Arial"/>
        </w:rPr>
        <w:t xml:space="preserve">are protective of the </w:t>
      </w:r>
      <w:r w:rsidR="00292F13" w:rsidRPr="000C60E1">
        <w:rPr>
          <w:rFonts w:cs="Arial"/>
        </w:rPr>
        <w:t>ecological</w:t>
      </w:r>
      <w:r w:rsidRPr="000C60E1">
        <w:rPr>
          <w:rFonts w:cs="Arial"/>
        </w:rPr>
        <w:t xml:space="preserve"> receptors at the site</w:t>
      </w:r>
      <w:r w:rsidR="00292F13" w:rsidRPr="000C60E1">
        <w:rPr>
          <w:rFonts w:cs="Arial"/>
        </w:rPr>
        <w:t>.</w:t>
      </w:r>
    </w:p>
    <w:p w14:paraId="5B77736E" w14:textId="79D0658A" w:rsidR="00B736F9" w:rsidRPr="000C60E1" w:rsidRDefault="00B736F9" w:rsidP="00DE496B">
      <w:pPr>
        <w:pStyle w:val="Heading3"/>
        <w:rPr>
          <w:rFonts w:cs="Arial"/>
        </w:rPr>
      </w:pPr>
      <w:bookmarkStart w:id="309" w:name="_Toc91393583"/>
      <w:bookmarkStart w:id="310" w:name="_Toc112727446"/>
      <w:bookmarkStart w:id="311" w:name="_Toc41905722"/>
      <w:r w:rsidRPr="000C60E1">
        <w:rPr>
          <w:rFonts w:cs="Arial"/>
        </w:rPr>
        <w:t>Special Considerations</w:t>
      </w:r>
      <w:bookmarkEnd w:id="309"/>
      <w:bookmarkEnd w:id="310"/>
      <w:bookmarkEnd w:id="311"/>
    </w:p>
    <w:p w14:paraId="109427D1" w14:textId="4F92BE59" w:rsidR="00AA546A" w:rsidRPr="000C60E1" w:rsidRDefault="00B736F9" w:rsidP="00271A6D">
      <w:pPr>
        <w:rPr>
          <w:rFonts w:cs="Arial"/>
        </w:rPr>
      </w:pPr>
      <w:r w:rsidRPr="002A75F2">
        <w:rPr>
          <w:rFonts w:cs="Arial"/>
        </w:rPr>
        <w:t>As indicated in the table</w:t>
      </w:r>
      <w:r w:rsidR="00B33819" w:rsidRPr="002A75F2">
        <w:rPr>
          <w:rFonts w:cs="Arial"/>
        </w:rPr>
        <w:t xml:space="preserve"> below</w:t>
      </w:r>
      <w:r w:rsidRPr="002A75F2">
        <w:rPr>
          <w:rFonts w:cs="Arial"/>
        </w:rPr>
        <w:t xml:space="preserve">, the ecological standard being proposed for the RA property must </w:t>
      </w:r>
      <w:r w:rsidR="00AA546A" w:rsidRPr="002A75F2">
        <w:rPr>
          <w:rFonts w:cs="Arial"/>
        </w:rPr>
        <w:t>be</w:t>
      </w:r>
      <w:r w:rsidRPr="002A75F2">
        <w:rPr>
          <w:rFonts w:cs="Arial"/>
        </w:rPr>
        <w:t xml:space="preserve"> protective of the conditions that cause the </w:t>
      </w:r>
      <w:r w:rsidR="00AA546A" w:rsidRPr="002A75F2">
        <w:rPr>
          <w:rFonts w:cs="Arial"/>
        </w:rPr>
        <w:t xml:space="preserve">property to be designated as </w:t>
      </w:r>
      <w:r w:rsidR="00B80DD5" w:rsidRPr="002A75F2">
        <w:rPr>
          <w:rFonts w:cs="Arial"/>
        </w:rPr>
        <w:t>environmentally sensitive</w:t>
      </w:r>
      <w:r w:rsidR="00CE4FAB" w:rsidRPr="002A75F2">
        <w:rPr>
          <w:rFonts w:cs="Arial"/>
        </w:rPr>
        <w:t xml:space="preserve">, </w:t>
      </w:r>
      <w:r w:rsidR="000E55E3" w:rsidRPr="002A75F2">
        <w:rPr>
          <w:rFonts w:cs="Arial"/>
        </w:rPr>
        <w:t xml:space="preserve">a </w:t>
      </w:r>
      <w:r w:rsidR="00CE4FAB" w:rsidRPr="002A75F2">
        <w:rPr>
          <w:rFonts w:cs="Arial"/>
        </w:rPr>
        <w:t xml:space="preserve">shallow soil property and/or a property located within 30 </w:t>
      </w:r>
      <w:proofErr w:type="spellStart"/>
      <w:r w:rsidR="00CE4FAB" w:rsidRPr="002A75F2">
        <w:rPr>
          <w:rFonts w:cs="Arial"/>
        </w:rPr>
        <w:t>metr</w:t>
      </w:r>
      <w:r w:rsidR="00D97159" w:rsidRPr="002A75F2">
        <w:rPr>
          <w:rFonts w:cs="Arial"/>
        </w:rPr>
        <w:t>e</w:t>
      </w:r>
      <w:r w:rsidR="00CE4FAB" w:rsidRPr="002A75F2">
        <w:rPr>
          <w:rFonts w:cs="Arial"/>
        </w:rPr>
        <w:t>s</w:t>
      </w:r>
      <w:proofErr w:type="spellEnd"/>
      <w:r w:rsidR="00CE4FAB" w:rsidRPr="002A75F2">
        <w:rPr>
          <w:rFonts w:cs="Arial"/>
        </w:rPr>
        <w:t xml:space="preserve"> of a water body</w:t>
      </w:r>
      <w:r w:rsidRPr="002A75F2">
        <w:rPr>
          <w:rFonts w:cs="Arial"/>
        </w:rPr>
        <w:t>.</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2EAF960A" w14:textId="77777777" w:rsidTr="005B40DA">
        <w:trPr>
          <w:trHeight w:val="341"/>
          <w:tblHeader/>
        </w:trPr>
        <w:tc>
          <w:tcPr>
            <w:tcW w:w="2468" w:type="dxa"/>
          </w:tcPr>
          <w:p w14:paraId="1EC84323"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03C450C3"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1D5B016A"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4751F84E"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2CF8F08E" w14:textId="77777777" w:rsidTr="005B40DA">
        <w:trPr>
          <w:trHeight w:val="20"/>
        </w:trPr>
        <w:tc>
          <w:tcPr>
            <w:tcW w:w="2468" w:type="dxa"/>
          </w:tcPr>
          <w:p w14:paraId="211BBEF9"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407A18EB" w14:textId="77777777" w:rsidR="00276BB8" w:rsidRPr="000C0EF2" w:rsidRDefault="00276BB8" w:rsidP="000C0EF2">
            <w:pPr>
              <w:pStyle w:val="table-e"/>
              <w:spacing w:line="240" w:lineRule="auto"/>
              <w:rPr>
                <w:sz w:val="24"/>
              </w:rPr>
            </w:pPr>
            <w:r w:rsidRPr="000C0EF2">
              <w:rPr>
                <w:sz w:val="24"/>
              </w:rPr>
              <w:t>(e)  Risk Characterization</w:t>
            </w:r>
          </w:p>
        </w:tc>
        <w:tc>
          <w:tcPr>
            <w:tcW w:w="1839" w:type="dxa"/>
          </w:tcPr>
          <w:p w14:paraId="271ACDA2" w14:textId="77777777" w:rsidR="00276BB8" w:rsidRPr="000C0EF2" w:rsidRDefault="00276BB8" w:rsidP="000C0EF2">
            <w:pPr>
              <w:pStyle w:val="table-e"/>
              <w:spacing w:line="240" w:lineRule="auto"/>
              <w:rPr>
                <w:sz w:val="24"/>
              </w:rPr>
            </w:pPr>
            <w:r w:rsidRPr="000C0EF2">
              <w:rPr>
                <w:sz w:val="24"/>
              </w:rPr>
              <w:t>(iv)  Special Considerations</w:t>
            </w:r>
          </w:p>
        </w:tc>
        <w:tc>
          <w:tcPr>
            <w:tcW w:w="3759" w:type="dxa"/>
          </w:tcPr>
          <w:p w14:paraId="4A4F86A9" w14:textId="77777777" w:rsidR="00276BB8" w:rsidRPr="000C0EF2" w:rsidRDefault="00276BB8" w:rsidP="000C0EF2">
            <w:pPr>
              <w:pStyle w:val="table-e"/>
              <w:spacing w:line="240" w:lineRule="auto"/>
              <w:rPr>
                <w:sz w:val="24"/>
              </w:rPr>
            </w:pPr>
            <w:r w:rsidRPr="000C0EF2">
              <w:rPr>
                <w:sz w:val="24"/>
              </w:rPr>
              <w:t>If a RA property is,</w:t>
            </w:r>
          </w:p>
          <w:p w14:paraId="67EDCDD2" w14:textId="77777777" w:rsidR="00276BB8" w:rsidRPr="000C0EF2" w:rsidRDefault="00276BB8" w:rsidP="000C0EF2">
            <w:pPr>
              <w:pStyle w:val="table-e"/>
              <w:spacing w:line="240" w:lineRule="auto"/>
              <w:rPr>
                <w:sz w:val="24"/>
              </w:rPr>
            </w:pPr>
            <w:r w:rsidRPr="000C0EF2">
              <w:rPr>
                <w:sz w:val="24"/>
              </w:rPr>
              <w:t>(a)  located within 30 metres of an “area of natural significance”, includes such an area, is adjacent to such an area or part of such an area, the justification for the ecological standard being proposed for the RA property must ensure that the standard is protective of the conditions that causes the area to be an area of natural significance; and</w:t>
            </w:r>
          </w:p>
          <w:p w14:paraId="28FDD59F" w14:textId="77777777" w:rsidR="00276BB8" w:rsidRPr="000C0EF2" w:rsidRDefault="00276BB8" w:rsidP="000C0EF2">
            <w:pPr>
              <w:pStyle w:val="table-e"/>
              <w:spacing w:line="240" w:lineRule="auto"/>
              <w:rPr>
                <w:sz w:val="24"/>
              </w:rPr>
            </w:pPr>
            <w:r w:rsidRPr="000C0EF2">
              <w:rPr>
                <w:sz w:val="24"/>
              </w:rPr>
              <w:t>(b)  subject to section 41 or 43.1 of the regulation, the justification for the ecological standard being proposed for the RA property must take into account the site conditions that make section 41 or 43.1 of the regulation apply to the RA property.</w:t>
            </w:r>
          </w:p>
        </w:tc>
      </w:tr>
    </w:tbl>
    <w:p w14:paraId="65314F7A" w14:textId="77777777" w:rsidR="00AA546A" w:rsidRPr="000C60E1" w:rsidRDefault="00AA546A" w:rsidP="00AA546A">
      <w:pPr>
        <w:rPr>
          <w:rFonts w:cs="Arial"/>
        </w:rPr>
      </w:pPr>
      <w:r w:rsidRPr="002A75F2">
        <w:rPr>
          <w:rFonts w:cs="Arial"/>
        </w:rPr>
        <w:t>The conditions that trigger these designations are described in section 41 and 43.1 of the Regulation:</w:t>
      </w:r>
      <w:r w:rsidRPr="000C60E1">
        <w:rPr>
          <w:rFonts w:cs="Arial"/>
        </w:rPr>
        <w:t xml:space="preserve"> </w:t>
      </w:r>
    </w:p>
    <w:p w14:paraId="2FC2D7A2" w14:textId="77777777" w:rsidR="00AA546A" w:rsidRPr="000C60E1" w:rsidRDefault="00AA546A" w:rsidP="00A47B50">
      <w:pPr>
        <w:numPr>
          <w:ilvl w:val="0"/>
          <w:numId w:val="22"/>
        </w:numPr>
        <w:shd w:val="clear" w:color="auto" w:fill="D9D9D9"/>
        <w:rPr>
          <w:rFonts w:cs="Arial"/>
        </w:rPr>
      </w:pPr>
      <w:r w:rsidRPr="000C60E1">
        <w:rPr>
          <w:rFonts w:cs="Arial"/>
        </w:rPr>
        <w:t xml:space="preserve"> Section 41 of the Regulation (Site condition standards, environmentally sensitive areas)</w:t>
      </w:r>
    </w:p>
    <w:p w14:paraId="60D7334C" w14:textId="77777777" w:rsidR="00AA546A" w:rsidRPr="000C60E1" w:rsidRDefault="00AA546A" w:rsidP="00A47B50">
      <w:pPr>
        <w:numPr>
          <w:ilvl w:val="0"/>
          <w:numId w:val="22"/>
        </w:numPr>
        <w:shd w:val="clear" w:color="auto" w:fill="D9D9D9"/>
        <w:rPr>
          <w:rFonts w:cs="Arial"/>
        </w:rPr>
      </w:pPr>
      <w:r w:rsidRPr="000C60E1">
        <w:rPr>
          <w:rFonts w:cs="Arial"/>
        </w:rPr>
        <w:t>Section 43.1 of the Regulation (Site condition standards, shallow soil property or water body)</w:t>
      </w:r>
    </w:p>
    <w:p w14:paraId="3AD7D575" w14:textId="67EF3645" w:rsidR="00B33819" w:rsidRPr="000C60E1" w:rsidRDefault="00B33819" w:rsidP="00840964">
      <w:pPr>
        <w:rPr>
          <w:rFonts w:cs="Arial"/>
        </w:rPr>
      </w:pPr>
      <w:r w:rsidRPr="000C60E1">
        <w:rPr>
          <w:rFonts w:cs="Arial"/>
        </w:rPr>
        <w:t>Whether a qualitative or quantitative assessment of risk is undertaken, any risk characterization considerations associated with the site being defined as an environmentally sensitive area</w:t>
      </w:r>
      <w:r w:rsidR="009F7039" w:rsidRPr="000C60E1">
        <w:rPr>
          <w:rFonts w:cs="Arial"/>
        </w:rPr>
        <w:t xml:space="preserve">, </w:t>
      </w:r>
      <w:r w:rsidR="00AA546A" w:rsidRPr="000C60E1">
        <w:rPr>
          <w:rFonts w:cs="Arial"/>
        </w:rPr>
        <w:t xml:space="preserve">a </w:t>
      </w:r>
      <w:r w:rsidR="009F7039" w:rsidRPr="000C60E1">
        <w:rPr>
          <w:rFonts w:cs="Arial"/>
        </w:rPr>
        <w:t>shallow soil</w:t>
      </w:r>
      <w:r w:rsidRPr="000C60E1">
        <w:rPr>
          <w:rFonts w:cs="Arial"/>
        </w:rPr>
        <w:t xml:space="preserve"> </w:t>
      </w:r>
      <w:r w:rsidR="009F7039" w:rsidRPr="000C60E1">
        <w:rPr>
          <w:rFonts w:cs="Arial"/>
        </w:rPr>
        <w:t xml:space="preserve">property and/or a property located within 30 </w:t>
      </w:r>
      <w:proofErr w:type="spellStart"/>
      <w:r w:rsidR="009F7039" w:rsidRPr="000C60E1">
        <w:rPr>
          <w:rFonts w:cs="Arial"/>
        </w:rPr>
        <w:t>metr</w:t>
      </w:r>
      <w:r w:rsidR="00D97159">
        <w:rPr>
          <w:rFonts w:cs="Arial"/>
        </w:rPr>
        <w:t>e</w:t>
      </w:r>
      <w:r w:rsidR="009F7039" w:rsidRPr="000C60E1">
        <w:rPr>
          <w:rFonts w:cs="Arial"/>
        </w:rPr>
        <w:t>s</w:t>
      </w:r>
      <w:proofErr w:type="spellEnd"/>
      <w:r w:rsidR="009F7039" w:rsidRPr="000C60E1">
        <w:rPr>
          <w:rFonts w:cs="Arial"/>
        </w:rPr>
        <w:t xml:space="preserve"> of a water body </w:t>
      </w:r>
      <w:r w:rsidRPr="000C60E1">
        <w:rPr>
          <w:rFonts w:cs="Arial"/>
        </w:rPr>
        <w:t>must be highlighted in a separate se</w:t>
      </w:r>
      <w:r w:rsidR="00CC1956" w:rsidRPr="000C60E1">
        <w:rPr>
          <w:rFonts w:cs="Arial"/>
        </w:rPr>
        <w:t>ction of</w:t>
      </w:r>
      <w:r w:rsidRPr="000C60E1">
        <w:rPr>
          <w:rFonts w:cs="Arial"/>
        </w:rPr>
        <w:t xml:space="preserve"> the report. The expected impact </w:t>
      </w:r>
      <w:r w:rsidR="009F7039" w:rsidRPr="000C60E1">
        <w:rPr>
          <w:rFonts w:cs="Arial"/>
        </w:rPr>
        <w:t xml:space="preserve">of these conditions </w:t>
      </w:r>
      <w:r w:rsidRPr="000C60E1">
        <w:rPr>
          <w:rFonts w:cs="Arial"/>
        </w:rPr>
        <w:t xml:space="preserve">on the estimation of ecological risk for each VEC </w:t>
      </w:r>
      <w:r w:rsidR="00797382" w:rsidRPr="000C60E1">
        <w:rPr>
          <w:rFonts w:cs="Arial"/>
        </w:rPr>
        <w:t xml:space="preserve">must </w:t>
      </w:r>
      <w:r w:rsidRPr="000C60E1">
        <w:rPr>
          <w:rFonts w:cs="Arial"/>
        </w:rPr>
        <w:t>be described.</w:t>
      </w:r>
    </w:p>
    <w:p w14:paraId="0524C419" w14:textId="678988CE" w:rsidR="00B33819" w:rsidRPr="000C60E1" w:rsidRDefault="00FE45AD" w:rsidP="00840964">
      <w:pPr>
        <w:rPr>
          <w:rFonts w:cs="Arial"/>
        </w:rPr>
      </w:pPr>
      <w:r w:rsidRPr="000C60E1">
        <w:rPr>
          <w:rFonts w:cs="Arial"/>
        </w:rPr>
        <w:lastRenderedPageBreak/>
        <w:t xml:space="preserve">For example, the </w:t>
      </w:r>
      <w:r w:rsidR="00B33819" w:rsidRPr="000C60E1">
        <w:rPr>
          <w:rFonts w:cs="Arial"/>
        </w:rPr>
        <w:t xml:space="preserve">reason for </w:t>
      </w:r>
      <w:r w:rsidRPr="000C60E1">
        <w:rPr>
          <w:rFonts w:cs="Arial"/>
        </w:rPr>
        <w:t xml:space="preserve">an </w:t>
      </w:r>
      <w:r w:rsidR="00B33819" w:rsidRPr="000C60E1">
        <w:rPr>
          <w:rFonts w:cs="Arial"/>
        </w:rPr>
        <w:t xml:space="preserve">environmentally sensitive </w:t>
      </w:r>
      <w:r w:rsidR="00B80DD5" w:rsidRPr="000C60E1">
        <w:rPr>
          <w:rFonts w:cs="Arial"/>
        </w:rPr>
        <w:t xml:space="preserve">area </w:t>
      </w:r>
      <w:r w:rsidR="00B33819" w:rsidRPr="000C60E1">
        <w:rPr>
          <w:rFonts w:cs="Arial"/>
        </w:rPr>
        <w:t xml:space="preserve">designation </w:t>
      </w:r>
      <w:r w:rsidR="00E156ED" w:rsidRPr="000C60E1">
        <w:rPr>
          <w:rFonts w:cs="Arial"/>
        </w:rPr>
        <w:t>may be</w:t>
      </w:r>
      <w:r w:rsidR="00B33819" w:rsidRPr="000C60E1">
        <w:rPr>
          <w:rFonts w:cs="Arial"/>
        </w:rPr>
        <w:t xml:space="preserve"> due to the presence of or proximity to specific ecological receptors, such as threatened or endangered species</w:t>
      </w:r>
      <w:r w:rsidR="00E156ED" w:rsidRPr="000C60E1">
        <w:rPr>
          <w:rFonts w:cs="Arial"/>
        </w:rPr>
        <w:t xml:space="preserve"> or ecosystems.</w:t>
      </w:r>
      <w:r w:rsidR="00B33819" w:rsidRPr="000C60E1">
        <w:rPr>
          <w:rFonts w:cs="Arial"/>
        </w:rPr>
        <w:t xml:space="preserve"> </w:t>
      </w:r>
      <w:r w:rsidR="00E156ED" w:rsidRPr="000C60E1">
        <w:rPr>
          <w:rFonts w:cs="Arial"/>
        </w:rPr>
        <w:t xml:space="preserve">If this is the case, </w:t>
      </w:r>
      <w:r w:rsidR="00B33819" w:rsidRPr="002A75F2">
        <w:rPr>
          <w:rFonts w:cs="Arial"/>
        </w:rPr>
        <w:t xml:space="preserve">this section of the </w:t>
      </w:r>
      <w:r w:rsidR="0041572E" w:rsidRPr="002A75F2">
        <w:rPr>
          <w:rFonts w:cs="Arial"/>
        </w:rPr>
        <w:t>RA report</w:t>
      </w:r>
      <w:r w:rsidR="00B33819" w:rsidRPr="002A75F2">
        <w:rPr>
          <w:rFonts w:cs="Arial"/>
        </w:rPr>
        <w:t xml:space="preserve"> should reference how the specified ecological receptors are addressed </w:t>
      </w:r>
      <w:r w:rsidR="00321127" w:rsidRPr="002A75F2">
        <w:rPr>
          <w:rFonts w:cs="Arial"/>
        </w:rPr>
        <w:t>if surrogate</w:t>
      </w:r>
      <w:r w:rsidR="00651290" w:rsidRPr="002A75F2">
        <w:rPr>
          <w:rFonts w:cs="Arial"/>
        </w:rPr>
        <w:t xml:space="preserve"> </w:t>
      </w:r>
      <w:r w:rsidR="00B33819" w:rsidRPr="002A75F2">
        <w:rPr>
          <w:rFonts w:cs="Arial"/>
        </w:rPr>
        <w:t xml:space="preserve">VECs </w:t>
      </w:r>
      <w:r w:rsidR="00321127" w:rsidRPr="002A75F2">
        <w:rPr>
          <w:rFonts w:cs="Arial"/>
        </w:rPr>
        <w:t xml:space="preserve">were used </w:t>
      </w:r>
      <w:r w:rsidR="00B33819" w:rsidRPr="002A75F2">
        <w:rPr>
          <w:rFonts w:cs="Arial"/>
        </w:rPr>
        <w:t>and how</w:t>
      </w:r>
      <w:r w:rsidR="00B33819" w:rsidRPr="000C60E1">
        <w:rPr>
          <w:rFonts w:cs="Arial"/>
        </w:rPr>
        <w:t xml:space="preserve"> the ecological standards proposed for the site are expected to be protective of those receptors.</w:t>
      </w:r>
    </w:p>
    <w:p w14:paraId="6E839758" w14:textId="34989D6B" w:rsidR="00B736F9" w:rsidRPr="000C60E1" w:rsidRDefault="00B736F9" w:rsidP="00DE496B">
      <w:pPr>
        <w:pStyle w:val="Heading3"/>
        <w:rPr>
          <w:rFonts w:cs="Arial"/>
        </w:rPr>
      </w:pPr>
      <w:bookmarkStart w:id="312" w:name="_Toc91393584"/>
      <w:bookmarkStart w:id="313" w:name="_Toc112727447"/>
      <w:bookmarkStart w:id="314" w:name="_Toc41905723"/>
      <w:r w:rsidRPr="000C60E1">
        <w:rPr>
          <w:rFonts w:cs="Arial"/>
        </w:rPr>
        <w:t>Interpretation of Off-Site Ecological Risks</w:t>
      </w:r>
      <w:bookmarkEnd w:id="312"/>
      <w:bookmarkEnd w:id="313"/>
      <w:bookmarkEnd w:id="314"/>
    </w:p>
    <w:p w14:paraId="495207E0" w14:textId="4FB967E3" w:rsidR="00867658" w:rsidRPr="000C60E1" w:rsidRDefault="00867658" w:rsidP="00840964">
      <w:pPr>
        <w:rPr>
          <w:rFonts w:cs="Arial"/>
        </w:rPr>
      </w:pPr>
      <w:r w:rsidRPr="000C60E1">
        <w:rPr>
          <w:rFonts w:cs="Arial"/>
        </w:rPr>
        <w:t xml:space="preserve">Whether a qualitative or quantitative assessment of risk is undertaken, the </w:t>
      </w:r>
      <w:r w:rsidR="000767FF" w:rsidRPr="000C60E1">
        <w:rPr>
          <w:rFonts w:cs="Arial"/>
        </w:rPr>
        <w:t>QP</w:t>
      </w:r>
      <w:r w:rsidR="000767FF" w:rsidRPr="000C60E1">
        <w:rPr>
          <w:rFonts w:cs="Arial"/>
          <w:vertAlign w:val="subscript"/>
        </w:rPr>
        <w:t>RA</w:t>
      </w:r>
      <w:r w:rsidRPr="000C60E1">
        <w:rPr>
          <w:rFonts w:cs="Arial"/>
        </w:rPr>
        <w:t xml:space="preserve"> must highlight in a separate section of the report any considerations associated with off-site ecological receptors</w:t>
      </w:r>
      <w:r w:rsidR="00E156ED" w:rsidRPr="000C60E1">
        <w:rPr>
          <w:rFonts w:cs="Arial"/>
        </w:rPr>
        <w:t>. The QP</w:t>
      </w:r>
      <w:r w:rsidR="00E156ED" w:rsidRPr="000C60E1">
        <w:rPr>
          <w:rFonts w:cs="Arial"/>
          <w:vertAlign w:val="subscript"/>
        </w:rPr>
        <w:t>RA</w:t>
      </w:r>
      <w:r w:rsidR="00E156ED" w:rsidRPr="000C60E1">
        <w:rPr>
          <w:rFonts w:cs="Arial"/>
        </w:rPr>
        <w:t xml:space="preserve"> must identify whether </w:t>
      </w:r>
      <w:r w:rsidRPr="000C60E1">
        <w:rPr>
          <w:rFonts w:cs="Arial"/>
        </w:rPr>
        <w:t xml:space="preserve">the </w:t>
      </w:r>
      <w:r w:rsidR="00DD12C5" w:rsidRPr="000C60E1">
        <w:rPr>
          <w:rFonts w:cs="Arial"/>
        </w:rPr>
        <w:t xml:space="preserve">proposed </w:t>
      </w:r>
      <w:r w:rsidRPr="000C60E1">
        <w:rPr>
          <w:rFonts w:cs="Arial"/>
        </w:rPr>
        <w:t>ecological standards</w:t>
      </w:r>
      <w:r w:rsidR="00DD12C5" w:rsidRPr="000C60E1">
        <w:rPr>
          <w:rFonts w:cs="Arial"/>
        </w:rPr>
        <w:t xml:space="preserve">, if </w:t>
      </w:r>
      <w:r w:rsidR="00FB474A" w:rsidRPr="000C60E1">
        <w:rPr>
          <w:rFonts w:cs="Arial"/>
        </w:rPr>
        <w:t>applied to</w:t>
      </w:r>
      <w:r w:rsidR="00DD12C5" w:rsidRPr="000C60E1">
        <w:rPr>
          <w:rFonts w:cs="Arial"/>
        </w:rPr>
        <w:t xml:space="preserve"> </w:t>
      </w:r>
      <w:r w:rsidRPr="000C60E1">
        <w:rPr>
          <w:rFonts w:cs="Arial"/>
        </w:rPr>
        <w:t xml:space="preserve">the </w:t>
      </w:r>
      <w:r w:rsidR="00DD12C5" w:rsidRPr="000C60E1">
        <w:rPr>
          <w:rFonts w:cs="Arial"/>
        </w:rPr>
        <w:t>RA property</w:t>
      </w:r>
      <w:r w:rsidRPr="000C60E1">
        <w:rPr>
          <w:rFonts w:cs="Arial"/>
        </w:rPr>
        <w:t xml:space="preserve"> are </w:t>
      </w:r>
      <w:r w:rsidR="00FE45AD" w:rsidRPr="000C60E1">
        <w:rPr>
          <w:rFonts w:cs="Arial"/>
        </w:rPr>
        <w:t xml:space="preserve">likely </w:t>
      </w:r>
      <w:r w:rsidRPr="000C60E1">
        <w:rPr>
          <w:rFonts w:cs="Arial"/>
        </w:rPr>
        <w:t xml:space="preserve">to </w:t>
      </w:r>
      <w:r w:rsidR="00FE45AD" w:rsidRPr="000C60E1">
        <w:rPr>
          <w:rFonts w:cs="Arial"/>
        </w:rPr>
        <w:t xml:space="preserve">result in an exceedance of the applicable full depth generic site condition standards at the location of the nearest </w:t>
      </w:r>
      <w:r w:rsidR="00DD12C5" w:rsidRPr="000C60E1">
        <w:rPr>
          <w:rFonts w:cs="Arial"/>
        </w:rPr>
        <w:t>off-site</w:t>
      </w:r>
      <w:r w:rsidR="00FE45AD" w:rsidRPr="000C60E1">
        <w:rPr>
          <w:rFonts w:cs="Arial"/>
        </w:rPr>
        <w:t xml:space="preserve"> ecological</w:t>
      </w:r>
      <w:r w:rsidR="00DD12C5" w:rsidRPr="000C60E1">
        <w:rPr>
          <w:rFonts w:cs="Arial"/>
        </w:rPr>
        <w:t xml:space="preserve"> </w:t>
      </w:r>
      <w:r w:rsidRPr="000C60E1">
        <w:rPr>
          <w:rFonts w:cs="Arial"/>
        </w:rPr>
        <w:t>receptors.</w:t>
      </w:r>
    </w:p>
    <w:p w14:paraId="6B04EE6B" w14:textId="77777777" w:rsidR="00867658" w:rsidRPr="000C60E1" w:rsidRDefault="00867658" w:rsidP="00840964">
      <w:pPr>
        <w:rPr>
          <w:rFonts w:cs="Arial"/>
        </w:rPr>
      </w:pPr>
      <w:r w:rsidRPr="000C60E1">
        <w:rPr>
          <w:rFonts w:cs="Arial"/>
        </w:rPr>
        <w:t xml:space="preserve">The minimum requirements for interpretation of </w:t>
      </w:r>
      <w:r w:rsidR="00401032" w:rsidRPr="000C60E1">
        <w:rPr>
          <w:rFonts w:cs="Arial"/>
        </w:rPr>
        <w:t>off-site</w:t>
      </w:r>
      <w:r w:rsidRPr="000C60E1">
        <w:rPr>
          <w:rFonts w:cs="Arial"/>
        </w:rPr>
        <w:t xml:space="preserve"> </w:t>
      </w:r>
      <w:r w:rsidR="00797382" w:rsidRPr="000C60E1">
        <w:rPr>
          <w:rFonts w:cs="Arial"/>
        </w:rPr>
        <w:t>ecological</w:t>
      </w:r>
      <w:r w:rsidRPr="000C60E1">
        <w:rPr>
          <w:rFonts w:cs="Arial"/>
        </w:rPr>
        <w:t xml:space="preserve"> health risks are found in </w:t>
      </w:r>
      <w:r w:rsidR="00474043" w:rsidRPr="000C60E1">
        <w:rPr>
          <w:rFonts w:cs="Arial"/>
        </w:rPr>
        <w:t xml:space="preserve">Table 1 of Schedule C of </w:t>
      </w:r>
      <w:r w:rsidRPr="000C60E1">
        <w:rPr>
          <w:rFonts w:cs="Arial"/>
        </w:rPr>
        <w:t xml:space="preserve">the </w:t>
      </w:r>
      <w:r w:rsidR="00855A6A" w:rsidRPr="000C60E1">
        <w:rPr>
          <w:rFonts w:cs="Arial"/>
        </w:rPr>
        <w:t>R</w:t>
      </w:r>
      <w:r w:rsidRPr="000C60E1">
        <w:rPr>
          <w:rFonts w:cs="Arial"/>
        </w:rPr>
        <w:t>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03397BE1" w14:textId="77777777" w:rsidTr="005B40DA">
        <w:trPr>
          <w:trHeight w:val="20"/>
          <w:tblHeader/>
        </w:trPr>
        <w:tc>
          <w:tcPr>
            <w:tcW w:w="2468" w:type="dxa"/>
          </w:tcPr>
          <w:p w14:paraId="373B7B1A"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7FEE7493"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79FB2D53"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406C828"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39E8DF00" w14:textId="77777777" w:rsidTr="005B40DA">
        <w:trPr>
          <w:trHeight w:val="20"/>
        </w:trPr>
        <w:tc>
          <w:tcPr>
            <w:tcW w:w="2468" w:type="dxa"/>
          </w:tcPr>
          <w:p w14:paraId="4F5215F1"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1B20A907" w14:textId="77777777" w:rsidR="00276BB8" w:rsidRPr="000C0EF2" w:rsidRDefault="00276BB8" w:rsidP="000C0EF2">
            <w:pPr>
              <w:pStyle w:val="table-e"/>
              <w:spacing w:line="240" w:lineRule="auto"/>
              <w:rPr>
                <w:sz w:val="24"/>
              </w:rPr>
            </w:pPr>
            <w:r w:rsidRPr="000C0EF2">
              <w:rPr>
                <w:sz w:val="24"/>
              </w:rPr>
              <w:t>(e)  Risk Characterization</w:t>
            </w:r>
          </w:p>
        </w:tc>
        <w:tc>
          <w:tcPr>
            <w:tcW w:w="1839" w:type="dxa"/>
          </w:tcPr>
          <w:p w14:paraId="4F01404B" w14:textId="77777777" w:rsidR="00276BB8" w:rsidRPr="000C0EF2" w:rsidRDefault="00276BB8" w:rsidP="000C0EF2">
            <w:pPr>
              <w:pStyle w:val="table-e"/>
              <w:spacing w:line="240" w:lineRule="auto"/>
              <w:rPr>
                <w:sz w:val="24"/>
              </w:rPr>
            </w:pPr>
            <w:r w:rsidRPr="000C0EF2">
              <w:rPr>
                <w:sz w:val="24"/>
              </w:rPr>
              <w:t>(v)  Interpretation of Off-Site Ecological Risks</w:t>
            </w:r>
          </w:p>
        </w:tc>
        <w:tc>
          <w:tcPr>
            <w:tcW w:w="3759" w:type="dxa"/>
          </w:tcPr>
          <w:p w14:paraId="7E0C5369" w14:textId="77777777" w:rsidR="00276BB8" w:rsidRPr="000C0EF2" w:rsidRDefault="00276BB8" w:rsidP="000C0EF2">
            <w:pPr>
              <w:pStyle w:val="table-e"/>
              <w:spacing w:line="240" w:lineRule="auto"/>
              <w:rPr>
                <w:sz w:val="24"/>
              </w:rPr>
            </w:pPr>
            <w:r w:rsidRPr="000C0EF2">
              <w:rPr>
                <w:sz w:val="24"/>
              </w:rPr>
              <w:t>For each contaminant of concern, assess whether the ecological standard being proposed for the RA property is likely to result in a concentration greater than the applicable full depth site condition standard at the nearest ecological receptor located off the RA property and, if this is the case for any contaminant, specify the contaminant, the applicable site condition standard for that contaminant and the property where the ecological receptor is located and describe the ecological receptors that may be impacted.</w:t>
            </w:r>
          </w:p>
        </w:tc>
      </w:tr>
    </w:tbl>
    <w:p w14:paraId="35BFE695" w14:textId="728F7A64" w:rsidR="00B736F9" w:rsidRPr="002A75F2" w:rsidRDefault="00B736F9" w:rsidP="00840964">
      <w:pPr>
        <w:rPr>
          <w:rFonts w:cs="Arial"/>
        </w:rPr>
      </w:pPr>
      <w:r w:rsidRPr="000C60E1">
        <w:rPr>
          <w:rFonts w:cs="Arial"/>
        </w:rPr>
        <w:t xml:space="preserve">For each </w:t>
      </w:r>
      <w:smartTag w:uri="urn:schemas-microsoft-com:office:smarttags" w:element="stockticker">
        <w:r w:rsidRPr="000C60E1">
          <w:rPr>
            <w:rFonts w:cs="Arial"/>
          </w:rPr>
          <w:t>COC</w:t>
        </w:r>
      </w:smartTag>
      <w:r w:rsidRPr="000C60E1">
        <w:rPr>
          <w:rFonts w:cs="Arial"/>
        </w:rPr>
        <w:t xml:space="preserve">, the </w:t>
      </w:r>
      <w:r w:rsidR="000767FF" w:rsidRPr="000C60E1">
        <w:rPr>
          <w:rFonts w:cs="Arial"/>
        </w:rPr>
        <w:t>QP</w:t>
      </w:r>
      <w:r w:rsidR="000767FF" w:rsidRPr="000C60E1">
        <w:rPr>
          <w:rFonts w:cs="Arial"/>
          <w:vertAlign w:val="subscript"/>
        </w:rPr>
        <w:t>RA</w:t>
      </w:r>
      <w:r w:rsidRPr="000C60E1">
        <w:rPr>
          <w:rFonts w:cs="Arial"/>
        </w:rPr>
        <w:t xml:space="preserve"> must assess whether the ecological standard being proposed for the RA property is likely to result in a concentration greater than the applicable full depth site condition standard at the nearest </w:t>
      </w:r>
      <w:r w:rsidRPr="002A75F2">
        <w:rPr>
          <w:rFonts w:cs="Arial"/>
        </w:rPr>
        <w:t>ecological receptor located off the RA property</w:t>
      </w:r>
      <w:r w:rsidR="00E156ED" w:rsidRPr="002A75F2">
        <w:rPr>
          <w:rFonts w:cs="Arial"/>
        </w:rPr>
        <w:t>.</w:t>
      </w:r>
      <w:r w:rsidRPr="002A75F2">
        <w:rPr>
          <w:rFonts w:cs="Arial"/>
        </w:rPr>
        <w:t xml:space="preserve"> </w:t>
      </w:r>
      <w:r w:rsidR="00E156ED" w:rsidRPr="002A75F2">
        <w:rPr>
          <w:rFonts w:cs="Arial"/>
        </w:rPr>
        <w:t>I</w:t>
      </w:r>
      <w:r w:rsidRPr="002A75F2">
        <w:rPr>
          <w:rFonts w:cs="Arial"/>
        </w:rPr>
        <w:t xml:space="preserve">f this is the case for any contaminant, </w:t>
      </w:r>
      <w:r w:rsidR="00452BE0" w:rsidRPr="002A75F2">
        <w:rPr>
          <w:rFonts w:cs="Arial"/>
        </w:rPr>
        <w:t>the QP</w:t>
      </w:r>
      <w:r w:rsidR="00452BE0" w:rsidRPr="002A75F2">
        <w:rPr>
          <w:rFonts w:cs="Arial"/>
          <w:vertAlign w:val="subscript"/>
        </w:rPr>
        <w:t>RA</w:t>
      </w:r>
      <w:r w:rsidR="00452BE0" w:rsidRPr="002A75F2">
        <w:rPr>
          <w:rFonts w:cs="Arial"/>
        </w:rPr>
        <w:t xml:space="preserve"> must </w:t>
      </w:r>
      <w:r w:rsidRPr="002A75F2">
        <w:rPr>
          <w:rFonts w:cs="Arial"/>
        </w:rPr>
        <w:t>specify the contaminant, the applicable site condition standard for that contaminant and the property where the ecological receptor is located and describe the ecological receptors that may be impacted.</w:t>
      </w:r>
      <w:r w:rsidR="003A0B8A" w:rsidRPr="002A75F2">
        <w:rPr>
          <w:rFonts w:cs="Arial"/>
        </w:rPr>
        <w:t xml:space="preserve"> It is recommended that this information be provided in tabular format.</w:t>
      </w:r>
    </w:p>
    <w:p w14:paraId="1DFDA4F8" w14:textId="77777777" w:rsidR="00FA03F1" w:rsidRPr="000C60E1" w:rsidRDefault="00FA03F1" w:rsidP="00FA03F1">
      <w:pPr>
        <w:rPr>
          <w:rFonts w:cs="Arial"/>
        </w:rPr>
      </w:pPr>
      <w:r w:rsidRPr="002A75F2">
        <w:rPr>
          <w:rFonts w:cs="Arial"/>
        </w:rPr>
        <w:t>The information included in this sub-heading is</w:t>
      </w:r>
      <w:r w:rsidRPr="000C60E1">
        <w:rPr>
          <w:rFonts w:cs="Arial"/>
        </w:rPr>
        <w:t xml:space="preserve"> expected to be consistent with the mandatory certifications made by the QP</w:t>
      </w:r>
      <w:r w:rsidRPr="000C60E1">
        <w:rPr>
          <w:rFonts w:cs="Arial"/>
          <w:vertAlign w:val="subscript"/>
        </w:rPr>
        <w:t>RA</w:t>
      </w:r>
      <w:r w:rsidRPr="000C60E1">
        <w:rPr>
          <w:rFonts w:cs="Arial"/>
        </w:rPr>
        <w:t>, (specifically</w:t>
      </w:r>
      <w:r w:rsidR="00724090" w:rsidRPr="000C60E1">
        <w:rPr>
          <w:rFonts w:cs="Arial"/>
        </w:rPr>
        <w:t xml:space="preserve">, </w:t>
      </w:r>
      <w:r w:rsidRPr="000C60E1">
        <w:rPr>
          <w:rFonts w:cs="Arial"/>
        </w:rPr>
        <w:t xml:space="preserve">the final certification statement listed in </w:t>
      </w:r>
      <w:r w:rsidR="00724090" w:rsidRPr="000C60E1">
        <w:rPr>
          <w:rFonts w:cs="Arial"/>
        </w:rPr>
        <w:t xml:space="preserve">subsection 5 (3) of </w:t>
      </w:r>
      <w:r w:rsidRPr="000C60E1">
        <w:rPr>
          <w:rFonts w:cs="Arial"/>
        </w:rPr>
        <w:t>Schedule C, regarding potential for off-site migration).</w:t>
      </w:r>
    </w:p>
    <w:p w14:paraId="26AE7278" w14:textId="4159F666" w:rsidR="00B736F9" w:rsidRPr="000C60E1" w:rsidRDefault="00B736F9" w:rsidP="00840964">
      <w:pPr>
        <w:rPr>
          <w:rFonts w:cs="Arial"/>
        </w:rPr>
      </w:pPr>
      <w:r w:rsidRPr="000C60E1">
        <w:rPr>
          <w:rFonts w:cs="Arial"/>
        </w:rPr>
        <w:lastRenderedPageBreak/>
        <w:t xml:space="preserve">As is the case for HHRA, for a given </w:t>
      </w:r>
      <w:smartTag w:uri="urn:schemas-microsoft-com:office:smarttags" w:element="stockticker">
        <w:r w:rsidRPr="000C60E1">
          <w:rPr>
            <w:rFonts w:cs="Arial"/>
          </w:rPr>
          <w:t>COC</w:t>
        </w:r>
      </w:smartTag>
      <w:r w:rsidRPr="000C60E1">
        <w:rPr>
          <w:rFonts w:cs="Arial"/>
        </w:rPr>
        <w:t xml:space="preserve">, the outcome from any off-site exceedance of the applicable full depth site condition standards resulting from the property will be determined by the </w:t>
      </w:r>
      <w:r w:rsidR="00657FDB" w:rsidRPr="000C60E1">
        <w:rPr>
          <w:rFonts w:cs="Arial"/>
        </w:rPr>
        <w:t>M</w:t>
      </w:r>
      <w:r w:rsidR="00683E92" w:rsidRPr="000C60E1">
        <w:rPr>
          <w:rFonts w:cs="Arial"/>
        </w:rPr>
        <w:t>inistry</w:t>
      </w:r>
      <w:r w:rsidRPr="000C60E1">
        <w:rPr>
          <w:rFonts w:cs="Arial"/>
        </w:rPr>
        <w:t xml:space="preserve"> District Office, which will prioritize any action that may be warranted on a specific </w:t>
      </w:r>
      <w:r w:rsidRPr="002A75F2">
        <w:rPr>
          <w:rFonts w:cs="Arial"/>
        </w:rPr>
        <w:t>property</w:t>
      </w:r>
      <w:r w:rsidR="00574CB8" w:rsidRPr="002A75F2">
        <w:rPr>
          <w:rFonts w:cs="Arial"/>
        </w:rPr>
        <w:t xml:space="preserve"> on a case by case basis</w:t>
      </w:r>
      <w:r w:rsidRPr="002A75F2">
        <w:rPr>
          <w:rFonts w:cs="Arial"/>
        </w:rPr>
        <w:t>.</w:t>
      </w:r>
    </w:p>
    <w:p w14:paraId="0D6A3E2A" w14:textId="2675A06F" w:rsidR="00B736F9" w:rsidRPr="000C60E1" w:rsidRDefault="00B736F9" w:rsidP="00DE496B">
      <w:pPr>
        <w:pStyle w:val="Heading3"/>
        <w:rPr>
          <w:rFonts w:cs="Arial"/>
        </w:rPr>
      </w:pPr>
      <w:bookmarkStart w:id="315" w:name="_Toc91393585"/>
      <w:bookmarkStart w:id="316" w:name="_Toc112727448"/>
      <w:bookmarkStart w:id="317" w:name="_Toc41905724"/>
      <w:r w:rsidRPr="000C60E1">
        <w:rPr>
          <w:rFonts w:cs="Arial"/>
        </w:rPr>
        <w:t>Discussion of Uncertainty</w:t>
      </w:r>
      <w:bookmarkEnd w:id="315"/>
      <w:bookmarkEnd w:id="316"/>
      <w:bookmarkEnd w:id="317"/>
    </w:p>
    <w:p w14:paraId="3FDF7932" w14:textId="514D6C77" w:rsidR="00D93112" w:rsidRPr="000C60E1" w:rsidRDefault="00DD12C5" w:rsidP="00D93112">
      <w:pPr>
        <w:rPr>
          <w:rFonts w:cs="Arial"/>
        </w:rPr>
      </w:pPr>
      <w:r w:rsidRPr="000C60E1">
        <w:rPr>
          <w:rFonts w:cs="Arial"/>
        </w:rPr>
        <w:t xml:space="preserve">There are areas of uncertainty in both hazard and exposure assessment. </w:t>
      </w:r>
      <w:r w:rsidR="00B736F9" w:rsidRPr="000C60E1">
        <w:rPr>
          <w:rFonts w:cs="Arial"/>
        </w:rPr>
        <w:t>When conducting ERAs, it is often necessary to utilize results from dose-response studies using test species as surrogates for VECs selected for the RA property. Data in the literature may also be limited or incomplete such that it is necessary to extrapolate data for one endpoint to another (</w:t>
      </w:r>
      <w:r w:rsidR="008A792B" w:rsidRPr="000C60E1">
        <w:rPr>
          <w:rFonts w:cs="Arial"/>
        </w:rPr>
        <w:t>e.g.</w:t>
      </w:r>
      <w:r w:rsidR="00B736F9" w:rsidRPr="000C60E1">
        <w:rPr>
          <w:rFonts w:cs="Arial"/>
        </w:rPr>
        <w:t xml:space="preserve"> estimating a Lowest Observed Adverse Effects Level from LD50 data). These extrapolations add uncertainty to both the toxicity and exposure assessment.</w:t>
      </w:r>
    </w:p>
    <w:p w14:paraId="7B3945E2" w14:textId="18E53E7C" w:rsidR="00D93112" w:rsidRPr="000C60E1" w:rsidRDefault="00D93112" w:rsidP="00D93112">
      <w:pPr>
        <w:rPr>
          <w:rFonts w:cs="Arial"/>
        </w:rPr>
      </w:pPr>
      <w:r w:rsidRPr="000C60E1">
        <w:rPr>
          <w:rFonts w:cs="Arial"/>
        </w:rPr>
        <w:t xml:space="preserve">Uncertainty related to the exposure assessment also includes the accuracy of predicted contaminant concentrations in environmental media based on the availability of measured, </w:t>
      </w:r>
      <w:r w:rsidRPr="002A75F2">
        <w:rPr>
          <w:rFonts w:cs="Arial"/>
        </w:rPr>
        <w:t>site</w:t>
      </w:r>
      <w:r w:rsidR="00E07B06" w:rsidRPr="002A75F2">
        <w:rPr>
          <w:rFonts w:cs="Arial"/>
        </w:rPr>
        <w:t>-</w:t>
      </w:r>
      <w:r w:rsidRPr="002A75F2">
        <w:rPr>
          <w:rFonts w:cs="Arial"/>
        </w:rPr>
        <w:t>specific</w:t>
      </w:r>
      <w:r w:rsidRPr="000C60E1">
        <w:rPr>
          <w:rFonts w:cs="Arial"/>
        </w:rPr>
        <w:t xml:space="preserve"> data and the ability to predict VEC exposure to the contaminated media. The combined effect of uncertainty on the conservatism of the </w:t>
      </w:r>
      <w:smartTag w:uri="urn:schemas-microsoft-com:office:smarttags" w:element="stockticker">
        <w:r w:rsidRPr="000C60E1">
          <w:rPr>
            <w:rFonts w:cs="Arial"/>
          </w:rPr>
          <w:t>TRV</w:t>
        </w:r>
      </w:smartTag>
      <w:r w:rsidRPr="000C60E1">
        <w:rPr>
          <w:rFonts w:cs="Arial"/>
        </w:rPr>
        <w:t xml:space="preserve"> and the estimated exposure should be discussed in terms of the significance of identified risks, the possibility of a significant risk to go undetected and whether the risk should be managed in the absence of reliable data.</w:t>
      </w:r>
    </w:p>
    <w:p w14:paraId="5F3ADD52" w14:textId="77777777" w:rsidR="00B736F9" w:rsidRPr="000C60E1" w:rsidRDefault="00B736F9" w:rsidP="00840964">
      <w:pPr>
        <w:rPr>
          <w:rFonts w:cs="Arial"/>
        </w:rPr>
      </w:pPr>
      <w:r w:rsidRPr="000C60E1">
        <w:rPr>
          <w:rFonts w:cs="Arial"/>
        </w:rPr>
        <w:t>Uncertainty in the ERA process should be quantified where appropriate and discussed explicitly, including the following:</w:t>
      </w:r>
    </w:p>
    <w:p w14:paraId="7049741E" w14:textId="77777777" w:rsidR="00B736F9" w:rsidRPr="000C60E1" w:rsidRDefault="00B736F9" w:rsidP="000E72E5">
      <w:pPr>
        <w:pStyle w:val="ListBullet2"/>
        <w:rPr>
          <w:rFonts w:cs="Arial"/>
        </w:rPr>
      </w:pPr>
      <w:r w:rsidRPr="000C60E1">
        <w:rPr>
          <w:rFonts w:cs="Arial"/>
        </w:rPr>
        <w:t>Description of the risks in terms of magnitudes</w:t>
      </w:r>
      <w:r w:rsidR="00DD12C5" w:rsidRPr="000C60E1">
        <w:rPr>
          <w:rFonts w:cs="Arial"/>
        </w:rPr>
        <w:t xml:space="preserve"> and</w:t>
      </w:r>
      <w:r w:rsidRPr="000C60E1">
        <w:rPr>
          <w:rFonts w:cs="Arial"/>
        </w:rPr>
        <w:t xml:space="preserve"> types </w:t>
      </w:r>
      <w:r w:rsidR="00DD12C5" w:rsidRPr="000C60E1">
        <w:rPr>
          <w:rFonts w:cs="Arial"/>
        </w:rPr>
        <w:t xml:space="preserve">of </w:t>
      </w:r>
      <w:r w:rsidRPr="000C60E1">
        <w:rPr>
          <w:rFonts w:cs="Arial"/>
        </w:rPr>
        <w:t>uncertainties involved,</w:t>
      </w:r>
    </w:p>
    <w:p w14:paraId="4CF8A13A" w14:textId="77777777" w:rsidR="00B736F9" w:rsidRPr="000C60E1" w:rsidRDefault="00B736F9" w:rsidP="000E72E5">
      <w:pPr>
        <w:pStyle w:val="ListBullet2"/>
        <w:rPr>
          <w:rFonts w:cs="Arial"/>
        </w:rPr>
      </w:pPr>
      <w:r w:rsidRPr="000C60E1">
        <w:rPr>
          <w:rFonts w:cs="Arial"/>
        </w:rPr>
        <w:t>Interpretation of the significance on the overall assessment of risk, and</w:t>
      </w:r>
    </w:p>
    <w:p w14:paraId="794E117F" w14:textId="77777777" w:rsidR="00B736F9" w:rsidRPr="000C60E1" w:rsidRDefault="00B736F9" w:rsidP="000E72E5">
      <w:pPr>
        <w:pStyle w:val="ListBullet2"/>
        <w:rPr>
          <w:rFonts w:cs="Arial"/>
        </w:rPr>
      </w:pPr>
      <w:r w:rsidRPr="000C60E1">
        <w:rPr>
          <w:rFonts w:cs="Arial"/>
        </w:rPr>
        <w:t xml:space="preserve">Factoring of information on the uncertainty in risk estimates, be it overestimation or underestimation, into the risk management decision in designing a suitable risk </w:t>
      </w:r>
      <w:r w:rsidR="00DD12C5" w:rsidRPr="000C60E1">
        <w:rPr>
          <w:rFonts w:cs="Arial"/>
        </w:rPr>
        <w:t>reduction strategy.</w:t>
      </w:r>
    </w:p>
    <w:p w14:paraId="430236C3" w14:textId="29B4DC8A" w:rsidR="00816168" w:rsidRPr="000C60E1" w:rsidRDefault="00867658" w:rsidP="00840964">
      <w:pPr>
        <w:rPr>
          <w:rFonts w:cs="Arial"/>
        </w:rPr>
      </w:pPr>
      <w:r w:rsidRPr="000C60E1">
        <w:rPr>
          <w:rFonts w:cs="Arial"/>
        </w:rPr>
        <w:t xml:space="preserve">Minimum requirements for the discussion of uncertainty in risk characterization are provided </w:t>
      </w:r>
      <w:r w:rsidR="00724090" w:rsidRPr="000C60E1">
        <w:rPr>
          <w:rFonts w:cs="Arial"/>
        </w:rPr>
        <w:t>below in Table 1 of Schedule C of t</w:t>
      </w:r>
      <w:r w:rsidRPr="000C60E1">
        <w:rPr>
          <w:rFonts w:cs="Arial"/>
        </w:rPr>
        <w:t xml:space="preserve">he </w:t>
      </w:r>
      <w:r w:rsidR="00855A6A" w:rsidRPr="000C60E1">
        <w:rPr>
          <w:rFonts w:cs="Arial"/>
        </w:rPr>
        <w:t>R</w:t>
      </w:r>
      <w:r w:rsidRPr="000C60E1">
        <w:rPr>
          <w:rFonts w:cs="Arial"/>
        </w:rPr>
        <w:t>egulation and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276BB8" w:rsidRPr="000C0EF2" w14:paraId="4A8DE082" w14:textId="77777777" w:rsidTr="005B40DA">
        <w:trPr>
          <w:trHeight w:val="20"/>
          <w:tblHeader/>
        </w:trPr>
        <w:tc>
          <w:tcPr>
            <w:tcW w:w="2468" w:type="dxa"/>
          </w:tcPr>
          <w:p w14:paraId="46FBB9F8" w14:textId="77777777" w:rsidR="00276BB8" w:rsidRPr="000C0EF2" w:rsidRDefault="00276BB8" w:rsidP="000C0EF2">
            <w:pPr>
              <w:pStyle w:val="table-e"/>
              <w:spacing w:line="240" w:lineRule="auto"/>
              <w:rPr>
                <w:b/>
                <w:sz w:val="24"/>
              </w:rPr>
            </w:pPr>
            <w:r w:rsidRPr="000C0EF2">
              <w:rPr>
                <w:b/>
                <w:sz w:val="24"/>
              </w:rPr>
              <w:t>Column 1</w:t>
            </w:r>
            <w:r w:rsidRPr="000C0EF2">
              <w:rPr>
                <w:b/>
                <w:sz w:val="24"/>
              </w:rPr>
              <w:br/>
              <w:t>Report Section</w:t>
            </w:r>
          </w:p>
        </w:tc>
        <w:tc>
          <w:tcPr>
            <w:tcW w:w="2014" w:type="dxa"/>
          </w:tcPr>
          <w:p w14:paraId="421A44D9" w14:textId="77777777" w:rsidR="00276BB8" w:rsidRPr="000C0EF2" w:rsidRDefault="00276BB8" w:rsidP="000C0EF2">
            <w:pPr>
              <w:pStyle w:val="table-e"/>
              <w:spacing w:line="240" w:lineRule="auto"/>
              <w:rPr>
                <w:b/>
                <w:sz w:val="24"/>
              </w:rPr>
            </w:pPr>
            <w:r w:rsidRPr="000C0EF2">
              <w:rPr>
                <w:b/>
                <w:sz w:val="24"/>
              </w:rPr>
              <w:t>Column 2</w:t>
            </w:r>
            <w:r w:rsidRPr="000C0EF2">
              <w:rPr>
                <w:b/>
                <w:sz w:val="24"/>
              </w:rPr>
              <w:br/>
              <w:t>Heading</w:t>
            </w:r>
          </w:p>
        </w:tc>
        <w:tc>
          <w:tcPr>
            <w:tcW w:w="1839" w:type="dxa"/>
          </w:tcPr>
          <w:p w14:paraId="04D005F0" w14:textId="77777777" w:rsidR="00276BB8" w:rsidRPr="000C0EF2" w:rsidRDefault="00276BB8" w:rsidP="000C0EF2">
            <w:pPr>
              <w:pStyle w:val="table-e"/>
              <w:spacing w:line="240" w:lineRule="auto"/>
              <w:rPr>
                <w:b/>
                <w:sz w:val="24"/>
              </w:rPr>
            </w:pPr>
            <w:r w:rsidRPr="000C0EF2">
              <w:rPr>
                <w:b/>
                <w:sz w:val="24"/>
              </w:rPr>
              <w:t>Column 3</w:t>
            </w:r>
            <w:r w:rsidRPr="000C0EF2">
              <w:rPr>
                <w:b/>
                <w:sz w:val="24"/>
              </w:rPr>
              <w:br/>
              <w:t>Sub-Heading</w:t>
            </w:r>
          </w:p>
        </w:tc>
        <w:tc>
          <w:tcPr>
            <w:tcW w:w="3759" w:type="dxa"/>
          </w:tcPr>
          <w:p w14:paraId="3B807824" w14:textId="77777777" w:rsidR="00276BB8" w:rsidRPr="000C0EF2" w:rsidRDefault="00276BB8" w:rsidP="000C0EF2">
            <w:pPr>
              <w:pStyle w:val="table-e"/>
              <w:spacing w:line="240" w:lineRule="auto"/>
              <w:rPr>
                <w:b/>
                <w:sz w:val="24"/>
              </w:rPr>
            </w:pPr>
            <w:r w:rsidRPr="000C0EF2">
              <w:rPr>
                <w:b/>
                <w:sz w:val="24"/>
              </w:rPr>
              <w:t>Column 4</w:t>
            </w:r>
            <w:r w:rsidRPr="000C0EF2">
              <w:rPr>
                <w:b/>
                <w:sz w:val="24"/>
              </w:rPr>
              <w:br/>
              <w:t>Minimum Requirements</w:t>
            </w:r>
          </w:p>
        </w:tc>
      </w:tr>
      <w:tr w:rsidR="00276BB8" w:rsidRPr="000C0EF2" w14:paraId="7E5BF496" w14:textId="77777777" w:rsidTr="005B40DA">
        <w:trPr>
          <w:trHeight w:val="20"/>
        </w:trPr>
        <w:tc>
          <w:tcPr>
            <w:tcW w:w="2468" w:type="dxa"/>
          </w:tcPr>
          <w:p w14:paraId="3FEAB67D" w14:textId="77777777" w:rsidR="00276BB8" w:rsidRPr="000C0EF2" w:rsidRDefault="00276BB8" w:rsidP="000C0EF2">
            <w:pPr>
              <w:pStyle w:val="table-e"/>
              <w:spacing w:line="240" w:lineRule="auto"/>
              <w:rPr>
                <w:sz w:val="24"/>
              </w:rPr>
            </w:pPr>
            <w:r w:rsidRPr="000C0EF2">
              <w:rPr>
                <w:sz w:val="24"/>
              </w:rPr>
              <w:t>5.  Ecological Risk Assessment (ERA)</w:t>
            </w:r>
          </w:p>
        </w:tc>
        <w:tc>
          <w:tcPr>
            <w:tcW w:w="2014" w:type="dxa"/>
          </w:tcPr>
          <w:p w14:paraId="2A67BC64" w14:textId="77777777" w:rsidR="00276BB8" w:rsidRPr="000C0EF2" w:rsidRDefault="00276BB8" w:rsidP="000C0EF2">
            <w:pPr>
              <w:pStyle w:val="table-e"/>
              <w:spacing w:line="240" w:lineRule="auto"/>
              <w:rPr>
                <w:sz w:val="24"/>
              </w:rPr>
            </w:pPr>
            <w:r w:rsidRPr="000C0EF2">
              <w:rPr>
                <w:sz w:val="24"/>
              </w:rPr>
              <w:t>(e)  Risk Characterization</w:t>
            </w:r>
          </w:p>
        </w:tc>
        <w:tc>
          <w:tcPr>
            <w:tcW w:w="1839" w:type="dxa"/>
          </w:tcPr>
          <w:p w14:paraId="68B32024" w14:textId="77777777" w:rsidR="00276BB8" w:rsidRPr="000C0EF2" w:rsidRDefault="00276BB8" w:rsidP="000C0EF2">
            <w:pPr>
              <w:pStyle w:val="table-e"/>
              <w:spacing w:line="240" w:lineRule="auto"/>
              <w:rPr>
                <w:sz w:val="24"/>
              </w:rPr>
            </w:pPr>
            <w:r w:rsidRPr="000C0EF2">
              <w:rPr>
                <w:sz w:val="24"/>
              </w:rPr>
              <w:t>(vi)  Discussion of Uncertainty</w:t>
            </w:r>
          </w:p>
        </w:tc>
        <w:tc>
          <w:tcPr>
            <w:tcW w:w="3759" w:type="dxa"/>
          </w:tcPr>
          <w:p w14:paraId="3AE500C9" w14:textId="77777777" w:rsidR="00276BB8" w:rsidRPr="000C0EF2" w:rsidRDefault="00276BB8" w:rsidP="000C0EF2">
            <w:pPr>
              <w:pStyle w:val="table-e"/>
              <w:spacing w:line="240" w:lineRule="auto"/>
              <w:rPr>
                <w:sz w:val="24"/>
              </w:rPr>
            </w:pPr>
            <w:r w:rsidRPr="000C0EF2">
              <w:rPr>
                <w:sz w:val="24"/>
              </w:rPr>
              <w:t>Having regard to the discussions of uncertainty under headings “Exposure Assessment” and “Hazard Assessment”, state how such uncertainty could affect the interpretation of risk advanced in this report section and the need to manage such risks.</w:t>
            </w:r>
          </w:p>
        </w:tc>
      </w:tr>
    </w:tbl>
    <w:p w14:paraId="28C308F8" w14:textId="0116D551" w:rsidR="00B736F9" w:rsidRPr="000C60E1" w:rsidRDefault="00AF2B7C" w:rsidP="00AF2B7C">
      <w:pPr>
        <w:pStyle w:val="Heading1"/>
      </w:pPr>
      <w:bookmarkStart w:id="318" w:name="_Toc41905725"/>
      <w:bookmarkStart w:id="319" w:name="_Toc91393586"/>
      <w:bookmarkStart w:id="320" w:name="_Toc112727449"/>
      <w:r w:rsidRPr="000C60E1">
        <w:lastRenderedPageBreak/>
        <w:t>Risk Management</w:t>
      </w:r>
      <w:r w:rsidR="002B4357" w:rsidRPr="000C60E1">
        <w:t xml:space="preserve"> Plan</w:t>
      </w:r>
      <w:bookmarkEnd w:id="318"/>
      <w:r w:rsidR="00B736F9" w:rsidRPr="000C60E1">
        <w:t xml:space="preserve"> </w:t>
      </w:r>
      <w:bookmarkEnd w:id="319"/>
      <w:bookmarkEnd w:id="320"/>
    </w:p>
    <w:p w14:paraId="5D3BC9EA" w14:textId="57530619" w:rsidR="00A60489" w:rsidRPr="002A75F2" w:rsidRDefault="00B736F9" w:rsidP="00840964">
      <w:pPr>
        <w:rPr>
          <w:rFonts w:cs="Arial"/>
        </w:rPr>
      </w:pPr>
      <w:r w:rsidRPr="000C60E1">
        <w:rPr>
          <w:rFonts w:cs="Arial"/>
        </w:rPr>
        <w:t xml:space="preserve">In the context of risk assessment conducted under Part XV.1 of the EPA, risk management refers to the development and implementation of </w:t>
      </w:r>
      <w:r w:rsidR="00CF7FD4" w:rsidRPr="000C60E1">
        <w:rPr>
          <w:rFonts w:cs="Arial"/>
        </w:rPr>
        <w:t>one or more</w:t>
      </w:r>
      <w:r w:rsidRPr="000C60E1">
        <w:rPr>
          <w:rFonts w:cs="Arial"/>
        </w:rPr>
        <w:t xml:space="preserve"> risk management measure</w:t>
      </w:r>
      <w:r w:rsidR="00CF7FD4" w:rsidRPr="000C60E1">
        <w:rPr>
          <w:rFonts w:cs="Arial"/>
        </w:rPr>
        <w:t>s</w:t>
      </w:r>
      <w:r w:rsidRPr="000C60E1">
        <w:rPr>
          <w:rFonts w:cs="Arial"/>
        </w:rPr>
        <w:t xml:space="preserve"> </w:t>
      </w:r>
      <w:r w:rsidR="00452BE0" w:rsidRPr="000C60E1">
        <w:rPr>
          <w:rFonts w:cs="Arial"/>
        </w:rPr>
        <w:t xml:space="preserve">which </w:t>
      </w:r>
      <w:r w:rsidRPr="000C60E1">
        <w:rPr>
          <w:rFonts w:cs="Arial"/>
        </w:rPr>
        <w:t>control</w:t>
      </w:r>
      <w:r w:rsidR="00452BE0" w:rsidRPr="000C60E1">
        <w:rPr>
          <w:rFonts w:cs="Arial"/>
        </w:rPr>
        <w:t xml:space="preserve"> or</w:t>
      </w:r>
      <w:r w:rsidRPr="000C60E1">
        <w:rPr>
          <w:rFonts w:cs="Arial"/>
        </w:rPr>
        <w:t xml:space="preserve"> </w:t>
      </w:r>
      <w:r w:rsidRPr="002A75F2">
        <w:rPr>
          <w:rFonts w:cs="Arial"/>
        </w:rPr>
        <w:t xml:space="preserve">mitigate </w:t>
      </w:r>
      <w:r w:rsidR="00A60489" w:rsidRPr="002A75F2">
        <w:rPr>
          <w:rFonts w:cs="Arial"/>
        </w:rPr>
        <w:t xml:space="preserve">the level of </w:t>
      </w:r>
      <w:r w:rsidRPr="002A75F2">
        <w:rPr>
          <w:rFonts w:cs="Arial"/>
        </w:rPr>
        <w:t>risk to human health and the environment</w:t>
      </w:r>
      <w:r w:rsidR="00452BE0" w:rsidRPr="002A75F2">
        <w:rPr>
          <w:rFonts w:cs="Arial"/>
        </w:rPr>
        <w:t>.</w:t>
      </w:r>
      <w:r w:rsidRPr="002A75F2">
        <w:rPr>
          <w:rFonts w:cs="Arial"/>
        </w:rPr>
        <w:t xml:space="preserve"> </w:t>
      </w:r>
      <w:r w:rsidR="00452BE0" w:rsidRPr="002A75F2">
        <w:rPr>
          <w:rFonts w:cs="Arial"/>
        </w:rPr>
        <w:t>The risk to be managed is that</w:t>
      </w:r>
      <w:r w:rsidRPr="002A75F2">
        <w:rPr>
          <w:rFonts w:cs="Arial"/>
        </w:rPr>
        <w:t xml:space="preserve"> determined by other components of the risk assessment</w:t>
      </w:r>
      <w:r w:rsidR="00452BE0" w:rsidRPr="002A75F2">
        <w:rPr>
          <w:rFonts w:cs="Arial"/>
        </w:rPr>
        <w:t xml:space="preserve"> associated with</w:t>
      </w:r>
      <w:r w:rsidRPr="002A75F2">
        <w:rPr>
          <w:rFonts w:cs="Arial"/>
        </w:rPr>
        <w:t xml:space="preserve"> </w:t>
      </w:r>
      <w:r w:rsidR="0024548C" w:rsidRPr="002A75F2">
        <w:rPr>
          <w:rFonts w:cs="Arial"/>
        </w:rPr>
        <w:t>contaminants</w:t>
      </w:r>
      <w:r w:rsidRPr="002A75F2">
        <w:rPr>
          <w:rFonts w:cs="Arial"/>
        </w:rPr>
        <w:t xml:space="preserve"> proposed to be left on a property after a</w:t>
      </w:r>
      <w:r w:rsidR="004D6AA5" w:rsidRPr="002A75F2">
        <w:rPr>
          <w:rFonts w:cs="Arial"/>
        </w:rPr>
        <w:t xml:space="preserve">n RSC </w:t>
      </w:r>
      <w:r w:rsidRPr="002A75F2">
        <w:rPr>
          <w:rFonts w:cs="Arial"/>
        </w:rPr>
        <w:t xml:space="preserve">has been submitted. </w:t>
      </w:r>
      <w:r w:rsidR="00452BE0" w:rsidRPr="002A75F2">
        <w:rPr>
          <w:rFonts w:cs="Arial"/>
        </w:rPr>
        <w:t>Risk management involves the integration of the results from HHRA and ERA, including the uncertainty</w:t>
      </w:r>
      <w:r w:rsidR="0024548C" w:rsidRPr="002A75F2">
        <w:rPr>
          <w:rFonts w:cs="Arial"/>
        </w:rPr>
        <w:t xml:space="preserve"> associated with those results</w:t>
      </w:r>
      <w:r w:rsidR="00452BE0" w:rsidRPr="002A75F2">
        <w:rPr>
          <w:rFonts w:cs="Arial"/>
        </w:rPr>
        <w:t>, with information about technical resources, social/economic factors and control options in order to decide how to manage the redevelopment of the property. This management decision may also include other factors and community input in some cases.</w:t>
      </w:r>
    </w:p>
    <w:p w14:paraId="59BDFC35" w14:textId="761DA4F7" w:rsidR="00A60489" w:rsidRPr="002A75F2" w:rsidRDefault="00B736F9" w:rsidP="00A60489">
      <w:pPr>
        <w:rPr>
          <w:rFonts w:cs="Arial"/>
        </w:rPr>
      </w:pPr>
      <w:r w:rsidRPr="002A75F2">
        <w:rPr>
          <w:rFonts w:cs="Arial"/>
        </w:rPr>
        <w:t xml:space="preserve">The Regulation </w:t>
      </w:r>
      <w:r w:rsidR="00292F13" w:rsidRPr="002A75F2">
        <w:rPr>
          <w:rFonts w:cs="Arial"/>
        </w:rPr>
        <w:t>provides for</w:t>
      </w:r>
      <w:r w:rsidRPr="002A75F2">
        <w:rPr>
          <w:rFonts w:cs="Arial"/>
        </w:rPr>
        <w:t xml:space="preserve"> </w:t>
      </w:r>
      <w:r w:rsidR="00452BE0" w:rsidRPr="002A75F2">
        <w:rPr>
          <w:rFonts w:cs="Arial"/>
        </w:rPr>
        <w:t xml:space="preserve">the </w:t>
      </w:r>
      <w:r w:rsidR="000767FF" w:rsidRPr="002A75F2">
        <w:rPr>
          <w:rFonts w:cs="Arial"/>
        </w:rPr>
        <w:t>QP</w:t>
      </w:r>
      <w:r w:rsidR="000767FF" w:rsidRPr="002A75F2">
        <w:rPr>
          <w:rFonts w:cs="Arial"/>
          <w:vertAlign w:val="subscript"/>
        </w:rPr>
        <w:t>RA</w:t>
      </w:r>
      <w:r w:rsidRPr="002A75F2">
        <w:rPr>
          <w:rFonts w:cs="Arial"/>
        </w:rPr>
        <w:t xml:space="preserve"> </w:t>
      </w:r>
      <w:r w:rsidR="00452BE0" w:rsidRPr="002A75F2">
        <w:rPr>
          <w:rFonts w:cs="Arial"/>
        </w:rPr>
        <w:t xml:space="preserve">to make </w:t>
      </w:r>
      <w:r w:rsidRPr="002A75F2">
        <w:rPr>
          <w:rFonts w:cs="Arial"/>
        </w:rPr>
        <w:t>recommendations regarding the need for risk management</w:t>
      </w:r>
      <w:r w:rsidR="00355D14" w:rsidRPr="002A75F2">
        <w:rPr>
          <w:rFonts w:cs="Arial"/>
        </w:rPr>
        <w:t xml:space="preserve"> to reduce ecological </w:t>
      </w:r>
      <w:r w:rsidR="00765880" w:rsidRPr="002A75F2">
        <w:rPr>
          <w:rFonts w:cs="Arial"/>
        </w:rPr>
        <w:t>and/</w:t>
      </w:r>
      <w:r w:rsidR="00355D14" w:rsidRPr="002A75F2">
        <w:rPr>
          <w:rFonts w:cs="Arial"/>
        </w:rPr>
        <w:t>or human health risk to acceptable levels</w:t>
      </w:r>
      <w:r w:rsidRPr="002A75F2">
        <w:rPr>
          <w:rFonts w:cs="Arial"/>
        </w:rPr>
        <w:t xml:space="preserve">. </w:t>
      </w:r>
      <w:r w:rsidR="00A60489" w:rsidRPr="002A75F2">
        <w:rPr>
          <w:rFonts w:cs="Arial"/>
        </w:rPr>
        <w:t>Risk management measures</w:t>
      </w:r>
      <w:r w:rsidR="00355D14" w:rsidRPr="002A75F2">
        <w:rPr>
          <w:rFonts w:cs="Arial"/>
        </w:rPr>
        <w:t xml:space="preserve"> may</w:t>
      </w:r>
      <w:r w:rsidR="00A60489" w:rsidRPr="002A75F2">
        <w:rPr>
          <w:rFonts w:cs="Arial"/>
        </w:rPr>
        <w:t xml:space="preserve"> include mechanical measures or techniques for reducing exposure, or eliminating or blocking exposure pathways. Examples of such methods include, but are not limited to:</w:t>
      </w:r>
    </w:p>
    <w:p w14:paraId="6881742A" w14:textId="77777777" w:rsidR="00A60489" w:rsidRPr="002A75F2" w:rsidRDefault="00A60489" w:rsidP="000E72E5">
      <w:pPr>
        <w:pStyle w:val="ListBullet2"/>
        <w:rPr>
          <w:rFonts w:cs="Arial"/>
        </w:rPr>
      </w:pPr>
      <w:r w:rsidRPr="002A75F2">
        <w:rPr>
          <w:rFonts w:cs="Arial"/>
        </w:rPr>
        <w:t>Utilizing a layer of clean soil above otherwise unacceptably contaminated materials to reduce exposure</w:t>
      </w:r>
      <w:r w:rsidR="00285F43" w:rsidRPr="002A75F2">
        <w:rPr>
          <w:rFonts w:cs="Arial"/>
        </w:rPr>
        <w:t xml:space="preserve"> (e.g. maintaining a stratified approach)</w:t>
      </w:r>
      <w:r w:rsidRPr="002A75F2">
        <w:rPr>
          <w:rFonts w:cs="Arial"/>
        </w:rPr>
        <w:t>,</w:t>
      </w:r>
    </w:p>
    <w:p w14:paraId="49525336" w14:textId="77777777" w:rsidR="00BB5BBF" w:rsidRPr="002A75F2" w:rsidRDefault="00BB5BBF" w:rsidP="00BB5BBF">
      <w:pPr>
        <w:pStyle w:val="ListBullet2"/>
        <w:rPr>
          <w:rFonts w:cs="Arial"/>
        </w:rPr>
      </w:pPr>
      <w:r w:rsidRPr="002A75F2">
        <w:rPr>
          <w:rFonts w:cs="Arial"/>
        </w:rPr>
        <w:t>The placement of hard caps, soft caps or any other surface barriers to reduce exposure to contaminants,</w:t>
      </w:r>
    </w:p>
    <w:p w14:paraId="764F244B" w14:textId="77777777" w:rsidR="00285F43" w:rsidRPr="002A75F2" w:rsidRDefault="00285F43" w:rsidP="00BB5BBF">
      <w:pPr>
        <w:pStyle w:val="ListBullet2"/>
        <w:rPr>
          <w:rFonts w:cs="Arial"/>
        </w:rPr>
      </w:pPr>
      <w:r w:rsidRPr="002A75F2">
        <w:rPr>
          <w:rFonts w:cs="Arial"/>
        </w:rPr>
        <w:t xml:space="preserve">The need for </w:t>
      </w:r>
      <w:r w:rsidR="004D4412" w:rsidRPr="002A75F2">
        <w:rPr>
          <w:rFonts w:cs="Arial"/>
        </w:rPr>
        <w:t>building</w:t>
      </w:r>
      <w:r w:rsidR="00C21D7E" w:rsidRPr="002A75F2">
        <w:rPr>
          <w:rFonts w:cs="Arial"/>
        </w:rPr>
        <w:t>(s)</w:t>
      </w:r>
      <w:r w:rsidR="004D4412" w:rsidRPr="002A75F2">
        <w:rPr>
          <w:rFonts w:cs="Arial"/>
        </w:rPr>
        <w:t xml:space="preserve"> to incorporate </w:t>
      </w:r>
      <w:proofErr w:type="spellStart"/>
      <w:r w:rsidRPr="002A75F2">
        <w:rPr>
          <w:rFonts w:cs="Arial"/>
        </w:rPr>
        <w:t>vapour</w:t>
      </w:r>
      <w:proofErr w:type="spellEnd"/>
      <w:r w:rsidRPr="002A75F2">
        <w:rPr>
          <w:rFonts w:cs="Arial"/>
        </w:rPr>
        <w:t xml:space="preserve"> mitigation measures (e.g. passive/active sub-slab venting</w:t>
      </w:r>
      <w:r w:rsidR="00CD69A8" w:rsidRPr="002A75F2">
        <w:rPr>
          <w:rFonts w:cs="Arial"/>
        </w:rPr>
        <w:t xml:space="preserve"> system</w:t>
      </w:r>
      <w:r w:rsidR="004D4412" w:rsidRPr="002A75F2">
        <w:rPr>
          <w:rFonts w:cs="Arial"/>
        </w:rPr>
        <w:t>s</w:t>
      </w:r>
      <w:r w:rsidRPr="002A75F2">
        <w:rPr>
          <w:rFonts w:cs="Arial"/>
        </w:rPr>
        <w:t>)</w:t>
      </w:r>
      <w:r w:rsidR="00CD69A8" w:rsidRPr="002A75F2">
        <w:rPr>
          <w:rFonts w:cs="Arial"/>
        </w:rPr>
        <w:t>,</w:t>
      </w:r>
    </w:p>
    <w:p w14:paraId="55303DBE" w14:textId="77777777" w:rsidR="00285F43" w:rsidRPr="002A75F2" w:rsidRDefault="00285F43" w:rsidP="00BB5BBF">
      <w:pPr>
        <w:pStyle w:val="ListBullet2"/>
        <w:rPr>
          <w:rFonts w:cs="Arial"/>
        </w:rPr>
      </w:pPr>
      <w:r w:rsidRPr="002A75F2">
        <w:rPr>
          <w:rFonts w:cs="Arial"/>
        </w:rPr>
        <w:t>The implementation of a Health and Safety Plan when undertaking specific activities (e.g. trenching),</w:t>
      </w:r>
    </w:p>
    <w:p w14:paraId="36BD7C76" w14:textId="77777777" w:rsidR="00BB5BBF" w:rsidRPr="002A75F2" w:rsidRDefault="00A60489" w:rsidP="00BB5BBF">
      <w:pPr>
        <w:pStyle w:val="ListBullet2"/>
        <w:rPr>
          <w:rFonts w:cs="Arial"/>
        </w:rPr>
      </w:pPr>
      <w:r w:rsidRPr="002A75F2">
        <w:rPr>
          <w:rFonts w:cs="Arial"/>
        </w:rPr>
        <w:t xml:space="preserve">The need for fencing to prevent access to contaminated areas </w:t>
      </w:r>
      <w:r w:rsidR="00285F43" w:rsidRPr="002A75F2">
        <w:rPr>
          <w:rFonts w:cs="Arial"/>
        </w:rPr>
        <w:t>of</w:t>
      </w:r>
      <w:r w:rsidRPr="002A75F2">
        <w:rPr>
          <w:rFonts w:cs="Arial"/>
        </w:rPr>
        <w:t xml:space="preserve"> a</w:t>
      </w:r>
      <w:r w:rsidR="00285F43" w:rsidRPr="002A75F2">
        <w:rPr>
          <w:rFonts w:cs="Arial"/>
        </w:rPr>
        <w:t>n</w:t>
      </w:r>
      <w:r w:rsidRPr="002A75F2">
        <w:rPr>
          <w:rFonts w:cs="Arial"/>
        </w:rPr>
        <w:t xml:space="preserve"> </w:t>
      </w:r>
      <w:r w:rsidR="00285F43" w:rsidRPr="002A75F2">
        <w:rPr>
          <w:rFonts w:cs="Arial"/>
        </w:rPr>
        <w:t xml:space="preserve">RA </w:t>
      </w:r>
      <w:r w:rsidRPr="002A75F2">
        <w:rPr>
          <w:rFonts w:cs="Arial"/>
        </w:rPr>
        <w:t>property, and</w:t>
      </w:r>
    </w:p>
    <w:p w14:paraId="1E5C9DED" w14:textId="77777777" w:rsidR="00A60489" w:rsidRPr="002A75F2" w:rsidRDefault="00BB5BBF" w:rsidP="00BB5BBF">
      <w:pPr>
        <w:pStyle w:val="ListBullet2"/>
        <w:rPr>
          <w:rFonts w:cs="Arial"/>
        </w:rPr>
      </w:pPr>
      <w:r w:rsidRPr="002A75F2">
        <w:rPr>
          <w:rFonts w:cs="Arial"/>
        </w:rPr>
        <w:t xml:space="preserve">The need for pump and treat equipment </w:t>
      </w:r>
      <w:r w:rsidR="00285F43" w:rsidRPr="002A75F2">
        <w:rPr>
          <w:rFonts w:cs="Arial"/>
        </w:rPr>
        <w:t xml:space="preserve">and/or groundwater </w:t>
      </w:r>
      <w:r w:rsidR="00EC2DDF" w:rsidRPr="002A75F2">
        <w:rPr>
          <w:rFonts w:cs="Arial"/>
        </w:rPr>
        <w:t>containment</w:t>
      </w:r>
      <w:r w:rsidR="00285F43" w:rsidRPr="002A75F2">
        <w:rPr>
          <w:rFonts w:cs="Arial"/>
        </w:rPr>
        <w:t xml:space="preserve"> barriers </w:t>
      </w:r>
      <w:r w:rsidRPr="002A75F2">
        <w:rPr>
          <w:rFonts w:cs="Arial"/>
        </w:rPr>
        <w:t>to reduce exposure or to prevent movement of contaminants.</w:t>
      </w:r>
    </w:p>
    <w:p w14:paraId="62234584" w14:textId="5B0034F5" w:rsidR="00A60489" w:rsidRPr="002A75F2" w:rsidRDefault="00A60489" w:rsidP="00A60489">
      <w:pPr>
        <w:rPr>
          <w:rFonts w:cs="Arial"/>
        </w:rPr>
      </w:pPr>
      <w:r w:rsidRPr="002A75F2">
        <w:rPr>
          <w:rFonts w:cs="Arial"/>
        </w:rPr>
        <w:t xml:space="preserve">Risk management measures also include administrative controls such as limitations on the use of the property that are outside of the normal restrictions for the type of property use to reduce exposure, eliminate or block exposure pathways due to contamination. Such limitations may </w:t>
      </w:r>
      <w:r w:rsidR="00765880" w:rsidRPr="002A75F2">
        <w:rPr>
          <w:rFonts w:cs="Arial"/>
        </w:rPr>
        <w:t>need to be included in</w:t>
      </w:r>
      <w:r w:rsidR="00B13AA1" w:rsidRPr="002A75F2">
        <w:rPr>
          <w:rFonts w:cs="Arial"/>
        </w:rPr>
        <w:t xml:space="preserve"> the CPU, </w:t>
      </w:r>
      <w:r w:rsidR="00D70EB9">
        <w:rPr>
          <w:rFonts w:cs="Arial"/>
        </w:rPr>
        <w:t xml:space="preserve">and notice of the CPU </w:t>
      </w:r>
      <w:r w:rsidR="00B13AA1" w:rsidRPr="002A75F2">
        <w:rPr>
          <w:rFonts w:cs="Arial"/>
        </w:rPr>
        <w:t>may be</w:t>
      </w:r>
      <w:r w:rsidR="00765880" w:rsidRPr="002A75F2">
        <w:rPr>
          <w:rFonts w:cs="Arial"/>
        </w:rPr>
        <w:t xml:space="preserve"> registered </w:t>
      </w:r>
      <w:r w:rsidRPr="002A75F2">
        <w:rPr>
          <w:rFonts w:cs="Arial"/>
        </w:rPr>
        <w:t>on the title of the property</w:t>
      </w:r>
      <w:r w:rsidR="00B13AA1" w:rsidRPr="002A75F2">
        <w:rPr>
          <w:rFonts w:cs="Arial"/>
        </w:rPr>
        <w:t xml:space="preserve"> through a certificate of requirement</w:t>
      </w:r>
      <w:r w:rsidRPr="002A75F2">
        <w:rPr>
          <w:rFonts w:cs="Arial"/>
        </w:rPr>
        <w:t>. Examples of limitations include, but are not limited to:</w:t>
      </w:r>
    </w:p>
    <w:p w14:paraId="7E2ED089" w14:textId="77777777" w:rsidR="00A60489" w:rsidRPr="002A75F2" w:rsidRDefault="00A60489" w:rsidP="000E72E5">
      <w:pPr>
        <w:pStyle w:val="ListBullet2"/>
        <w:rPr>
          <w:rFonts w:cs="Arial"/>
        </w:rPr>
      </w:pPr>
      <w:r w:rsidRPr="002A75F2">
        <w:rPr>
          <w:rFonts w:cs="Arial"/>
        </w:rPr>
        <w:t xml:space="preserve">Restrictions on the ability of the property to support plants or other forms of life that would be reasonably expected to occur on the type of property use involved, </w:t>
      </w:r>
    </w:p>
    <w:p w14:paraId="65031413" w14:textId="77777777" w:rsidR="004D4412" w:rsidRPr="002A75F2" w:rsidRDefault="004D4412" w:rsidP="000E72E5">
      <w:pPr>
        <w:pStyle w:val="ListBullet2"/>
        <w:rPr>
          <w:rFonts w:cs="Arial"/>
        </w:rPr>
      </w:pPr>
      <w:r w:rsidRPr="002A75F2">
        <w:rPr>
          <w:rFonts w:cs="Arial"/>
        </w:rPr>
        <w:t>Restrictions on specific activities and/or uses (e.g. prohibit community gardening),</w:t>
      </w:r>
    </w:p>
    <w:p w14:paraId="422603EE" w14:textId="77777777" w:rsidR="00A60489" w:rsidRPr="000C60E1" w:rsidRDefault="00A60489" w:rsidP="000E72E5">
      <w:pPr>
        <w:pStyle w:val="ListBullet2"/>
        <w:rPr>
          <w:rFonts w:cs="Arial"/>
        </w:rPr>
      </w:pPr>
      <w:r w:rsidRPr="002A75F2">
        <w:rPr>
          <w:rFonts w:cs="Arial"/>
        </w:rPr>
        <w:t>Restrictions on the use of surface water or groundwater</w:t>
      </w:r>
      <w:r w:rsidRPr="000C60E1">
        <w:rPr>
          <w:rFonts w:cs="Arial"/>
        </w:rPr>
        <w:t xml:space="preserve"> from the property that is more limiting than would normally be expected for that property use</w:t>
      </w:r>
      <w:r w:rsidR="00676DED" w:rsidRPr="000C60E1">
        <w:rPr>
          <w:rFonts w:cs="Arial"/>
        </w:rPr>
        <w:t>, and</w:t>
      </w:r>
    </w:p>
    <w:p w14:paraId="477191EF" w14:textId="702428E3" w:rsidR="00676DED" w:rsidRPr="002A75F2" w:rsidRDefault="00676DED" w:rsidP="000E72E5">
      <w:pPr>
        <w:pStyle w:val="ListBullet2"/>
        <w:rPr>
          <w:rFonts w:cs="Arial"/>
        </w:rPr>
      </w:pPr>
      <w:r w:rsidRPr="002A75F2">
        <w:rPr>
          <w:rFonts w:cs="Arial"/>
        </w:rPr>
        <w:lastRenderedPageBreak/>
        <w:t xml:space="preserve">Restrictions </w:t>
      </w:r>
      <w:r w:rsidR="00BB5BBF" w:rsidRPr="002A75F2">
        <w:rPr>
          <w:rFonts w:cs="Arial"/>
        </w:rPr>
        <w:t>on the types of building (e.g</w:t>
      </w:r>
      <w:r w:rsidR="00285F43" w:rsidRPr="002A75F2">
        <w:rPr>
          <w:rFonts w:cs="Arial"/>
        </w:rPr>
        <w:t>.</w:t>
      </w:r>
      <w:r w:rsidR="00BB5BBF" w:rsidRPr="002A75F2">
        <w:rPr>
          <w:rFonts w:cs="Arial"/>
        </w:rPr>
        <w:t xml:space="preserve"> </w:t>
      </w:r>
      <w:r w:rsidR="00285F43" w:rsidRPr="002A75F2">
        <w:rPr>
          <w:rFonts w:cs="Arial"/>
        </w:rPr>
        <w:t>prohibit</w:t>
      </w:r>
      <w:r w:rsidR="00BB5BBF" w:rsidRPr="002A75F2">
        <w:rPr>
          <w:rFonts w:cs="Arial"/>
        </w:rPr>
        <w:t xml:space="preserve"> basements)</w:t>
      </w:r>
      <w:r w:rsidRPr="002A75F2">
        <w:rPr>
          <w:rFonts w:cs="Arial"/>
        </w:rPr>
        <w:t>.</w:t>
      </w:r>
    </w:p>
    <w:p w14:paraId="6AF85ACF" w14:textId="3FA8A90E" w:rsidR="00355D14" w:rsidRPr="002A75F2" w:rsidRDefault="00355D14" w:rsidP="00355D14">
      <w:pPr>
        <w:rPr>
          <w:rFonts w:cs="Arial"/>
        </w:rPr>
      </w:pPr>
      <w:r w:rsidRPr="002A75F2">
        <w:rPr>
          <w:rFonts w:cs="Arial"/>
        </w:rPr>
        <w:t xml:space="preserve">Risk management may or may not be required if the property meets property specific standards. Risk management is required in those cases where the other components of the risk assessment identify that risk management measures are necessary to ensure that the recommended property specific standards result in an acceptable level of risk. When this is the case, the RA report must include a risk management plan which provides details about hydrogeological and engineering needs, as well as requirements for monitoring, maintenance, replacement and contingency. </w:t>
      </w:r>
    </w:p>
    <w:p w14:paraId="54C0A0FF" w14:textId="77777777" w:rsidR="00B736F9" w:rsidRPr="002A75F2" w:rsidRDefault="00B736F9" w:rsidP="00840964">
      <w:pPr>
        <w:rPr>
          <w:rFonts w:cs="Arial"/>
        </w:rPr>
      </w:pPr>
      <w:r w:rsidRPr="002A75F2">
        <w:rPr>
          <w:rFonts w:cs="Arial"/>
        </w:rPr>
        <w:t xml:space="preserve">Requirements of </w:t>
      </w:r>
      <w:r w:rsidR="002425F0" w:rsidRPr="002A75F2">
        <w:rPr>
          <w:rFonts w:cs="Arial"/>
        </w:rPr>
        <w:t xml:space="preserve">a </w:t>
      </w:r>
      <w:r w:rsidRPr="002A75F2">
        <w:rPr>
          <w:rFonts w:cs="Arial"/>
        </w:rPr>
        <w:t xml:space="preserve">Risk Management Plan are </w:t>
      </w:r>
      <w:r w:rsidR="002425F0" w:rsidRPr="002A75F2">
        <w:rPr>
          <w:rFonts w:cs="Arial"/>
        </w:rPr>
        <w:t xml:space="preserve">included </w:t>
      </w:r>
      <w:r w:rsidRPr="002A75F2">
        <w:rPr>
          <w:rFonts w:cs="Arial"/>
        </w:rPr>
        <w:t xml:space="preserve">in </w:t>
      </w:r>
      <w:r w:rsidR="00B54E5D" w:rsidRPr="002A75F2">
        <w:rPr>
          <w:rFonts w:cs="Arial"/>
        </w:rPr>
        <w:t xml:space="preserve">the following parts of the </w:t>
      </w:r>
      <w:r w:rsidRPr="002A75F2">
        <w:rPr>
          <w:rFonts w:cs="Arial"/>
        </w:rPr>
        <w:t>Regulation</w:t>
      </w:r>
      <w:r w:rsidR="002425F0" w:rsidRPr="002A75F2">
        <w:rPr>
          <w:rFonts w:cs="Arial"/>
        </w:rPr>
        <w:t>:</w:t>
      </w:r>
    </w:p>
    <w:p w14:paraId="7CED42C1" w14:textId="77777777" w:rsidR="002425F0" w:rsidRPr="002A75F2" w:rsidRDefault="001C1D66" w:rsidP="00A47B50">
      <w:pPr>
        <w:numPr>
          <w:ilvl w:val="0"/>
          <w:numId w:val="22"/>
        </w:numPr>
        <w:shd w:val="clear" w:color="auto" w:fill="D9D9D9"/>
        <w:rPr>
          <w:rFonts w:cs="Arial"/>
        </w:rPr>
      </w:pPr>
      <w:r w:rsidRPr="002A75F2">
        <w:rPr>
          <w:rFonts w:cs="Arial"/>
        </w:rPr>
        <w:t>Section</w:t>
      </w:r>
      <w:r w:rsidR="002425F0" w:rsidRPr="002A75F2">
        <w:rPr>
          <w:rFonts w:cs="Arial"/>
        </w:rPr>
        <w:t xml:space="preserve"> 4 of Schedule C (Mandatory requirements of risk assessment reports)</w:t>
      </w:r>
    </w:p>
    <w:p w14:paraId="3526EA70" w14:textId="77777777" w:rsidR="002425F0" w:rsidRPr="002A75F2" w:rsidRDefault="002425F0" w:rsidP="00A47B50">
      <w:pPr>
        <w:numPr>
          <w:ilvl w:val="0"/>
          <w:numId w:val="22"/>
        </w:numPr>
        <w:shd w:val="clear" w:color="auto" w:fill="D9D9D9"/>
        <w:rPr>
          <w:rFonts w:cs="Arial"/>
        </w:rPr>
      </w:pPr>
      <w:r w:rsidRPr="002A75F2">
        <w:rPr>
          <w:rFonts w:cs="Arial"/>
        </w:rPr>
        <w:t>Table 1 of Schedule C (Report Section 7. Risk Management Plan)</w:t>
      </w:r>
    </w:p>
    <w:p w14:paraId="30FC9C23" w14:textId="77777777" w:rsidR="00724090" w:rsidRPr="002A75F2" w:rsidRDefault="00FE0B1C" w:rsidP="00840964">
      <w:pPr>
        <w:rPr>
          <w:rFonts w:cs="Arial"/>
        </w:rPr>
      </w:pPr>
      <w:r w:rsidRPr="002A75F2">
        <w:rPr>
          <w:rFonts w:cs="Arial"/>
        </w:rPr>
        <w:t>In addition, t</w:t>
      </w:r>
      <w:r w:rsidR="00724090" w:rsidRPr="002A75F2">
        <w:rPr>
          <w:rFonts w:cs="Arial"/>
        </w:rPr>
        <w:t xml:space="preserve">he mandatory certifications set out in section 5 of Schedule C of the Regulation include statements </w:t>
      </w:r>
      <w:r w:rsidR="00D9734D" w:rsidRPr="002A75F2">
        <w:rPr>
          <w:rFonts w:cs="Arial"/>
        </w:rPr>
        <w:t xml:space="preserve">regarding whether a </w:t>
      </w:r>
      <w:r w:rsidR="00724090" w:rsidRPr="002A75F2">
        <w:rPr>
          <w:rFonts w:cs="Arial"/>
        </w:rPr>
        <w:t>risk management plan</w:t>
      </w:r>
      <w:r w:rsidR="00D9734D" w:rsidRPr="002A75F2">
        <w:rPr>
          <w:rFonts w:cs="Arial"/>
        </w:rPr>
        <w:t xml:space="preserve"> is needed</w:t>
      </w:r>
      <w:r w:rsidR="00724090" w:rsidRPr="002A75F2">
        <w:rPr>
          <w:rFonts w:cs="Arial"/>
        </w:rPr>
        <w:t>.</w:t>
      </w:r>
    </w:p>
    <w:p w14:paraId="65FEAF33" w14:textId="77777777" w:rsidR="00B736F9" w:rsidRPr="000C60E1" w:rsidRDefault="00B736F9" w:rsidP="00840964">
      <w:pPr>
        <w:rPr>
          <w:rFonts w:cs="Arial"/>
        </w:rPr>
      </w:pPr>
      <w:r w:rsidRPr="002A75F2">
        <w:rPr>
          <w:rFonts w:cs="Arial"/>
        </w:rPr>
        <w:t xml:space="preserve">Minimum requirements for a </w:t>
      </w:r>
      <w:r w:rsidR="00FB0095" w:rsidRPr="002A75F2">
        <w:rPr>
          <w:rFonts w:cs="Arial"/>
        </w:rPr>
        <w:t>R</w:t>
      </w:r>
      <w:r w:rsidRPr="002A75F2">
        <w:rPr>
          <w:rFonts w:cs="Arial"/>
        </w:rPr>
        <w:t xml:space="preserve">isk </w:t>
      </w:r>
      <w:r w:rsidR="00FB0095" w:rsidRPr="002A75F2">
        <w:rPr>
          <w:rFonts w:cs="Arial"/>
        </w:rPr>
        <w:t>M</w:t>
      </w:r>
      <w:r w:rsidRPr="002A75F2">
        <w:rPr>
          <w:rFonts w:cs="Arial"/>
        </w:rPr>
        <w:t xml:space="preserve">anagement </w:t>
      </w:r>
      <w:r w:rsidR="00FB0095" w:rsidRPr="002A75F2">
        <w:rPr>
          <w:rFonts w:cs="Arial"/>
        </w:rPr>
        <w:t>P</w:t>
      </w:r>
      <w:r w:rsidRPr="002A75F2">
        <w:rPr>
          <w:rFonts w:cs="Arial"/>
        </w:rPr>
        <w:t xml:space="preserve">lan </w:t>
      </w:r>
      <w:r w:rsidR="00755806" w:rsidRPr="002A75F2">
        <w:rPr>
          <w:rFonts w:cs="Arial"/>
        </w:rPr>
        <w:t>(</w:t>
      </w:r>
      <w:r w:rsidR="00EF56B9" w:rsidRPr="002A75F2">
        <w:rPr>
          <w:rFonts w:cs="Arial"/>
        </w:rPr>
        <w:t>R</w:t>
      </w:r>
      <w:r w:rsidR="00755806" w:rsidRPr="002A75F2">
        <w:rPr>
          <w:rFonts w:cs="Arial"/>
        </w:rPr>
        <w:t xml:space="preserve">eport Section 7) </w:t>
      </w:r>
      <w:r w:rsidRPr="002A75F2">
        <w:rPr>
          <w:rFonts w:cs="Arial"/>
        </w:rPr>
        <w:t>are</w:t>
      </w:r>
      <w:r w:rsidRPr="000C60E1">
        <w:rPr>
          <w:rFonts w:cs="Arial"/>
        </w:rPr>
        <w:t xml:space="preserve"> provided in Table 1 of </w:t>
      </w:r>
      <w:r w:rsidR="00156464" w:rsidRPr="000C60E1">
        <w:rPr>
          <w:rFonts w:cs="Arial"/>
        </w:rPr>
        <w:t xml:space="preserve">Schedule C of </w:t>
      </w:r>
      <w:r w:rsidRPr="000C60E1">
        <w:rPr>
          <w:rFonts w:cs="Arial"/>
        </w:rPr>
        <w:t>the Regulation, and are reproduced below.</w:t>
      </w:r>
    </w:p>
    <w:tbl>
      <w:tblPr>
        <w:tblStyle w:val="TableGrid"/>
        <w:tblW w:w="10080" w:type="dxa"/>
        <w:tblLayout w:type="fixed"/>
        <w:tblLook w:val="0020" w:firstRow="1" w:lastRow="0" w:firstColumn="0" w:lastColumn="0" w:noHBand="0" w:noVBand="0"/>
      </w:tblPr>
      <w:tblGrid>
        <w:gridCol w:w="2468"/>
        <w:gridCol w:w="2014"/>
        <w:gridCol w:w="1839"/>
        <w:gridCol w:w="3759"/>
      </w:tblGrid>
      <w:tr w:rsidR="00AD33AB" w:rsidRPr="00856F14" w14:paraId="6F3BB821" w14:textId="77777777" w:rsidTr="005B40DA">
        <w:trPr>
          <w:trHeight w:val="309"/>
          <w:tblHeader/>
        </w:trPr>
        <w:tc>
          <w:tcPr>
            <w:tcW w:w="2468" w:type="dxa"/>
          </w:tcPr>
          <w:p w14:paraId="7694121D" w14:textId="77777777" w:rsidR="00AD33AB" w:rsidRPr="00856F14" w:rsidRDefault="00AD33AB" w:rsidP="00FF32B7">
            <w:pPr>
              <w:pStyle w:val="table-e"/>
              <w:spacing w:line="240" w:lineRule="auto"/>
              <w:rPr>
                <w:rFonts w:cs="Arial"/>
                <w:b/>
                <w:sz w:val="24"/>
              </w:rPr>
            </w:pPr>
            <w:r w:rsidRPr="00856F14">
              <w:rPr>
                <w:rFonts w:cs="Arial"/>
                <w:b/>
                <w:sz w:val="24"/>
              </w:rPr>
              <w:t>Column 1</w:t>
            </w:r>
            <w:r w:rsidRPr="00856F14">
              <w:rPr>
                <w:rFonts w:cs="Arial"/>
                <w:b/>
                <w:sz w:val="24"/>
              </w:rPr>
              <w:br/>
              <w:t>Report Section</w:t>
            </w:r>
          </w:p>
        </w:tc>
        <w:tc>
          <w:tcPr>
            <w:tcW w:w="2014" w:type="dxa"/>
          </w:tcPr>
          <w:p w14:paraId="2987D387" w14:textId="77777777" w:rsidR="00AD33AB" w:rsidRPr="00856F14" w:rsidRDefault="00AD33AB" w:rsidP="00FF32B7">
            <w:pPr>
              <w:pStyle w:val="table-e"/>
              <w:spacing w:line="240" w:lineRule="auto"/>
              <w:rPr>
                <w:rFonts w:cs="Arial"/>
                <w:b/>
                <w:sz w:val="24"/>
              </w:rPr>
            </w:pPr>
            <w:r w:rsidRPr="00856F14">
              <w:rPr>
                <w:rFonts w:cs="Arial"/>
                <w:b/>
                <w:sz w:val="24"/>
              </w:rPr>
              <w:t>Column 2</w:t>
            </w:r>
            <w:r w:rsidRPr="00856F14">
              <w:rPr>
                <w:rFonts w:cs="Arial"/>
                <w:b/>
                <w:sz w:val="24"/>
              </w:rPr>
              <w:br/>
              <w:t>Heading</w:t>
            </w:r>
          </w:p>
        </w:tc>
        <w:tc>
          <w:tcPr>
            <w:tcW w:w="1839" w:type="dxa"/>
          </w:tcPr>
          <w:p w14:paraId="5ACAB895" w14:textId="77777777" w:rsidR="00AD33AB" w:rsidRPr="00856F14" w:rsidRDefault="00AD33AB" w:rsidP="00FF32B7">
            <w:pPr>
              <w:pStyle w:val="table-e"/>
              <w:spacing w:line="240" w:lineRule="auto"/>
              <w:rPr>
                <w:rFonts w:cs="Arial"/>
                <w:b/>
                <w:sz w:val="24"/>
              </w:rPr>
            </w:pPr>
            <w:r w:rsidRPr="00856F14">
              <w:rPr>
                <w:rFonts w:cs="Arial"/>
                <w:b/>
                <w:sz w:val="24"/>
              </w:rPr>
              <w:t>Column 3</w:t>
            </w:r>
            <w:r w:rsidRPr="00856F14">
              <w:rPr>
                <w:rFonts w:cs="Arial"/>
                <w:b/>
                <w:sz w:val="24"/>
              </w:rPr>
              <w:br/>
              <w:t>Sub-Heading</w:t>
            </w:r>
          </w:p>
        </w:tc>
        <w:tc>
          <w:tcPr>
            <w:tcW w:w="3759" w:type="dxa"/>
          </w:tcPr>
          <w:p w14:paraId="2E182477" w14:textId="77777777" w:rsidR="00AD33AB" w:rsidRPr="00856F14" w:rsidRDefault="00AD33AB" w:rsidP="00FF32B7">
            <w:pPr>
              <w:pStyle w:val="table-e"/>
              <w:spacing w:line="240" w:lineRule="auto"/>
              <w:rPr>
                <w:rFonts w:cs="Arial"/>
                <w:b/>
                <w:sz w:val="24"/>
              </w:rPr>
            </w:pPr>
            <w:r w:rsidRPr="00856F14">
              <w:rPr>
                <w:rFonts w:cs="Arial"/>
                <w:b/>
                <w:sz w:val="24"/>
              </w:rPr>
              <w:t>Column 4</w:t>
            </w:r>
            <w:r w:rsidRPr="00856F14">
              <w:rPr>
                <w:rFonts w:cs="Arial"/>
                <w:b/>
                <w:sz w:val="24"/>
              </w:rPr>
              <w:br/>
              <w:t>Minimum Requirements</w:t>
            </w:r>
          </w:p>
        </w:tc>
      </w:tr>
      <w:tr w:rsidR="00AD33AB" w:rsidRPr="00856F14" w14:paraId="15AEFE54" w14:textId="77777777" w:rsidTr="005B40DA">
        <w:trPr>
          <w:trHeight w:val="20"/>
        </w:trPr>
        <w:tc>
          <w:tcPr>
            <w:tcW w:w="2468" w:type="dxa"/>
          </w:tcPr>
          <w:p w14:paraId="6113AE17" w14:textId="77777777" w:rsidR="00AD33AB" w:rsidRPr="00856F14" w:rsidRDefault="00AD33AB" w:rsidP="00FF32B7">
            <w:pPr>
              <w:pStyle w:val="table-e"/>
              <w:spacing w:line="240" w:lineRule="auto"/>
              <w:rPr>
                <w:rFonts w:cs="Arial"/>
                <w:sz w:val="24"/>
              </w:rPr>
            </w:pPr>
            <w:r w:rsidRPr="00856F14">
              <w:rPr>
                <w:rFonts w:cs="Arial"/>
                <w:sz w:val="24"/>
              </w:rPr>
              <w:t>7.  Risk Management Plan (if applicable)</w:t>
            </w:r>
          </w:p>
        </w:tc>
        <w:tc>
          <w:tcPr>
            <w:tcW w:w="2014" w:type="dxa"/>
          </w:tcPr>
          <w:p w14:paraId="4B0A9BF8" w14:textId="77777777" w:rsidR="00AD33AB" w:rsidRPr="00856F14" w:rsidRDefault="00AD33AB" w:rsidP="00FF32B7">
            <w:pPr>
              <w:pStyle w:val="table-e"/>
              <w:spacing w:line="240" w:lineRule="auto"/>
              <w:rPr>
                <w:rFonts w:cs="Arial"/>
                <w:sz w:val="24"/>
              </w:rPr>
            </w:pPr>
            <w:r w:rsidRPr="00856F14">
              <w:rPr>
                <w:rFonts w:cs="Arial"/>
                <w:sz w:val="24"/>
              </w:rPr>
              <w:t>(a)  Risk Management Plan</w:t>
            </w:r>
          </w:p>
        </w:tc>
        <w:tc>
          <w:tcPr>
            <w:tcW w:w="1839" w:type="dxa"/>
          </w:tcPr>
          <w:p w14:paraId="710E5D58" w14:textId="77777777" w:rsidR="00AD33AB" w:rsidRPr="00856F14" w:rsidRDefault="00AD33AB" w:rsidP="00FF32B7">
            <w:pPr>
              <w:pStyle w:val="table-e"/>
              <w:spacing w:line="240" w:lineRule="auto"/>
              <w:rPr>
                <w:rFonts w:cs="Arial"/>
                <w:sz w:val="24"/>
              </w:rPr>
            </w:pPr>
            <w:r w:rsidRPr="00856F14">
              <w:rPr>
                <w:rFonts w:cs="Arial"/>
                <w:sz w:val="24"/>
              </w:rPr>
              <w:t>(</w:t>
            </w:r>
            <w:proofErr w:type="spellStart"/>
            <w:r w:rsidRPr="00856F14">
              <w:rPr>
                <w:rFonts w:cs="Arial"/>
                <w:sz w:val="24"/>
              </w:rPr>
              <w:t>i</w:t>
            </w:r>
            <w:proofErr w:type="spellEnd"/>
            <w:r w:rsidRPr="00856F14">
              <w:rPr>
                <w:rFonts w:cs="Arial"/>
                <w:sz w:val="24"/>
              </w:rPr>
              <w:t>)  Risk Management Performance Objectives</w:t>
            </w:r>
          </w:p>
        </w:tc>
        <w:tc>
          <w:tcPr>
            <w:tcW w:w="3759" w:type="dxa"/>
          </w:tcPr>
          <w:p w14:paraId="4F1FFA85" w14:textId="77777777" w:rsidR="00AD33AB" w:rsidRPr="00856F14" w:rsidRDefault="00AD33AB" w:rsidP="00FF32B7">
            <w:pPr>
              <w:pStyle w:val="table-e"/>
              <w:spacing w:line="240" w:lineRule="auto"/>
              <w:rPr>
                <w:rFonts w:cs="Arial"/>
                <w:sz w:val="24"/>
              </w:rPr>
            </w:pPr>
            <w:r w:rsidRPr="00856F14">
              <w:rPr>
                <w:rFonts w:cs="Arial"/>
                <w:sz w:val="24"/>
              </w:rPr>
              <w:t>1.  State the exposure pathways and environmental media that risk management measures are intended to address.</w:t>
            </w:r>
          </w:p>
          <w:p w14:paraId="18DA9C68" w14:textId="77777777" w:rsidR="00AD33AB" w:rsidRPr="00856F14" w:rsidRDefault="00AD33AB" w:rsidP="00FF32B7">
            <w:pPr>
              <w:pStyle w:val="table-e"/>
              <w:spacing w:line="240" w:lineRule="auto"/>
              <w:rPr>
                <w:rFonts w:cs="Arial"/>
                <w:sz w:val="24"/>
              </w:rPr>
            </w:pPr>
            <w:r w:rsidRPr="00856F14">
              <w:rPr>
                <w:rFonts w:cs="Arial"/>
                <w:sz w:val="24"/>
              </w:rPr>
              <w:t>2.  State the required reduction in exposure concentration that the risk management measures are intended to achieve.</w:t>
            </w:r>
          </w:p>
        </w:tc>
      </w:tr>
      <w:tr w:rsidR="00AD33AB" w:rsidRPr="00856F14" w14:paraId="733B1888" w14:textId="77777777" w:rsidTr="005B40DA">
        <w:trPr>
          <w:trHeight w:val="20"/>
        </w:trPr>
        <w:tc>
          <w:tcPr>
            <w:tcW w:w="2468" w:type="dxa"/>
          </w:tcPr>
          <w:p w14:paraId="755F86FF" w14:textId="77777777" w:rsidR="00AD33AB" w:rsidRPr="00856F14" w:rsidRDefault="00AD33AB" w:rsidP="00FF32B7">
            <w:pPr>
              <w:pStyle w:val="table-e"/>
              <w:spacing w:line="240" w:lineRule="auto"/>
              <w:rPr>
                <w:rFonts w:cs="Arial"/>
                <w:sz w:val="24"/>
              </w:rPr>
            </w:pPr>
            <w:r w:rsidRPr="00856F14">
              <w:rPr>
                <w:rFonts w:cs="Arial"/>
                <w:sz w:val="24"/>
              </w:rPr>
              <w:t>7.  Risk Management Plan (if applicable)</w:t>
            </w:r>
          </w:p>
        </w:tc>
        <w:tc>
          <w:tcPr>
            <w:tcW w:w="2014" w:type="dxa"/>
          </w:tcPr>
          <w:p w14:paraId="6CCAE476" w14:textId="77777777" w:rsidR="00AD33AB" w:rsidRPr="00856F14" w:rsidRDefault="00AD33AB" w:rsidP="00FF32B7">
            <w:pPr>
              <w:pStyle w:val="table-e"/>
              <w:spacing w:line="240" w:lineRule="auto"/>
              <w:rPr>
                <w:rFonts w:cs="Arial"/>
                <w:sz w:val="24"/>
              </w:rPr>
            </w:pPr>
            <w:r w:rsidRPr="00856F14">
              <w:rPr>
                <w:rFonts w:cs="Arial"/>
                <w:sz w:val="24"/>
              </w:rPr>
              <w:t>(a)  Risk Management Plan</w:t>
            </w:r>
          </w:p>
        </w:tc>
        <w:tc>
          <w:tcPr>
            <w:tcW w:w="1839" w:type="dxa"/>
          </w:tcPr>
          <w:p w14:paraId="3EAB7E93" w14:textId="77777777" w:rsidR="00AD33AB" w:rsidRPr="00856F14" w:rsidRDefault="00AD33AB" w:rsidP="00FF32B7">
            <w:pPr>
              <w:pStyle w:val="table-e"/>
              <w:spacing w:line="240" w:lineRule="auto"/>
              <w:rPr>
                <w:rFonts w:cs="Arial"/>
                <w:sz w:val="24"/>
              </w:rPr>
            </w:pPr>
            <w:r w:rsidRPr="00856F14">
              <w:rPr>
                <w:rFonts w:cs="Arial"/>
                <w:sz w:val="24"/>
              </w:rPr>
              <w:t>(ii)  Risk Management Measures</w:t>
            </w:r>
          </w:p>
        </w:tc>
        <w:tc>
          <w:tcPr>
            <w:tcW w:w="3759" w:type="dxa"/>
          </w:tcPr>
          <w:p w14:paraId="5423A30B" w14:textId="77777777" w:rsidR="00AD33AB" w:rsidRPr="00856F14" w:rsidRDefault="00AD33AB" w:rsidP="00FF32B7">
            <w:pPr>
              <w:pStyle w:val="table-e"/>
              <w:spacing w:line="240" w:lineRule="auto"/>
              <w:rPr>
                <w:rFonts w:cs="Arial"/>
                <w:sz w:val="24"/>
              </w:rPr>
            </w:pPr>
            <w:r w:rsidRPr="00856F14">
              <w:rPr>
                <w:rFonts w:cs="Arial"/>
                <w:sz w:val="24"/>
              </w:rPr>
              <w:t>1.  To achieve the specified performance objectives,</w:t>
            </w:r>
          </w:p>
          <w:p w14:paraId="7632CE6F" w14:textId="77777777" w:rsidR="00AD33AB" w:rsidRPr="00856F14" w:rsidRDefault="00AD33AB" w:rsidP="00FF32B7">
            <w:pPr>
              <w:pStyle w:val="table-e"/>
              <w:spacing w:line="240" w:lineRule="auto"/>
              <w:rPr>
                <w:rFonts w:cs="Arial"/>
                <w:sz w:val="24"/>
              </w:rPr>
            </w:pPr>
            <w:r w:rsidRPr="00856F14">
              <w:rPr>
                <w:rFonts w:cs="Arial"/>
                <w:sz w:val="24"/>
              </w:rPr>
              <w:t>(a)  propose risk management measures on the RA property that are designed to prevent, eliminate or ameliorate any adverse effects on or off the RA property;</w:t>
            </w:r>
          </w:p>
          <w:p w14:paraId="162678AE" w14:textId="77777777" w:rsidR="00AD33AB" w:rsidRPr="00856F14" w:rsidRDefault="00AD33AB" w:rsidP="00FF32B7">
            <w:pPr>
              <w:pStyle w:val="table-e"/>
              <w:spacing w:line="240" w:lineRule="auto"/>
              <w:rPr>
                <w:rFonts w:cs="Arial"/>
                <w:sz w:val="24"/>
              </w:rPr>
            </w:pPr>
            <w:r w:rsidRPr="00856F14">
              <w:rPr>
                <w:rFonts w:cs="Arial"/>
                <w:sz w:val="24"/>
              </w:rPr>
              <w:t>(b)  propose restrictions on the use of the RA property, including any restriction that applies to the construction of a building on the property; or</w:t>
            </w:r>
          </w:p>
          <w:p w14:paraId="5CF06488" w14:textId="77777777" w:rsidR="00AD33AB" w:rsidRPr="00856F14" w:rsidRDefault="00AD33AB" w:rsidP="00FF32B7">
            <w:pPr>
              <w:pStyle w:val="table-e"/>
              <w:spacing w:line="240" w:lineRule="auto"/>
              <w:rPr>
                <w:rFonts w:cs="Arial"/>
                <w:sz w:val="24"/>
              </w:rPr>
            </w:pPr>
            <w:r w:rsidRPr="00856F14">
              <w:rPr>
                <w:rFonts w:cs="Arial"/>
                <w:sz w:val="24"/>
              </w:rPr>
              <w:lastRenderedPageBreak/>
              <w:t>(c)  propose a combination of measures specified in clauses (a) and (b).</w:t>
            </w:r>
          </w:p>
          <w:p w14:paraId="0D4D8D86" w14:textId="77777777" w:rsidR="00AD33AB" w:rsidRPr="00856F14" w:rsidRDefault="00AD33AB" w:rsidP="00FF32B7">
            <w:pPr>
              <w:pStyle w:val="table-e"/>
              <w:spacing w:line="240" w:lineRule="auto"/>
              <w:rPr>
                <w:rFonts w:cs="Arial"/>
                <w:sz w:val="24"/>
              </w:rPr>
            </w:pPr>
            <w:r w:rsidRPr="00856F14">
              <w:rPr>
                <w:rFonts w:cs="Arial"/>
                <w:sz w:val="24"/>
              </w:rPr>
              <w:t>2.  State the implications of the risk management plan for off-site health and ecological receptors.</w:t>
            </w:r>
          </w:p>
        </w:tc>
      </w:tr>
      <w:tr w:rsidR="00AD33AB" w:rsidRPr="00856F14" w14:paraId="143F9241" w14:textId="77777777" w:rsidTr="005B40DA">
        <w:trPr>
          <w:trHeight w:val="20"/>
        </w:trPr>
        <w:tc>
          <w:tcPr>
            <w:tcW w:w="2468" w:type="dxa"/>
          </w:tcPr>
          <w:p w14:paraId="3D2904DB" w14:textId="77777777" w:rsidR="00AD33AB" w:rsidRPr="00856F14" w:rsidRDefault="00AD33AB" w:rsidP="00FF32B7">
            <w:pPr>
              <w:pStyle w:val="table-e"/>
              <w:spacing w:line="240" w:lineRule="auto"/>
              <w:rPr>
                <w:rFonts w:cs="Arial"/>
                <w:sz w:val="24"/>
              </w:rPr>
            </w:pPr>
            <w:r w:rsidRPr="00856F14">
              <w:rPr>
                <w:rFonts w:cs="Arial"/>
                <w:sz w:val="24"/>
              </w:rPr>
              <w:lastRenderedPageBreak/>
              <w:t>7.  Risk Management Plan (if applicable)</w:t>
            </w:r>
          </w:p>
        </w:tc>
        <w:tc>
          <w:tcPr>
            <w:tcW w:w="2014" w:type="dxa"/>
          </w:tcPr>
          <w:p w14:paraId="69AC0B51" w14:textId="77777777" w:rsidR="00AD33AB" w:rsidRPr="00856F14" w:rsidRDefault="00AD33AB" w:rsidP="00FF32B7">
            <w:pPr>
              <w:pStyle w:val="table-e"/>
              <w:spacing w:line="240" w:lineRule="auto"/>
              <w:rPr>
                <w:rFonts w:cs="Arial"/>
                <w:sz w:val="24"/>
              </w:rPr>
            </w:pPr>
            <w:r w:rsidRPr="00856F14">
              <w:rPr>
                <w:rFonts w:cs="Arial"/>
                <w:sz w:val="24"/>
              </w:rPr>
              <w:t>(a)  Risk Management Plan</w:t>
            </w:r>
          </w:p>
        </w:tc>
        <w:tc>
          <w:tcPr>
            <w:tcW w:w="1839" w:type="dxa"/>
          </w:tcPr>
          <w:p w14:paraId="083B0064" w14:textId="77777777" w:rsidR="00AD33AB" w:rsidRPr="00856F14" w:rsidRDefault="00AD33AB" w:rsidP="00FF32B7">
            <w:pPr>
              <w:pStyle w:val="table-e"/>
              <w:spacing w:line="240" w:lineRule="auto"/>
              <w:rPr>
                <w:rFonts w:cs="Arial"/>
                <w:sz w:val="24"/>
              </w:rPr>
            </w:pPr>
            <w:r w:rsidRPr="00856F14">
              <w:rPr>
                <w:rFonts w:cs="Arial"/>
                <w:sz w:val="24"/>
              </w:rPr>
              <w:t>(iii)  Duration of Risk Management Measures</w:t>
            </w:r>
          </w:p>
        </w:tc>
        <w:tc>
          <w:tcPr>
            <w:tcW w:w="3759" w:type="dxa"/>
          </w:tcPr>
          <w:p w14:paraId="5A8AA743" w14:textId="77777777" w:rsidR="00AD33AB" w:rsidRPr="00856F14" w:rsidRDefault="00AD33AB" w:rsidP="00FF32B7">
            <w:pPr>
              <w:pStyle w:val="table-e"/>
              <w:spacing w:line="240" w:lineRule="auto"/>
              <w:rPr>
                <w:rFonts w:cs="Arial"/>
                <w:sz w:val="24"/>
              </w:rPr>
            </w:pPr>
            <w:r w:rsidRPr="00856F14">
              <w:rPr>
                <w:rFonts w:cs="Arial"/>
                <w:sz w:val="24"/>
              </w:rPr>
              <w:t>Specify the duration the proposed risk management measures are required to remain in place to ensure the specified performance objectives are achieved.</w:t>
            </w:r>
          </w:p>
        </w:tc>
      </w:tr>
      <w:tr w:rsidR="00AD33AB" w:rsidRPr="00856F14" w14:paraId="53D84DA1" w14:textId="77777777" w:rsidTr="005B40DA">
        <w:trPr>
          <w:trHeight w:val="20"/>
        </w:trPr>
        <w:tc>
          <w:tcPr>
            <w:tcW w:w="2468" w:type="dxa"/>
          </w:tcPr>
          <w:p w14:paraId="65DA8414" w14:textId="77777777" w:rsidR="00AD33AB" w:rsidRPr="00856F14" w:rsidRDefault="00AD33AB" w:rsidP="00FF32B7">
            <w:pPr>
              <w:pStyle w:val="table-e"/>
              <w:spacing w:line="240" w:lineRule="auto"/>
              <w:rPr>
                <w:rFonts w:cs="Arial"/>
                <w:sz w:val="24"/>
              </w:rPr>
            </w:pPr>
            <w:r w:rsidRPr="00856F14">
              <w:rPr>
                <w:rFonts w:cs="Arial"/>
                <w:sz w:val="24"/>
              </w:rPr>
              <w:t>7.  Risk Management Plan (if applicable)</w:t>
            </w:r>
          </w:p>
        </w:tc>
        <w:tc>
          <w:tcPr>
            <w:tcW w:w="2014" w:type="dxa"/>
          </w:tcPr>
          <w:p w14:paraId="0B09E383" w14:textId="77777777" w:rsidR="00AD33AB" w:rsidRPr="00856F14" w:rsidRDefault="00AD33AB" w:rsidP="00FF32B7">
            <w:pPr>
              <w:pStyle w:val="table-e"/>
              <w:spacing w:line="240" w:lineRule="auto"/>
              <w:rPr>
                <w:rFonts w:cs="Arial"/>
                <w:sz w:val="24"/>
              </w:rPr>
            </w:pPr>
            <w:r w:rsidRPr="00856F14">
              <w:rPr>
                <w:rFonts w:cs="Arial"/>
                <w:sz w:val="24"/>
              </w:rPr>
              <w:t>(a)  Risk Management Plan</w:t>
            </w:r>
          </w:p>
        </w:tc>
        <w:tc>
          <w:tcPr>
            <w:tcW w:w="1839" w:type="dxa"/>
          </w:tcPr>
          <w:p w14:paraId="1569CFD1" w14:textId="77777777" w:rsidR="00AD33AB" w:rsidRPr="00856F14" w:rsidRDefault="00AD33AB" w:rsidP="00FF32B7">
            <w:pPr>
              <w:pStyle w:val="table-e"/>
              <w:spacing w:line="240" w:lineRule="auto"/>
              <w:rPr>
                <w:rFonts w:cs="Arial"/>
                <w:sz w:val="24"/>
              </w:rPr>
            </w:pPr>
            <w:r w:rsidRPr="00856F14">
              <w:rPr>
                <w:rFonts w:cs="Arial"/>
                <w:sz w:val="24"/>
              </w:rPr>
              <w:t>(iv)  Requirements for Monitoring and Maintenance</w:t>
            </w:r>
          </w:p>
        </w:tc>
        <w:tc>
          <w:tcPr>
            <w:tcW w:w="3759" w:type="dxa"/>
          </w:tcPr>
          <w:p w14:paraId="17563362" w14:textId="77777777" w:rsidR="00AD33AB" w:rsidRPr="00856F14" w:rsidRDefault="00AD33AB" w:rsidP="00FF32B7">
            <w:pPr>
              <w:pStyle w:val="table-e"/>
              <w:spacing w:line="240" w:lineRule="auto"/>
              <w:rPr>
                <w:rFonts w:cs="Arial"/>
                <w:sz w:val="24"/>
              </w:rPr>
            </w:pPr>
            <w:r w:rsidRPr="00856F14">
              <w:rPr>
                <w:rFonts w:cs="Arial"/>
                <w:sz w:val="24"/>
              </w:rPr>
              <w:t>1.  Specify the designed lifespan of the measure, if applicable.</w:t>
            </w:r>
          </w:p>
          <w:p w14:paraId="60FE01C1" w14:textId="77777777" w:rsidR="00AD33AB" w:rsidRPr="00856F14" w:rsidRDefault="00AD33AB" w:rsidP="00FF32B7">
            <w:pPr>
              <w:pStyle w:val="table-e"/>
              <w:spacing w:line="240" w:lineRule="auto"/>
              <w:rPr>
                <w:rFonts w:cs="Arial"/>
                <w:sz w:val="24"/>
              </w:rPr>
            </w:pPr>
            <w:r w:rsidRPr="00856F14">
              <w:rPr>
                <w:rFonts w:cs="Arial"/>
                <w:sz w:val="24"/>
              </w:rPr>
              <w:t>2.  Propose a program for one or more of the following activities, if the program is necessary to achieve the specified risk management performance objectives:</w:t>
            </w:r>
          </w:p>
          <w:p w14:paraId="0B962A13" w14:textId="77777777" w:rsidR="00AD33AB" w:rsidRPr="00856F14" w:rsidRDefault="00AD33AB" w:rsidP="00FF32B7">
            <w:pPr>
              <w:pStyle w:val="table-e"/>
              <w:spacing w:line="240" w:lineRule="auto"/>
              <w:rPr>
                <w:rFonts w:cs="Arial"/>
                <w:sz w:val="24"/>
              </w:rPr>
            </w:pPr>
            <w:proofErr w:type="spellStart"/>
            <w:r w:rsidRPr="00856F14">
              <w:rPr>
                <w:rFonts w:cs="Arial"/>
                <w:sz w:val="24"/>
              </w:rPr>
              <w:t>i</w:t>
            </w:r>
            <w:proofErr w:type="spellEnd"/>
            <w:r w:rsidRPr="00856F14">
              <w:rPr>
                <w:rFonts w:cs="Arial"/>
                <w:sz w:val="24"/>
              </w:rPr>
              <w:t>.  A program which includes procedures for the ongoing maintenance, monitoring and replacement of the risk management measures to ensure they remain operable for the period identified in this report under the sub-heading “Duration of Risk Management Measures”.</w:t>
            </w:r>
          </w:p>
          <w:p w14:paraId="1AD8D007" w14:textId="77777777" w:rsidR="00AD33AB" w:rsidRPr="00856F14" w:rsidRDefault="00AD33AB" w:rsidP="00FF32B7">
            <w:pPr>
              <w:pStyle w:val="table-e"/>
              <w:spacing w:line="240" w:lineRule="auto"/>
              <w:rPr>
                <w:rFonts w:cs="Arial"/>
                <w:sz w:val="24"/>
              </w:rPr>
            </w:pPr>
            <w:r w:rsidRPr="00856F14">
              <w:rPr>
                <w:rFonts w:cs="Arial"/>
                <w:sz w:val="24"/>
              </w:rPr>
              <w:t>ii.  A program which includes procedures for the ongoing monitoring of contaminants of concern.</w:t>
            </w:r>
          </w:p>
          <w:p w14:paraId="0AB16E12" w14:textId="77777777" w:rsidR="00AD33AB" w:rsidRPr="00856F14" w:rsidRDefault="00AD33AB" w:rsidP="00FF32B7">
            <w:pPr>
              <w:pStyle w:val="table-e"/>
              <w:spacing w:line="240" w:lineRule="auto"/>
              <w:rPr>
                <w:rFonts w:cs="Arial"/>
                <w:sz w:val="24"/>
              </w:rPr>
            </w:pPr>
            <w:r w:rsidRPr="00856F14">
              <w:rPr>
                <w:rFonts w:cs="Arial"/>
                <w:sz w:val="24"/>
              </w:rPr>
              <w:t>iii.  A contingency plan for meeting the Risk Management Performance Objectives if the Risk Management Measures fail.</w:t>
            </w:r>
          </w:p>
        </w:tc>
      </w:tr>
    </w:tbl>
    <w:p w14:paraId="2C26EFF5" w14:textId="3CAFDA0B" w:rsidR="00B736F9" w:rsidRPr="000C60E1" w:rsidRDefault="00B736F9" w:rsidP="00840964">
      <w:pPr>
        <w:rPr>
          <w:rFonts w:cs="Arial"/>
        </w:rPr>
      </w:pPr>
      <w:r w:rsidRPr="000C60E1">
        <w:rPr>
          <w:rFonts w:cs="Arial"/>
          <w:highlight w:val="white"/>
        </w:rPr>
        <w:t>The risk management component of a risk assessment must include, but may not be limited to the items discussed below.</w:t>
      </w:r>
    </w:p>
    <w:p w14:paraId="6CD05501" w14:textId="5BFAC389" w:rsidR="00B736F9" w:rsidRPr="000C60E1" w:rsidRDefault="00B736F9" w:rsidP="00AF2B7C">
      <w:pPr>
        <w:pStyle w:val="Heading2"/>
        <w:rPr>
          <w:rFonts w:cs="Arial"/>
        </w:rPr>
      </w:pPr>
      <w:bookmarkStart w:id="321" w:name="_Risk_Management_Performance_Objecti"/>
      <w:bookmarkStart w:id="322" w:name="_Toc74119410"/>
      <w:bookmarkStart w:id="323" w:name="_Toc91393587"/>
      <w:bookmarkStart w:id="324" w:name="_Toc112727450"/>
      <w:bookmarkStart w:id="325" w:name="_Toc41905726"/>
      <w:bookmarkEnd w:id="321"/>
      <w:r w:rsidRPr="000C60E1">
        <w:rPr>
          <w:rFonts w:cs="Arial"/>
        </w:rPr>
        <w:t>Risk Management Performance Objectives</w:t>
      </w:r>
      <w:bookmarkEnd w:id="322"/>
      <w:bookmarkEnd w:id="323"/>
      <w:bookmarkEnd w:id="324"/>
      <w:bookmarkEnd w:id="325"/>
    </w:p>
    <w:p w14:paraId="0F5A00C0" w14:textId="5E91EC05" w:rsidR="00B736F9" w:rsidRPr="000C60E1" w:rsidRDefault="00355D14" w:rsidP="00840964">
      <w:pPr>
        <w:rPr>
          <w:rFonts w:cs="Arial"/>
          <w:highlight w:val="white"/>
        </w:rPr>
      </w:pPr>
      <w:r w:rsidRPr="000C60E1">
        <w:rPr>
          <w:rFonts w:cs="Arial"/>
        </w:rPr>
        <w:lastRenderedPageBreak/>
        <w:t>R</w:t>
      </w:r>
      <w:r w:rsidR="00B736F9" w:rsidRPr="000C60E1">
        <w:rPr>
          <w:rFonts w:cs="Arial"/>
        </w:rPr>
        <w:t xml:space="preserve">isk </w:t>
      </w:r>
      <w:r w:rsidR="00B736F9" w:rsidRPr="002A75F2">
        <w:rPr>
          <w:rFonts w:cs="Arial"/>
        </w:rPr>
        <w:t>management</w:t>
      </w:r>
      <w:r w:rsidRPr="002A75F2">
        <w:rPr>
          <w:rFonts w:cs="Arial"/>
        </w:rPr>
        <w:t xml:space="preserve"> </w:t>
      </w:r>
      <w:r w:rsidR="00B63656" w:rsidRPr="002A75F2">
        <w:rPr>
          <w:rFonts w:cs="Arial"/>
        </w:rPr>
        <w:t xml:space="preserve">may be </w:t>
      </w:r>
      <w:r w:rsidRPr="002A75F2">
        <w:rPr>
          <w:rFonts w:cs="Arial"/>
        </w:rPr>
        <w:t>necessary</w:t>
      </w:r>
      <w:r w:rsidR="00B736F9" w:rsidRPr="002A75F2">
        <w:rPr>
          <w:rFonts w:cs="Arial"/>
        </w:rPr>
        <w:t xml:space="preserve"> for </w:t>
      </w:r>
      <w:r w:rsidR="00B63656" w:rsidRPr="002A75F2">
        <w:rPr>
          <w:rFonts w:cs="Arial"/>
        </w:rPr>
        <w:t xml:space="preserve">some </w:t>
      </w:r>
      <w:r w:rsidR="00B736F9" w:rsidRPr="002A75F2">
        <w:rPr>
          <w:rFonts w:cs="Arial"/>
        </w:rPr>
        <w:t>recommended</w:t>
      </w:r>
      <w:r w:rsidR="00B736F9" w:rsidRPr="000C60E1">
        <w:rPr>
          <w:rFonts w:cs="Arial"/>
        </w:rPr>
        <w:t xml:space="preserve"> property specific standards to result in an acceptable level of risk</w:t>
      </w:r>
      <w:r w:rsidRPr="000C60E1">
        <w:rPr>
          <w:rFonts w:cs="Arial"/>
        </w:rPr>
        <w:t>. A</w:t>
      </w:r>
      <w:r w:rsidR="00B736F9" w:rsidRPr="000C60E1">
        <w:rPr>
          <w:rFonts w:cs="Arial"/>
        </w:rPr>
        <w:t xml:space="preserve"> risk management </w:t>
      </w:r>
      <w:r w:rsidR="006045BD" w:rsidRPr="000C60E1">
        <w:rPr>
          <w:rFonts w:cs="Arial"/>
        </w:rPr>
        <w:t xml:space="preserve">measure must be maintained for some specified duration to ensure that </w:t>
      </w:r>
      <w:r w:rsidR="00B736F9" w:rsidRPr="000C60E1">
        <w:rPr>
          <w:rFonts w:cs="Arial"/>
        </w:rPr>
        <w:t>the property specific standard continue</w:t>
      </w:r>
      <w:r w:rsidR="006045BD" w:rsidRPr="000C60E1">
        <w:rPr>
          <w:rFonts w:cs="Arial"/>
        </w:rPr>
        <w:t>s</w:t>
      </w:r>
      <w:r w:rsidR="00B736F9" w:rsidRPr="000C60E1">
        <w:rPr>
          <w:rFonts w:cs="Arial"/>
        </w:rPr>
        <w:t xml:space="preserve"> to result in an acceptable level of risk. </w:t>
      </w:r>
      <w:r w:rsidR="006045BD" w:rsidRPr="000C60E1">
        <w:rPr>
          <w:rFonts w:cs="Arial"/>
        </w:rPr>
        <w:t>Performance objectives are measurable criteria against which the performance of the risk management measure can be evaluated to determine if the measure is meeting the required reduction in risk</w:t>
      </w:r>
      <w:r w:rsidRPr="000C60E1">
        <w:rPr>
          <w:rFonts w:cs="Arial"/>
        </w:rPr>
        <w:t xml:space="preserve"> for the required duration of time</w:t>
      </w:r>
      <w:r w:rsidR="006045BD" w:rsidRPr="000C60E1">
        <w:rPr>
          <w:rFonts w:cs="Arial"/>
        </w:rPr>
        <w:t xml:space="preserve">. </w:t>
      </w:r>
      <w:r w:rsidR="00B736F9" w:rsidRPr="000C60E1">
        <w:rPr>
          <w:rFonts w:cs="Arial"/>
          <w:highlight w:val="white"/>
        </w:rPr>
        <w:t xml:space="preserve">Where risk management is proposed, risk management performance objectives </w:t>
      </w:r>
      <w:r w:rsidR="006045BD" w:rsidRPr="000C60E1">
        <w:rPr>
          <w:rFonts w:cs="Arial"/>
          <w:highlight w:val="white"/>
        </w:rPr>
        <w:t xml:space="preserve">for each risk management measure </w:t>
      </w:r>
      <w:r w:rsidR="00B736F9" w:rsidRPr="000C60E1">
        <w:rPr>
          <w:rFonts w:cs="Arial"/>
          <w:highlight w:val="white"/>
        </w:rPr>
        <w:t xml:space="preserve">must be clearly articulated within the </w:t>
      </w:r>
      <w:r w:rsidR="0041572E" w:rsidRPr="000C60E1">
        <w:rPr>
          <w:rFonts w:cs="Arial"/>
          <w:highlight w:val="white"/>
        </w:rPr>
        <w:t>RA report</w:t>
      </w:r>
      <w:r w:rsidR="00B736F9" w:rsidRPr="000C60E1">
        <w:rPr>
          <w:rFonts w:cs="Arial"/>
          <w:highlight w:val="white"/>
        </w:rPr>
        <w:t>.</w:t>
      </w:r>
    </w:p>
    <w:p w14:paraId="0ADB831F" w14:textId="77777777" w:rsidR="00B736F9" w:rsidRPr="000C60E1" w:rsidRDefault="00B736F9" w:rsidP="00840964">
      <w:pPr>
        <w:rPr>
          <w:rFonts w:cs="Arial"/>
          <w:highlight w:val="white"/>
        </w:rPr>
      </w:pPr>
      <w:r w:rsidRPr="000C60E1">
        <w:rPr>
          <w:rFonts w:cs="Arial"/>
          <w:highlight w:val="white"/>
        </w:rPr>
        <w:t>Performance objectives for risk management must include:</w:t>
      </w:r>
    </w:p>
    <w:p w14:paraId="2241E6AC" w14:textId="77777777" w:rsidR="00B736F9" w:rsidRPr="000C60E1" w:rsidRDefault="00B736F9" w:rsidP="000E72E5">
      <w:pPr>
        <w:pStyle w:val="ListBullet2"/>
        <w:rPr>
          <w:rFonts w:cs="Arial"/>
          <w:highlight w:val="white"/>
        </w:rPr>
      </w:pPr>
      <w:r w:rsidRPr="000C60E1">
        <w:rPr>
          <w:rFonts w:cs="Arial"/>
          <w:highlight w:val="white"/>
        </w:rPr>
        <w:t>The exposure pathway and target media that risk management measures must address, and</w:t>
      </w:r>
    </w:p>
    <w:p w14:paraId="553B26FB" w14:textId="77777777" w:rsidR="00B736F9" w:rsidRPr="000C60E1" w:rsidRDefault="00B736F9" w:rsidP="000E72E5">
      <w:pPr>
        <w:pStyle w:val="ListBullet2"/>
        <w:rPr>
          <w:rFonts w:cs="Arial"/>
          <w:highlight w:val="white"/>
        </w:rPr>
      </w:pPr>
      <w:r w:rsidRPr="000C60E1">
        <w:rPr>
          <w:rFonts w:cs="Arial"/>
          <w:highlight w:val="white"/>
        </w:rPr>
        <w:t>The required reduction in exposure concentration that risk management measures must achieve.</w:t>
      </w:r>
    </w:p>
    <w:p w14:paraId="5953447F" w14:textId="04698A10" w:rsidR="006045BD" w:rsidRPr="000C60E1" w:rsidRDefault="006045BD" w:rsidP="00840964">
      <w:pPr>
        <w:rPr>
          <w:rFonts w:cs="Arial"/>
          <w:highlight w:val="white"/>
        </w:rPr>
      </w:pPr>
      <w:r w:rsidRPr="000C60E1">
        <w:rPr>
          <w:rFonts w:cs="Arial"/>
          <w:highlight w:val="white"/>
        </w:rPr>
        <w:t xml:space="preserve">The required reduction in exposure concentration should be </w:t>
      </w:r>
      <w:r w:rsidR="00355D14" w:rsidRPr="000C60E1">
        <w:rPr>
          <w:rFonts w:cs="Arial"/>
          <w:highlight w:val="white"/>
        </w:rPr>
        <w:t xml:space="preserve">determined </w:t>
      </w:r>
      <w:r w:rsidRPr="000C60E1">
        <w:rPr>
          <w:rFonts w:cs="Arial"/>
          <w:highlight w:val="white"/>
        </w:rPr>
        <w:t>based on an assessment of risk assuming no risk management measures</w:t>
      </w:r>
      <w:r w:rsidR="00355D14" w:rsidRPr="000C60E1">
        <w:rPr>
          <w:rFonts w:cs="Arial"/>
          <w:highlight w:val="white"/>
        </w:rPr>
        <w:t>. It should address the</w:t>
      </w:r>
      <w:r w:rsidRPr="000C60E1">
        <w:rPr>
          <w:rFonts w:cs="Arial"/>
          <w:highlight w:val="white"/>
        </w:rPr>
        <w:t xml:space="preserve"> exposure pathways which contribute most significantly to unacceptable risk, or which can most efficiently be managed to reduce risk to an acceptable level. Identification of the reduction in exposure (</w:t>
      </w:r>
      <w:r w:rsidR="008A792B" w:rsidRPr="000C60E1">
        <w:rPr>
          <w:rFonts w:cs="Arial"/>
          <w:highlight w:val="white"/>
        </w:rPr>
        <w:t>e.g.</w:t>
      </w:r>
      <w:r w:rsidRPr="000C60E1">
        <w:rPr>
          <w:rFonts w:cs="Arial"/>
          <w:highlight w:val="white"/>
        </w:rPr>
        <w:t xml:space="preserve"> expressed as a percent change or a target exposure route concentration</w:t>
      </w:r>
      <w:r w:rsidR="00842C6C" w:rsidRPr="000C60E1">
        <w:rPr>
          <w:rFonts w:cs="Arial"/>
          <w:highlight w:val="white"/>
        </w:rPr>
        <w:t xml:space="preserve"> or dose</w:t>
      </w:r>
      <w:r w:rsidRPr="000C60E1">
        <w:rPr>
          <w:rFonts w:cs="Arial"/>
          <w:highlight w:val="white"/>
        </w:rPr>
        <w:t xml:space="preserve">) is required for each managed pathway to achieve an acceptable level of exposure. </w:t>
      </w:r>
      <w:r w:rsidR="00842C6C" w:rsidRPr="000C60E1">
        <w:rPr>
          <w:rFonts w:cs="Arial"/>
          <w:highlight w:val="white"/>
        </w:rPr>
        <w:t>Examples of risk management performance objectives include:</w:t>
      </w:r>
    </w:p>
    <w:p w14:paraId="6A77A9C1" w14:textId="77777777" w:rsidR="00842C6C" w:rsidRPr="000C60E1" w:rsidRDefault="00842C6C" w:rsidP="000E72E5">
      <w:pPr>
        <w:pStyle w:val="ListBullet2"/>
        <w:rPr>
          <w:rFonts w:cs="Arial"/>
        </w:rPr>
      </w:pPr>
      <w:r w:rsidRPr="000C60E1">
        <w:rPr>
          <w:rFonts w:cs="Arial"/>
        </w:rPr>
        <w:t xml:space="preserve">Control of the </w:t>
      </w:r>
      <w:proofErr w:type="spellStart"/>
      <w:r w:rsidRPr="000C60E1">
        <w:rPr>
          <w:rFonts w:cs="Arial"/>
        </w:rPr>
        <w:t>vapour</w:t>
      </w:r>
      <w:proofErr w:type="spellEnd"/>
      <w:r w:rsidRPr="000C60E1">
        <w:rPr>
          <w:rFonts w:cs="Arial"/>
        </w:rPr>
        <w:t xml:space="preserve"> intrusion pathway to achieve a reduction in indoor air concentration from an estimated concentration</w:t>
      </w:r>
      <w:r w:rsidR="00A6401B" w:rsidRPr="000C60E1">
        <w:rPr>
          <w:rFonts w:cs="Arial"/>
        </w:rPr>
        <w:t xml:space="preserve"> of [specified] </w:t>
      </w:r>
      <w:r w:rsidRPr="000C60E1">
        <w:rPr>
          <w:rFonts w:cs="Arial"/>
        </w:rPr>
        <w:t>(determined without risk management) to a</w:t>
      </w:r>
      <w:r w:rsidR="00A6401B" w:rsidRPr="000C60E1">
        <w:rPr>
          <w:rFonts w:cs="Arial"/>
        </w:rPr>
        <w:t>n</w:t>
      </w:r>
      <w:r w:rsidRPr="000C60E1">
        <w:rPr>
          <w:rFonts w:cs="Arial"/>
        </w:rPr>
        <w:t xml:space="preserve"> acceptable indoor air concentration</w:t>
      </w:r>
      <w:r w:rsidR="00A6401B" w:rsidRPr="000C60E1">
        <w:rPr>
          <w:rFonts w:cs="Arial"/>
        </w:rPr>
        <w:t xml:space="preserve"> of [specified].</w:t>
      </w:r>
      <w:r w:rsidRPr="000C60E1">
        <w:rPr>
          <w:rFonts w:cs="Arial"/>
        </w:rPr>
        <w:t xml:space="preserve"> </w:t>
      </w:r>
    </w:p>
    <w:p w14:paraId="0BB8475B" w14:textId="77777777" w:rsidR="00842C6C" w:rsidRPr="000C60E1" w:rsidRDefault="00842C6C" w:rsidP="000E72E5">
      <w:pPr>
        <w:pStyle w:val="ListBullet2"/>
        <w:rPr>
          <w:rFonts w:cs="Arial"/>
        </w:rPr>
      </w:pPr>
      <w:r w:rsidRPr="000C60E1">
        <w:rPr>
          <w:rFonts w:cs="Arial"/>
        </w:rPr>
        <w:t xml:space="preserve">Control of the direct contact with soil pathway to achieve a reduction in surface soil / dust concentration from an estimated concentration </w:t>
      </w:r>
      <w:r w:rsidR="00A6401B" w:rsidRPr="000C60E1">
        <w:rPr>
          <w:rFonts w:cs="Arial"/>
        </w:rPr>
        <w:t xml:space="preserve">of [specified] </w:t>
      </w:r>
      <w:r w:rsidRPr="000C60E1">
        <w:rPr>
          <w:rFonts w:cs="Arial"/>
        </w:rPr>
        <w:t>(determined without risk management) to a</w:t>
      </w:r>
      <w:r w:rsidR="00A6401B" w:rsidRPr="000C60E1">
        <w:rPr>
          <w:rFonts w:cs="Arial"/>
        </w:rPr>
        <w:t>n</w:t>
      </w:r>
      <w:r w:rsidRPr="000C60E1">
        <w:rPr>
          <w:rFonts w:cs="Arial"/>
        </w:rPr>
        <w:t xml:space="preserve"> acceptable soil / dust concentration</w:t>
      </w:r>
      <w:r w:rsidR="00A6401B" w:rsidRPr="000C60E1">
        <w:rPr>
          <w:rFonts w:cs="Arial"/>
        </w:rPr>
        <w:t xml:space="preserve"> of [specified].</w:t>
      </w:r>
    </w:p>
    <w:p w14:paraId="3796134C" w14:textId="77777777" w:rsidR="00FE5DC6" w:rsidRPr="002A75F2" w:rsidRDefault="000C7928" w:rsidP="000E72E5">
      <w:pPr>
        <w:pStyle w:val="ListBullet2"/>
        <w:rPr>
          <w:rFonts w:cs="Arial"/>
        </w:rPr>
      </w:pPr>
      <w:r w:rsidRPr="002A75F2">
        <w:rPr>
          <w:rFonts w:cs="Arial"/>
        </w:rPr>
        <w:t>Restriction</w:t>
      </w:r>
      <w:r w:rsidR="00FE5DC6" w:rsidRPr="002A75F2">
        <w:rPr>
          <w:rFonts w:cs="Arial"/>
        </w:rPr>
        <w:t xml:space="preserve"> of </w:t>
      </w:r>
      <w:r w:rsidRPr="002A75F2">
        <w:rPr>
          <w:rFonts w:cs="Arial"/>
        </w:rPr>
        <w:t xml:space="preserve">use of the property by refraining from [specified use or construction method] which would result in an estimated unacceptable dose of [specified] (determined without risk management) and thereby control the </w:t>
      </w:r>
      <w:r w:rsidR="00355D14" w:rsidRPr="002A75F2">
        <w:rPr>
          <w:rFonts w:cs="Arial"/>
        </w:rPr>
        <w:t>[specified]</w:t>
      </w:r>
      <w:r w:rsidR="00FE5DC6" w:rsidRPr="002A75F2">
        <w:rPr>
          <w:rFonts w:cs="Arial"/>
        </w:rPr>
        <w:t xml:space="preserve"> pathway </w:t>
      </w:r>
      <w:r w:rsidRPr="002A75F2">
        <w:rPr>
          <w:rFonts w:cs="Arial"/>
        </w:rPr>
        <w:t>and reduce</w:t>
      </w:r>
      <w:r w:rsidR="00F34C91" w:rsidRPr="002A75F2">
        <w:rPr>
          <w:rFonts w:cs="Arial"/>
        </w:rPr>
        <w:t xml:space="preserve"> exposure </w:t>
      </w:r>
      <w:r w:rsidRPr="002A75F2">
        <w:rPr>
          <w:rFonts w:cs="Arial"/>
        </w:rPr>
        <w:t xml:space="preserve">to </w:t>
      </w:r>
      <w:r w:rsidR="00A6401B" w:rsidRPr="002A75F2">
        <w:rPr>
          <w:rFonts w:cs="Arial"/>
        </w:rPr>
        <w:t>[specified</w:t>
      </w:r>
      <w:r w:rsidRPr="002A75F2">
        <w:rPr>
          <w:rFonts w:cs="Arial"/>
        </w:rPr>
        <w:t xml:space="preserve"> receptor]</w:t>
      </w:r>
      <w:r w:rsidR="00F34C91" w:rsidRPr="002A75F2">
        <w:rPr>
          <w:rFonts w:cs="Arial"/>
        </w:rPr>
        <w:t>.</w:t>
      </w:r>
    </w:p>
    <w:p w14:paraId="136F2F04" w14:textId="77777777" w:rsidR="00FE5DC6" w:rsidRPr="002A75F2" w:rsidRDefault="00FE5DC6" w:rsidP="00840964">
      <w:pPr>
        <w:rPr>
          <w:rFonts w:cs="Arial"/>
        </w:rPr>
      </w:pPr>
      <w:r w:rsidRPr="002A75F2">
        <w:rPr>
          <w:rFonts w:cs="Arial"/>
        </w:rPr>
        <w:t>The risk management objective should be stated in way which provides a criterion which is;</w:t>
      </w:r>
    </w:p>
    <w:p w14:paraId="2B6B6F37" w14:textId="77777777" w:rsidR="00FE5DC6" w:rsidRPr="002A75F2" w:rsidRDefault="00FE5DC6" w:rsidP="000E72E5">
      <w:pPr>
        <w:pStyle w:val="ListBullet2"/>
        <w:rPr>
          <w:rFonts w:cs="Arial"/>
        </w:rPr>
      </w:pPr>
      <w:r w:rsidRPr="002A75F2">
        <w:rPr>
          <w:rFonts w:cs="Arial"/>
        </w:rPr>
        <w:t xml:space="preserve">Measurable </w:t>
      </w:r>
      <w:r w:rsidR="00F34C91" w:rsidRPr="002A75F2">
        <w:rPr>
          <w:rFonts w:cs="Arial"/>
        </w:rPr>
        <w:t>through</w:t>
      </w:r>
      <w:r w:rsidRPr="002A75F2">
        <w:rPr>
          <w:rFonts w:cs="Arial"/>
        </w:rPr>
        <w:t xml:space="preserve"> monitoring </w:t>
      </w:r>
      <w:r w:rsidR="00F34C91" w:rsidRPr="002A75F2">
        <w:rPr>
          <w:rFonts w:cs="Arial"/>
        </w:rPr>
        <w:t>and record keeping,</w:t>
      </w:r>
    </w:p>
    <w:p w14:paraId="539664C0" w14:textId="77777777" w:rsidR="00FE5DC6" w:rsidRPr="002A75F2" w:rsidRDefault="00FE5DC6" w:rsidP="000E72E5">
      <w:pPr>
        <w:pStyle w:val="ListBullet2"/>
        <w:rPr>
          <w:rFonts w:cs="Arial"/>
        </w:rPr>
      </w:pPr>
      <w:r w:rsidRPr="002A75F2">
        <w:rPr>
          <w:rFonts w:cs="Arial"/>
        </w:rPr>
        <w:t xml:space="preserve">Suitable to trigger a specified contingency plan or other </w:t>
      </w:r>
      <w:r w:rsidR="00F34C91" w:rsidRPr="002A75F2">
        <w:rPr>
          <w:rFonts w:cs="Arial"/>
        </w:rPr>
        <w:t>action, and</w:t>
      </w:r>
    </w:p>
    <w:p w14:paraId="4BA3F670" w14:textId="0EA038E9" w:rsidR="006045BD" w:rsidRPr="002A75F2" w:rsidRDefault="00FE5DC6" w:rsidP="000E72E5">
      <w:pPr>
        <w:pStyle w:val="ListBullet2"/>
        <w:rPr>
          <w:rFonts w:cs="Arial"/>
        </w:rPr>
      </w:pPr>
      <w:r w:rsidRPr="002A75F2">
        <w:rPr>
          <w:rFonts w:cs="Arial"/>
        </w:rPr>
        <w:t xml:space="preserve">Suitable for inclusion in a </w:t>
      </w:r>
      <w:r w:rsidR="00966388" w:rsidRPr="002A75F2">
        <w:rPr>
          <w:rFonts w:cs="Arial"/>
        </w:rPr>
        <w:t>CPU</w:t>
      </w:r>
      <w:r w:rsidR="00A44686" w:rsidRPr="002A75F2">
        <w:rPr>
          <w:rFonts w:cs="Arial"/>
        </w:rPr>
        <w:t>, which is a control document that the Director may issue to the property owner.</w:t>
      </w:r>
    </w:p>
    <w:p w14:paraId="6C31F49C" w14:textId="3F60C700" w:rsidR="00B736F9" w:rsidRPr="002A75F2" w:rsidRDefault="00B736F9" w:rsidP="00AF2B7C">
      <w:pPr>
        <w:pStyle w:val="Heading2"/>
        <w:rPr>
          <w:rFonts w:cs="Arial"/>
        </w:rPr>
      </w:pPr>
      <w:bookmarkStart w:id="326" w:name="_Risk_Management_Measures_and_Ongoin"/>
      <w:bookmarkStart w:id="327" w:name="_Toc74119411"/>
      <w:bookmarkStart w:id="328" w:name="_Toc91393588"/>
      <w:bookmarkStart w:id="329" w:name="_Toc112727451"/>
      <w:bookmarkStart w:id="330" w:name="_Toc41905727"/>
      <w:bookmarkEnd w:id="326"/>
      <w:r w:rsidRPr="002A75F2">
        <w:rPr>
          <w:rFonts w:cs="Arial"/>
        </w:rPr>
        <w:t>Risk Management Measures and Ongoing Monitoring</w:t>
      </w:r>
      <w:bookmarkEnd w:id="327"/>
      <w:bookmarkEnd w:id="328"/>
      <w:bookmarkEnd w:id="329"/>
      <w:bookmarkEnd w:id="330"/>
    </w:p>
    <w:p w14:paraId="53820147" w14:textId="5FE23DD6" w:rsidR="00842C6C" w:rsidRPr="002A75F2" w:rsidRDefault="00B736F9" w:rsidP="00840964">
      <w:pPr>
        <w:rPr>
          <w:rFonts w:cs="Arial"/>
        </w:rPr>
      </w:pPr>
      <w:r w:rsidRPr="002A75F2">
        <w:rPr>
          <w:rFonts w:cs="Arial"/>
        </w:rPr>
        <w:t xml:space="preserve">The design and implementation of risk management </w:t>
      </w:r>
      <w:r w:rsidRPr="000C60E1">
        <w:rPr>
          <w:rFonts w:cs="Arial"/>
          <w:highlight w:val="white"/>
        </w:rPr>
        <w:t xml:space="preserve">measures must also be described and submitted in the </w:t>
      </w:r>
      <w:r w:rsidR="0041572E" w:rsidRPr="000C60E1">
        <w:rPr>
          <w:rFonts w:cs="Arial"/>
          <w:highlight w:val="white"/>
        </w:rPr>
        <w:t>RA report</w:t>
      </w:r>
      <w:r w:rsidRPr="000C60E1">
        <w:rPr>
          <w:rFonts w:cs="Arial"/>
          <w:highlight w:val="white"/>
        </w:rPr>
        <w:t xml:space="preserve"> in the form of a risk management plan. </w:t>
      </w:r>
      <w:r w:rsidR="00842C6C" w:rsidRPr="000C60E1">
        <w:rPr>
          <w:rFonts w:cs="Arial"/>
          <w:highlight w:val="white"/>
        </w:rPr>
        <w:t xml:space="preserve">Where additional site </w:t>
      </w:r>
      <w:r w:rsidR="00842C6C" w:rsidRPr="002A75F2">
        <w:rPr>
          <w:rFonts w:cs="Arial"/>
        </w:rPr>
        <w:lastRenderedPageBreak/>
        <w:t>assessment is required to support the design and operation of risk management measures, this assessment should be clearly identified and documented.</w:t>
      </w:r>
    </w:p>
    <w:p w14:paraId="3D77DD54" w14:textId="77CACC41" w:rsidR="00BE7F07" w:rsidRPr="002A75F2" w:rsidRDefault="00B736F9" w:rsidP="00840964">
      <w:pPr>
        <w:rPr>
          <w:rFonts w:cs="Arial"/>
        </w:rPr>
      </w:pPr>
      <w:r w:rsidRPr="002A75F2">
        <w:rPr>
          <w:rFonts w:cs="Arial"/>
        </w:rPr>
        <w:t>The risk management plan</w:t>
      </w:r>
      <w:r w:rsidR="00E0277E" w:rsidRPr="002A75F2">
        <w:rPr>
          <w:rFonts w:cs="Arial"/>
        </w:rPr>
        <w:t>, if applicable,</w:t>
      </w:r>
      <w:r w:rsidRPr="002A75F2">
        <w:rPr>
          <w:rFonts w:cs="Arial"/>
        </w:rPr>
        <w:t xml:space="preserve"> </w:t>
      </w:r>
      <w:r w:rsidR="00E0277E" w:rsidRPr="002A75F2">
        <w:rPr>
          <w:rFonts w:cs="Arial"/>
        </w:rPr>
        <w:t>is a mandatory</w:t>
      </w:r>
      <w:r w:rsidRPr="002A75F2">
        <w:rPr>
          <w:rFonts w:cs="Arial"/>
        </w:rPr>
        <w:t xml:space="preserve"> section </w:t>
      </w:r>
      <w:r w:rsidR="00E0277E" w:rsidRPr="002A75F2">
        <w:rPr>
          <w:rFonts w:cs="Arial"/>
        </w:rPr>
        <w:t>of</w:t>
      </w:r>
      <w:r w:rsidRPr="002A75F2">
        <w:rPr>
          <w:rFonts w:cs="Arial"/>
        </w:rPr>
        <w:t xml:space="preserve"> the </w:t>
      </w:r>
      <w:r w:rsidR="0041572E" w:rsidRPr="002A75F2">
        <w:rPr>
          <w:rFonts w:cs="Arial"/>
        </w:rPr>
        <w:t>RA report</w:t>
      </w:r>
      <w:r w:rsidR="008F1FB1" w:rsidRPr="002A75F2">
        <w:rPr>
          <w:rFonts w:cs="Arial"/>
        </w:rPr>
        <w:t>.</w:t>
      </w:r>
      <w:r w:rsidR="00BE7F07" w:rsidRPr="002A75F2">
        <w:rPr>
          <w:rFonts w:cs="Arial"/>
        </w:rPr>
        <w:t xml:space="preserve"> In cases where the risk assessment recommends a risk management measure that involves engineering or hydrogeological controls, the risk assessment’s appendices must include an engineering or hydrogeological report (with detailed plans or specifications) prepared by a QP who has the qualifications set out in clause (a) or (</w:t>
      </w:r>
      <w:r w:rsidR="00EC36CC" w:rsidRPr="002A75F2">
        <w:rPr>
          <w:rFonts w:cs="Arial"/>
        </w:rPr>
        <w:t>b</w:t>
      </w:r>
      <w:r w:rsidR="00BE7F07" w:rsidRPr="002A75F2">
        <w:rPr>
          <w:rFonts w:cs="Arial"/>
        </w:rPr>
        <w:t>), as the case may be, of subsection 5 (2) of the Regulation. This requirement is included in the following part of the Regulation:</w:t>
      </w:r>
    </w:p>
    <w:p w14:paraId="3A72C5DE" w14:textId="77777777" w:rsidR="00BE7F07" w:rsidRPr="002A75F2" w:rsidRDefault="00BE7F07" w:rsidP="00BE7F07">
      <w:pPr>
        <w:numPr>
          <w:ilvl w:val="0"/>
          <w:numId w:val="22"/>
        </w:numPr>
        <w:shd w:val="clear" w:color="auto" w:fill="D9D9D9"/>
        <w:rPr>
          <w:rFonts w:cs="Arial"/>
        </w:rPr>
      </w:pPr>
      <w:r w:rsidRPr="002A75F2">
        <w:rPr>
          <w:rFonts w:cs="Arial"/>
        </w:rPr>
        <w:t>Paragraph 7 of subsection 4 (6) of Schedule C</w:t>
      </w:r>
    </w:p>
    <w:p w14:paraId="601DB422" w14:textId="3A0ADAF1" w:rsidR="00B736F9" w:rsidRPr="002A75F2" w:rsidRDefault="00F26594" w:rsidP="00840964">
      <w:pPr>
        <w:rPr>
          <w:rFonts w:cs="Arial"/>
        </w:rPr>
      </w:pPr>
      <w:r w:rsidRPr="002A75F2">
        <w:rPr>
          <w:rFonts w:cs="Arial"/>
        </w:rPr>
        <w:t xml:space="preserve">In addition to the </w:t>
      </w:r>
      <w:r w:rsidR="00BE7F07" w:rsidRPr="002A75F2">
        <w:rPr>
          <w:rFonts w:cs="Arial"/>
        </w:rPr>
        <w:t xml:space="preserve">above, </w:t>
      </w:r>
      <w:r w:rsidR="00635F68" w:rsidRPr="002A75F2">
        <w:rPr>
          <w:rFonts w:cs="Arial"/>
        </w:rPr>
        <w:t>if engineering controls are proposed as risk managemen</w:t>
      </w:r>
      <w:r w:rsidR="00C62AC7" w:rsidRPr="002A75F2">
        <w:rPr>
          <w:rFonts w:cs="Arial"/>
        </w:rPr>
        <w:t>t</w:t>
      </w:r>
      <w:r w:rsidR="00635F68" w:rsidRPr="002A75F2">
        <w:rPr>
          <w:rFonts w:cs="Arial"/>
        </w:rPr>
        <w:t xml:space="preserve"> measures, </w:t>
      </w:r>
      <w:r w:rsidR="00BE7F07" w:rsidRPr="002A75F2">
        <w:rPr>
          <w:rFonts w:cs="Arial"/>
        </w:rPr>
        <w:t xml:space="preserve">the </w:t>
      </w:r>
      <w:r w:rsidR="008F1FB1" w:rsidRPr="002A75F2">
        <w:rPr>
          <w:rFonts w:cs="Arial"/>
        </w:rPr>
        <w:t>risk man</w:t>
      </w:r>
      <w:r w:rsidR="00DC50DA" w:rsidRPr="002A75F2">
        <w:rPr>
          <w:rFonts w:cs="Arial"/>
        </w:rPr>
        <w:t>a</w:t>
      </w:r>
      <w:r w:rsidR="008F1FB1" w:rsidRPr="002A75F2">
        <w:rPr>
          <w:rFonts w:cs="Arial"/>
        </w:rPr>
        <w:t xml:space="preserve">gement plan </w:t>
      </w:r>
      <w:r w:rsidR="00BE7F07" w:rsidRPr="002A75F2">
        <w:rPr>
          <w:rFonts w:cs="Arial"/>
        </w:rPr>
        <w:t xml:space="preserve">(including all </w:t>
      </w:r>
      <w:r w:rsidR="000A1DB1" w:rsidRPr="002A75F2">
        <w:rPr>
          <w:rFonts w:cs="Arial"/>
        </w:rPr>
        <w:t xml:space="preserve">detailed plans and specifications) </w:t>
      </w:r>
      <w:r w:rsidR="00635F68" w:rsidRPr="002A75F2">
        <w:rPr>
          <w:rFonts w:cs="Arial"/>
        </w:rPr>
        <w:t>must</w:t>
      </w:r>
      <w:r w:rsidR="004A06D3" w:rsidRPr="002A75F2">
        <w:rPr>
          <w:rFonts w:cs="Arial"/>
        </w:rPr>
        <w:t xml:space="preserve"> </w:t>
      </w:r>
      <w:r w:rsidR="000A1DB1" w:rsidRPr="002A75F2">
        <w:rPr>
          <w:rFonts w:cs="Arial"/>
        </w:rPr>
        <w:t xml:space="preserve">be provided as a separate stand-alone document, signed </w:t>
      </w:r>
      <w:r w:rsidR="00EC36CC" w:rsidRPr="002A75F2">
        <w:rPr>
          <w:rFonts w:cs="Arial"/>
        </w:rPr>
        <w:t>and</w:t>
      </w:r>
      <w:r w:rsidR="000A1DB1" w:rsidRPr="002A75F2">
        <w:rPr>
          <w:rFonts w:cs="Arial"/>
        </w:rPr>
        <w:t xml:space="preserve"> sealed by the </w:t>
      </w:r>
      <w:r w:rsidR="00635F68" w:rsidRPr="002A75F2">
        <w:rPr>
          <w:rFonts w:cs="Arial"/>
        </w:rPr>
        <w:t>Professional Engineer</w:t>
      </w:r>
      <w:r w:rsidR="000A1DB1" w:rsidRPr="002A75F2">
        <w:rPr>
          <w:rFonts w:cs="Arial"/>
        </w:rPr>
        <w:t xml:space="preserve"> responsible for its preparation and included as an </w:t>
      </w:r>
      <w:r w:rsidR="008F1FB1" w:rsidRPr="002A75F2">
        <w:rPr>
          <w:rFonts w:cs="Arial"/>
        </w:rPr>
        <w:t>appendix</w:t>
      </w:r>
      <w:r w:rsidR="000A1DB1" w:rsidRPr="002A75F2">
        <w:rPr>
          <w:rFonts w:cs="Arial"/>
        </w:rPr>
        <w:t xml:space="preserve"> to the RA report</w:t>
      </w:r>
      <w:r w:rsidR="00BE7F07" w:rsidRPr="002A75F2">
        <w:rPr>
          <w:rFonts w:cs="Arial"/>
        </w:rPr>
        <w:t xml:space="preserve">. </w:t>
      </w:r>
      <w:r w:rsidR="00B736F9" w:rsidRPr="002A75F2">
        <w:rPr>
          <w:rFonts w:cs="Arial"/>
        </w:rPr>
        <w:t xml:space="preserve">The risk management plan must include: </w:t>
      </w:r>
    </w:p>
    <w:p w14:paraId="6E945810" w14:textId="77777777" w:rsidR="00B736F9" w:rsidRPr="002A75F2" w:rsidRDefault="00B736F9" w:rsidP="000E72E5">
      <w:pPr>
        <w:pStyle w:val="ListBullet2"/>
        <w:rPr>
          <w:rFonts w:cs="Arial"/>
        </w:rPr>
      </w:pPr>
      <w:r w:rsidRPr="002A75F2">
        <w:rPr>
          <w:rFonts w:cs="Arial"/>
        </w:rPr>
        <w:t>Risk Management Measures to be implemented following achievement of the property</w:t>
      </w:r>
      <w:r w:rsidR="00C621DE" w:rsidRPr="002A75F2">
        <w:rPr>
          <w:rFonts w:cs="Arial"/>
        </w:rPr>
        <w:t xml:space="preserve"> </w:t>
      </w:r>
      <w:r w:rsidRPr="002A75F2">
        <w:rPr>
          <w:rFonts w:cs="Arial"/>
        </w:rPr>
        <w:t>specific standard;</w:t>
      </w:r>
    </w:p>
    <w:p w14:paraId="4C03443D" w14:textId="77777777" w:rsidR="00B736F9" w:rsidRPr="002A75F2" w:rsidRDefault="00B736F9" w:rsidP="000E72E5">
      <w:pPr>
        <w:pStyle w:val="ListBullet2"/>
        <w:rPr>
          <w:rFonts w:cs="Arial"/>
        </w:rPr>
      </w:pPr>
      <w:r w:rsidRPr="002A75F2">
        <w:rPr>
          <w:rFonts w:cs="Arial"/>
        </w:rPr>
        <w:t>Design and procedures for ongoing maintenance, monitoring and replacement of the risk management measures;</w:t>
      </w:r>
    </w:p>
    <w:p w14:paraId="345DBDB0" w14:textId="77777777" w:rsidR="00B736F9" w:rsidRPr="002A75F2" w:rsidRDefault="00B736F9" w:rsidP="000E72E5">
      <w:pPr>
        <w:pStyle w:val="ListBullet2"/>
        <w:rPr>
          <w:rFonts w:cs="Arial"/>
        </w:rPr>
      </w:pPr>
      <w:r w:rsidRPr="002A75F2">
        <w:rPr>
          <w:rFonts w:cs="Arial"/>
        </w:rPr>
        <w:t>A contingency plan; and</w:t>
      </w:r>
    </w:p>
    <w:p w14:paraId="0B42E780" w14:textId="77777777" w:rsidR="00B736F9" w:rsidRPr="002A75F2" w:rsidRDefault="00B736F9" w:rsidP="000E72E5">
      <w:pPr>
        <w:pStyle w:val="ListBullet2"/>
        <w:rPr>
          <w:rFonts w:cs="Arial"/>
        </w:rPr>
      </w:pPr>
      <w:r w:rsidRPr="002A75F2">
        <w:rPr>
          <w:rFonts w:cs="Arial"/>
        </w:rPr>
        <w:t>Risk management responsibilities and obligations.</w:t>
      </w:r>
    </w:p>
    <w:p w14:paraId="20B7D5D2" w14:textId="77777777" w:rsidR="00B736F9" w:rsidRPr="002A75F2" w:rsidRDefault="00B736F9" w:rsidP="00840964">
      <w:pPr>
        <w:rPr>
          <w:rFonts w:cs="Arial"/>
        </w:rPr>
      </w:pPr>
      <w:r w:rsidRPr="002A75F2">
        <w:rPr>
          <w:rFonts w:cs="Arial"/>
        </w:rPr>
        <w:t xml:space="preserve">Where property characterization has identified the potential for </w:t>
      </w:r>
      <w:r w:rsidR="00C621DE" w:rsidRPr="002A75F2">
        <w:rPr>
          <w:rFonts w:cs="Arial"/>
        </w:rPr>
        <w:t>movement of contamina</w:t>
      </w:r>
      <w:r w:rsidR="00E0277E" w:rsidRPr="002A75F2">
        <w:rPr>
          <w:rFonts w:cs="Arial"/>
        </w:rPr>
        <w:t xml:space="preserve">nts </w:t>
      </w:r>
      <w:r w:rsidR="00C621DE" w:rsidRPr="002A75F2">
        <w:rPr>
          <w:rFonts w:cs="Arial"/>
        </w:rPr>
        <w:t xml:space="preserve">from the RA property </w:t>
      </w:r>
      <w:r w:rsidRPr="002A75F2">
        <w:rPr>
          <w:rFonts w:cs="Arial"/>
        </w:rPr>
        <w:t>to off-site receptors, the anticipated impact of the risk management plan on those off-site receptors must be described.</w:t>
      </w:r>
    </w:p>
    <w:p w14:paraId="4792953B" w14:textId="1A8023D5" w:rsidR="000A5873" w:rsidRPr="002A75F2" w:rsidRDefault="000A5873" w:rsidP="000A5873">
      <w:pPr>
        <w:pStyle w:val="Heading2"/>
        <w:rPr>
          <w:rFonts w:cs="Arial"/>
          <w:bCs w:val="0"/>
        </w:rPr>
      </w:pPr>
      <w:bookmarkStart w:id="331" w:name="_Toc41905728"/>
      <w:r w:rsidRPr="002A75F2">
        <w:rPr>
          <w:rFonts w:cs="Arial"/>
          <w:bCs w:val="0"/>
        </w:rPr>
        <w:t>Additional Guidance</w:t>
      </w:r>
      <w:bookmarkEnd w:id="331"/>
    </w:p>
    <w:p w14:paraId="5D73DE42" w14:textId="77777777" w:rsidR="000A5873" w:rsidRPr="002A75F2" w:rsidRDefault="000A5873" w:rsidP="000A5873">
      <w:pPr>
        <w:rPr>
          <w:rFonts w:cs="Arial"/>
          <w:bCs w:val="0"/>
          <w:lang w:val="en-GB"/>
        </w:rPr>
      </w:pPr>
      <w:r w:rsidRPr="002A75F2">
        <w:rPr>
          <w:rFonts w:cs="Arial"/>
          <w:bCs w:val="0"/>
          <w:lang w:val="en-GB"/>
        </w:rPr>
        <w:t>If it has been demonstrated that contamina</w:t>
      </w:r>
      <w:r w:rsidR="0067132D" w:rsidRPr="002A75F2">
        <w:rPr>
          <w:rFonts w:cs="Arial"/>
          <w:bCs w:val="0"/>
          <w:lang w:val="en-GB"/>
        </w:rPr>
        <w:t xml:space="preserve">nts </w:t>
      </w:r>
      <w:r w:rsidRPr="002A75F2">
        <w:rPr>
          <w:rFonts w:cs="Arial"/>
          <w:bCs w:val="0"/>
          <w:lang w:val="en-GB"/>
        </w:rPr>
        <w:t>on</w:t>
      </w:r>
      <w:r w:rsidR="0018331E" w:rsidRPr="002A75F2">
        <w:rPr>
          <w:rFonts w:cs="Arial"/>
          <w:bCs w:val="0"/>
          <w:lang w:val="en-GB"/>
        </w:rPr>
        <w:t>, in or under</w:t>
      </w:r>
      <w:r w:rsidRPr="002A75F2">
        <w:rPr>
          <w:rFonts w:cs="Arial"/>
          <w:bCs w:val="0"/>
          <w:lang w:val="en-GB"/>
        </w:rPr>
        <w:t xml:space="preserve"> some portion of the property do not require risk management, or requires a different risk management strategy, </w:t>
      </w:r>
      <w:r w:rsidR="0018331E" w:rsidRPr="002A75F2">
        <w:rPr>
          <w:rFonts w:cs="Arial"/>
          <w:bCs w:val="0"/>
          <w:lang w:val="en-GB"/>
        </w:rPr>
        <w:t>it may be possible to pursue one of the following approaches</w:t>
      </w:r>
      <w:r w:rsidRPr="002A75F2">
        <w:rPr>
          <w:rFonts w:cs="Arial"/>
          <w:bCs w:val="0"/>
          <w:lang w:val="en-GB"/>
        </w:rPr>
        <w:t>:</w:t>
      </w:r>
    </w:p>
    <w:p w14:paraId="41228469" w14:textId="4D7E16CF" w:rsidR="000A5873" w:rsidRPr="002A75F2" w:rsidRDefault="000A5873" w:rsidP="000E72E5">
      <w:pPr>
        <w:pStyle w:val="ListBullet2"/>
        <w:rPr>
          <w:rFonts w:cs="Arial"/>
        </w:rPr>
      </w:pPr>
      <w:r w:rsidRPr="002A75F2">
        <w:rPr>
          <w:rFonts w:cs="Arial"/>
        </w:rPr>
        <w:t xml:space="preserve">Risk management measures may be limited, through a CPU, to parts of the property </w:t>
      </w:r>
      <w:r w:rsidR="0018331E" w:rsidRPr="002A75F2">
        <w:rPr>
          <w:rFonts w:cs="Arial"/>
        </w:rPr>
        <w:t xml:space="preserve">that require such measures. These parts of the property would need to be clearly indicated on the plan of survey and be consistent with the delineation information included in the </w:t>
      </w:r>
      <w:r w:rsidR="00A149F1" w:rsidRPr="002A75F2">
        <w:rPr>
          <w:rFonts w:cs="Arial"/>
        </w:rPr>
        <w:t>phase two conceptual site model</w:t>
      </w:r>
      <w:r w:rsidRPr="002A75F2">
        <w:rPr>
          <w:rFonts w:cs="Arial"/>
        </w:rPr>
        <w:t>.</w:t>
      </w:r>
    </w:p>
    <w:p w14:paraId="643E8257" w14:textId="53D74B81" w:rsidR="000A5873" w:rsidRPr="002A75F2" w:rsidRDefault="000B2016" w:rsidP="000E72E5">
      <w:pPr>
        <w:pStyle w:val="ListBullet2"/>
        <w:rPr>
          <w:rFonts w:cs="Arial"/>
        </w:rPr>
      </w:pPr>
      <w:r w:rsidRPr="002A75F2">
        <w:rPr>
          <w:rFonts w:cs="Arial"/>
        </w:rPr>
        <w:t xml:space="preserve">The </w:t>
      </w:r>
      <w:r w:rsidR="003A2390" w:rsidRPr="002A75F2">
        <w:rPr>
          <w:rFonts w:cs="Arial"/>
        </w:rPr>
        <w:t>RA</w:t>
      </w:r>
      <w:r w:rsidRPr="002A75F2">
        <w:rPr>
          <w:rFonts w:cs="Arial"/>
        </w:rPr>
        <w:t xml:space="preserve"> report may propose more than one set of property specific standards to support submitting more than one RSC for filing. </w:t>
      </w:r>
      <w:r w:rsidR="000A5873" w:rsidRPr="002A75F2">
        <w:rPr>
          <w:rFonts w:cs="Arial"/>
        </w:rPr>
        <w:t xml:space="preserve">This will require a clear delineation in the risk assessment, including the identification of the different </w:t>
      </w:r>
      <w:smartTag w:uri="urn:schemas-microsoft-com:office:smarttags" w:element="stockticker">
        <w:r w:rsidR="000A5873" w:rsidRPr="002A75F2">
          <w:rPr>
            <w:rFonts w:cs="Arial"/>
          </w:rPr>
          <w:t>RSC</w:t>
        </w:r>
      </w:smartTag>
      <w:r w:rsidR="000A5873" w:rsidRPr="002A75F2">
        <w:rPr>
          <w:rFonts w:cs="Arial"/>
        </w:rPr>
        <w:t xml:space="preserve"> propert</w:t>
      </w:r>
      <w:r w:rsidR="0018331E" w:rsidRPr="002A75F2">
        <w:rPr>
          <w:rFonts w:cs="Arial"/>
        </w:rPr>
        <w:t xml:space="preserve">ies </w:t>
      </w:r>
      <w:r w:rsidR="000A5873" w:rsidRPr="002A75F2">
        <w:rPr>
          <w:rFonts w:cs="Arial"/>
        </w:rPr>
        <w:t>in the legal description and plan of survey.</w:t>
      </w:r>
      <w:r w:rsidR="00AC69B7" w:rsidRPr="002A75F2">
        <w:rPr>
          <w:rFonts w:cs="Arial"/>
        </w:rPr>
        <w:t xml:space="preserve"> </w:t>
      </w:r>
      <w:r w:rsidR="0018331E" w:rsidRPr="002A75F2">
        <w:rPr>
          <w:rFonts w:cs="Arial"/>
        </w:rPr>
        <w:t>Refer to section 3.3.3 of this Procedures document for additional details</w:t>
      </w:r>
      <w:r w:rsidR="00323FA7" w:rsidRPr="002A75F2">
        <w:rPr>
          <w:rFonts w:cs="Arial"/>
        </w:rPr>
        <w:t xml:space="preserve"> regarding this approach</w:t>
      </w:r>
      <w:r w:rsidR="0018331E" w:rsidRPr="002A75F2">
        <w:rPr>
          <w:rFonts w:cs="Arial"/>
        </w:rPr>
        <w:t>.</w:t>
      </w:r>
    </w:p>
    <w:p w14:paraId="4D1B2769" w14:textId="05787859" w:rsidR="000A5873" w:rsidRPr="002A75F2" w:rsidRDefault="000A5873" w:rsidP="000A5873">
      <w:pPr>
        <w:rPr>
          <w:rFonts w:cs="Arial"/>
          <w:bCs w:val="0"/>
          <w:lang w:val="en-GB"/>
        </w:rPr>
      </w:pPr>
      <w:r w:rsidRPr="002A75F2">
        <w:rPr>
          <w:rFonts w:cs="Arial"/>
          <w:bCs w:val="0"/>
          <w:lang w:val="en-GB"/>
        </w:rPr>
        <w:t xml:space="preserve">Risk to all receptors (human and ecological) resulting from each concentration proposed as a standard, on and off site and in the absence of risk management, therefore must be explicitly identified in the </w:t>
      </w:r>
      <w:r w:rsidR="003A2390" w:rsidRPr="002A75F2">
        <w:rPr>
          <w:rFonts w:cs="Arial"/>
          <w:bCs w:val="0"/>
          <w:lang w:val="en-GB"/>
        </w:rPr>
        <w:t>RA</w:t>
      </w:r>
      <w:r w:rsidRPr="002A75F2">
        <w:rPr>
          <w:rFonts w:cs="Arial"/>
          <w:bCs w:val="0"/>
          <w:lang w:val="en-GB"/>
        </w:rPr>
        <w:t xml:space="preserve"> report in order to justify the extent of the proposed risk management </w:t>
      </w:r>
      <w:r w:rsidRPr="002A75F2">
        <w:rPr>
          <w:rFonts w:cs="Arial"/>
          <w:bCs w:val="0"/>
          <w:lang w:val="en-GB"/>
        </w:rPr>
        <w:lastRenderedPageBreak/>
        <w:t xml:space="preserve">measures. However, </w:t>
      </w:r>
      <w:bookmarkStart w:id="332" w:name="_Hlk40370368"/>
      <w:r w:rsidRPr="002A75F2">
        <w:rPr>
          <w:rFonts w:cs="Arial"/>
          <w:bCs w:val="0"/>
          <w:lang w:val="en-GB"/>
        </w:rPr>
        <w:t xml:space="preserve">further consultation with the Ministry’s local District Office is recommended if considering one of these approaches, as </w:t>
      </w:r>
      <w:r w:rsidR="0018331E" w:rsidRPr="002A75F2">
        <w:rPr>
          <w:rFonts w:cs="Arial"/>
          <w:bCs w:val="0"/>
          <w:lang w:val="en-GB"/>
        </w:rPr>
        <w:t>appropriateness of these approaches will depend on the circumstances of each case</w:t>
      </w:r>
      <w:bookmarkEnd w:id="332"/>
      <w:r w:rsidRPr="002A75F2">
        <w:rPr>
          <w:rFonts w:cs="Arial"/>
          <w:bCs w:val="0"/>
          <w:lang w:val="en-GB"/>
        </w:rPr>
        <w:t>.</w:t>
      </w:r>
    </w:p>
    <w:p w14:paraId="25C3BEE3" w14:textId="1337A14B" w:rsidR="00B54E5D" w:rsidRPr="002A75F2" w:rsidRDefault="00137AE4" w:rsidP="00137AE4">
      <w:pPr>
        <w:pStyle w:val="Heading2"/>
        <w:rPr>
          <w:rFonts w:cs="Arial"/>
        </w:rPr>
      </w:pPr>
      <w:bookmarkStart w:id="333" w:name="_Toc41905729"/>
      <w:r w:rsidRPr="002A75F2">
        <w:rPr>
          <w:rFonts w:cs="Arial"/>
        </w:rPr>
        <w:t>Financial Assurance</w:t>
      </w:r>
      <w:bookmarkEnd w:id="333"/>
    </w:p>
    <w:p w14:paraId="617ED8D7" w14:textId="12BB4FAE" w:rsidR="00137AE4" w:rsidRPr="002A75F2" w:rsidRDefault="00180842" w:rsidP="00840964">
      <w:pPr>
        <w:rPr>
          <w:rFonts w:cs="Arial"/>
        </w:rPr>
      </w:pPr>
      <w:r w:rsidRPr="002A75F2">
        <w:rPr>
          <w:rFonts w:cs="Arial"/>
        </w:rPr>
        <w:t xml:space="preserve">In some cases, the Ministry may require financial assurance (FA) to be provided to the Ministry to ensure </w:t>
      </w:r>
      <w:r w:rsidR="00072FBF" w:rsidRPr="002A75F2">
        <w:rPr>
          <w:rFonts w:cs="Arial"/>
        </w:rPr>
        <w:t xml:space="preserve">that specific </w:t>
      </w:r>
      <w:r w:rsidR="00080673" w:rsidRPr="002A75F2">
        <w:rPr>
          <w:rFonts w:cs="Arial"/>
        </w:rPr>
        <w:t>risk management measures</w:t>
      </w:r>
      <w:r w:rsidRPr="002A75F2">
        <w:rPr>
          <w:rFonts w:cs="Arial"/>
        </w:rPr>
        <w:t xml:space="preserve"> </w:t>
      </w:r>
      <w:r w:rsidR="00072FBF" w:rsidRPr="002A75F2">
        <w:rPr>
          <w:rFonts w:cs="Arial"/>
        </w:rPr>
        <w:t>described in</w:t>
      </w:r>
      <w:r w:rsidRPr="002A75F2">
        <w:rPr>
          <w:rFonts w:cs="Arial"/>
        </w:rPr>
        <w:t xml:space="preserve"> the CPU are </w:t>
      </w:r>
      <w:r w:rsidR="00072FBF" w:rsidRPr="002A75F2">
        <w:rPr>
          <w:rFonts w:cs="Arial"/>
        </w:rPr>
        <w:t>implemented and remain in place for their required duration</w:t>
      </w:r>
      <w:r w:rsidR="00CD3889" w:rsidRPr="002A75F2">
        <w:rPr>
          <w:rFonts w:cs="Arial"/>
        </w:rPr>
        <w:t>,</w:t>
      </w:r>
      <w:r w:rsidR="00072FBF" w:rsidRPr="002A75F2">
        <w:rPr>
          <w:rFonts w:cs="Arial"/>
        </w:rPr>
        <w:t xml:space="preserve"> </w:t>
      </w:r>
      <w:r w:rsidRPr="002A75F2">
        <w:rPr>
          <w:rFonts w:cs="Arial"/>
        </w:rPr>
        <w:t xml:space="preserve">in the event </w:t>
      </w:r>
      <w:r w:rsidR="00072FBF" w:rsidRPr="002A75F2">
        <w:rPr>
          <w:rFonts w:cs="Arial"/>
        </w:rPr>
        <w:t xml:space="preserve">that </w:t>
      </w:r>
      <w:r w:rsidRPr="002A75F2">
        <w:rPr>
          <w:rFonts w:cs="Arial"/>
        </w:rPr>
        <w:t>the property owner is no</w:t>
      </w:r>
      <w:r w:rsidR="00072FBF" w:rsidRPr="002A75F2">
        <w:rPr>
          <w:rFonts w:cs="Arial"/>
        </w:rPr>
        <w:t xml:space="preserve"> longer able to </w:t>
      </w:r>
      <w:r w:rsidRPr="002A75F2">
        <w:rPr>
          <w:rFonts w:cs="Arial"/>
        </w:rPr>
        <w:t xml:space="preserve">do so. </w:t>
      </w:r>
      <w:r w:rsidR="001F7D26" w:rsidRPr="002A75F2">
        <w:rPr>
          <w:rFonts w:cs="Arial"/>
        </w:rPr>
        <w:t>Additional details regarding FA are available in the following Ministry document</w:t>
      </w:r>
      <w:r w:rsidR="00A552BE" w:rsidRPr="002A75F2">
        <w:rPr>
          <w:rFonts w:cs="Arial"/>
        </w:rPr>
        <w:t xml:space="preserve"> “</w:t>
      </w:r>
      <w:r w:rsidR="001F7D26" w:rsidRPr="002A75F2">
        <w:rPr>
          <w:rFonts w:cs="Arial"/>
        </w:rPr>
        <w:t>Guideline F-15: Financial Assurance Guideline</w:t>
      </w:r>
      <w:r w:rsidR="00A552BE" w:rsidRPr="002A75F2">
        <w:rPr>
          <w:rFonts w:cs="Arial"/>
        </w:rPr>
        <w:t xml:space="preserve">”, </w:t>
      </w:r>
      <w:r w:rsidR="001F7D26" w:rsidRPr="002A75F2">
        <w:rPr>
          <w:rFonts w:cs="Arial"/>
        </w:rPr>
        <w:t xml:space="preserve">PIBS 0226e04. </w:t>
      </w:r>
      <w:r w:rsidRPr="002A75F2">
        <w:rPr>
          <w:rFonts w:cs="Arial"/>
        </w:rPr>
        <w:t>Further consultation with the Ministry’s local District Office is recommended, as the need for FA will depend on the circumstances of each case.</w:t>
      </w:r>
    </w:p>
    <w:p w14:paraId="5A5189CB" w14:textId="0BD19EBD" w:rsidR="00963724" w:rsidRPr="002A75F2" w:rsidRDefault="00963724" w:rsidP="00DE57BB">
      <w:pPr>
        <w:pStyle w:val="Heading2"/>
        <w:rPr>
          <w:rFonts w:cs="Arial"/>
        </w:rPr>
      </w:pPr>
      <w:bookmarkStart w:id="334" w:name="_Toc41905730"/>
      <w:r w:rsidRPr="002A75F2">
        <w:rPr>
          <w:rFonts w:cs="Arial"/>
        </w:rPr>
        <w:t>Certificate of Property Use</w:t>
      </w:r>
      <w:bookmarkEnd w:id="334"/>
    </w:p>
    <w:p w14:paraId="05201AD9" w14:textId="713CC245" w:rsidR="00180842" w:rsidRPr="002A75F2" w:rsidRDefault="00180842" w:rsidP="00180842">
      <w:pPr>
        <w:rPr>
          <w:rFonts w:cs="Arial"/>
        </w:rPr>
      </w:pPr>
      <w:r w:rsidRPr="002A75F2">
        <w:rPr>
          <w:rFonts w:cs="Arial"/>
        </w:rPr>
        <w:t>If a</w:t>
      </w:r>
      <w:r w:rsidR="006C4301" w:rsidRPr="002A75F2">
        <w:rPr>
          <w:rFonts w:cs="Arial"/>
        </w:rPr>
        <w:t xml:space="preserve"> risk assessment </w:t>
      </w:r>
      <w:r w:rsidRPr="002A75F2">
        <w:rPr>
          <w:rFonts w:cs="Arial"/>
        </w:rPr>
        <w:t>has been accepted, the Director may issue a control document known a</w:t>
      </w:r>
      <w:r w:rsidR="00A44686" w:rsidRPr="002A75F2">
        <w:rPr>
          <w:rFonts w:cs="Arial"/>
        </w:rPr>
        <w:t xml:space="preserve">s a </w:t>
      </w:r>
      <w:r w:rsidRPr="002A75F2">
        <w:rPr>
          <w:rFonts w:cs="Arial"/>
        </w:rPr>
        <w:t xml:space="preserve">CPU to the owner of the property. The risk management plan, and the level of risk controlled by risk management measures as set out in the </w:t>
      </w:r>
      <w:r w:rsidR="00D4507B" w:rsidRPr="002A75F2">
        <w:rPr>
          <w:rFonts w:cs="Arial"/>
        </w:rPr>
        <w:t>risk assessment</w:t>
      </w:r>
      <w:r w:rsidRPr="002A75F2">
        <w:rPr>
          <w:rFonts w:cs="Arial"/>
        </w:rPr>
        <w:t xml:space="preserve">, are reflected in the content of the CPU. A CPU is a prescribed instrument under the </w:t>
      </w:r>
      <w:r w:rsidRPr="002A75F2">
        <w:rPr>
          <w:rFonts w:cs="Arial"/>
          <w:i/>
        </w:rPr>
        <w:t>Environmental Bill of Rights, 1993</w:t>
      </w:r>
      <w:r w:rsidRPr="002A75F2">
        <w:rPr>
          <w:rFonts w:cs="Arial"/>
        </w:rPr>
        <w:t xml:space="preserve"> (EBR) and as such a proposal for the CPU must be posted on the </w:t>
      </w:r>
      <w:r w:rsidR="00D70EB9">
        <w:rPr>
          <w:rFonts w:cs="Arial"/>
        </w:rPr>
        <w:t>ERO</w:t>
      </w:r>
      <w:r w:rsidRPr="002A75F2">
        <w:rPr>
          <w:rFonts w:cs="Arial"/>
        </w:rPr>
        <w:t xml:space="preserve"> for public comment (except for a CPU in respect of </w:t>
      </w:r>
      <w:r w:rsidR="00E14BCD" w:rsidRPr="002A75F2">
        <w:rPr>
          <w:rFonts w:cs="Arial"/>
        </w:rPr>
        <w:t>an MGRA</w:t>
      </w:r>
      <w:r w:rsidRPr="002A75F2">
        <w:rPr>
          <w:rFonts w:cs="Arial"/>
        </w:rPr>
        <w:t xml:space="preserve">, which is not </w:t>
      </w:r>
      <w:r w:rsidR="0024548C" w:rsidRPr="002A75F2">
        <w:rPr>
          <w:rFonts w:cs="Arial"/>
        </w:rPr>
        <w:t xml:space="preserve">a prescribed instrument and is therefore not required </w:t>
      </w:r>
      <w:r w:rsidRPr="002A75F2">
        <w:rPr>
          <w:rFonts w:cs="Arial"/>
        </w:rPr>
        <w:t>to be posted). Under the EBR, the Director is required to take every reasonable step to ensure that all comments relevant to the proposed CPU that are received as part of the public participation process are considered when deciding whether to issue the CPU.</w:t>
      </w:r>
    </w:p>
    <w:p w14:paraId="3BB2B21A" w14:textId="77777777" w:rsidR="00180842" w:rsidRPr="002A75F2" w:rsidRDefault="00180842" w:rsidP="00180842">
      <w:pPr>
        <w:rPr>
          <w:rFonts w:cs="Arial"/>
        </w:rPr>
      </w:pPr>
      <w:r w:rsidRPr="002A75F2">
        <w:rPr>
          <w:rFonts w:cs="Arial"/>
        </w:rPr>
        <w:t xml:space="preserve">Registration of a Certificate of Requirement on title to the property under subsection 197 (2) of the EPA may be required, in order to ensure that those acquiring an interest in the property are provided with a copy of the CPU and are thereby made aware of property restrictions or requirements. </w:t>
      </w:r>
    </w:p>
    <w:p w14:paraId="51675CEC" w14:textId="4DFE7B9F" w:rsidR="00180842" w:rsidRPr="000C60E1" w:rsidRDefault="00AD233E" w:rsidP="00840964">
      <w:pPr>
        <w:rPr>
          <w:rFonts w:cs="Arial"/>
        </w:rPr>
      </w:pPr>
      <w:r w:rsidRPr="002A75F2">
        <w:rPr>
          <w:rFonts w:cs="Arial"/>
        </w:rPr>
        <w:t xml:space="preserve">Once the CPU has been issued, the Director may alter or impose new conditions in a CPU or revoke the CPU. </w:t>
      </w:r>
      <w:r w:rsidR="00EF7E42" w:rsidRPr="002A75F2">
        <w:rPr>
          <w:rFonts w:cs="Arial"/>
        </w:rPr>
        <w:t xml:space="preserve">Finally, note that a </w:t>
      </w:r>
      <w:r w:rsidRPr="002A75F2">
        <w:rPr>
          <w:rFonts w:cs="Arial"/>
        </w:rPr>
        <w:t>copy of the CPU must be provided when submitting the RSC for filing</w:t>
      </w:r>
      <w:r w:rsidR="005666A5" w:rsidRPr="002A75F2">
        <w:rPr>
          <w:rFonts w:cs="Arial"/>
        </w:rPr>
        <w:t xml:space="preserve"> and will </w:t>
      </w:r>
      <w:r w:rsidRPr="002A75F2">
        <w:rPr>
          <w:rFonts w:cs="Arial"/>
        </w:rPr>
        <w:t xml:space="preserve">be </w:t>
      </w:r>
      <w:r w:rsidR="005666A5" w:rsidRPr="002A75F2">
        <w:rPr>
          <w:rFonts w:cs="Arial"/>
        </w:rPr>
        <w:t>included</w:t>
      </w:r>
      <w:r w:rsidRPr="002A75F2">
        <w:rPr>
          <w:rFonts w:cs="Arial"/>
        </w:rPr>
        <w:t xml:space="preserve"> </w:t>
      </w:r>
      <w:r w:rsidR="0024548C" w:rsidRPr="002A75F2">
        <w:rPr>
          <w:rFonts w:cs="Arial"/>
        </w:rPr>
        <w:t xml:space="preserve">with </w:t>
      </w:r>
      <w:r w:rsidRPr="002A75F2">
        <w:rPr>
          <w:rFonts w:cs="Arial"/>
        </w:rPr>
        <w:t>the RSC once filed to the Environmental Site Registry.</w:t>
      </w:r>
    </w:p>
    <w:p w14:paraId="05649C89" w14:textId="7CD642F9" w:rsidR="00B736F9" w:rsidRPr="000C60E1" w:rsidRDefault="00AF2B7C" w:rsidP="00AF2B7C">
      <w:pPr>
        <w:pStyle w:val="Heading1"/>
      </w:pPr>
      <w:bookmarkStart w:id="335" w:name="_Toc74119425"/>
      <w:bookmarkStart w:id="336" w:name="_Toc74450904"/>
      <w:bookmarkStart w:id="337" w:name="_Toc79571592"/>
      <w:bookmarkStart w:id="338" w:name="_Toc91393589"/>
      <w:bookmarkStart w:id="339" w:name="_Toc112727452"/>
      <w:bookmarkStart w:id="340" w:name="_Toc41905731"/>
      <w:r w:rsidRPr="000C60E1">
        <w:lastRenderedPageBreak/>
        <w:t>Alternative Risk Assessment Procedures</w:t>
      </w:r>
      <w:bookmarkEnd w:id="335"/>
      <w:bookmarkEnd w:id="336"/>
      <w:bookmarkEnd w:id="337"/>
      <w:bookmarkEnd w:id="338"/>
      <w:bookmarkEnd w:id="339"/>
      <w:bookmarkEnd w:id="340"/>
    </w:p>
    <w:p w14:paraId="7FD5DC3A" w14:textId="678A73BF" w:rsidR="00682121" w:rsidRPr="002A75F2" w:rsidRDefault="00B736F9" w:rsidP="00840964">
      <w:pPr>
        <w:rPr>
          <w:rFonts w:cs="Arial"/>
        </w:rPr>
      </w:pPr>
      <w:r w:rsidRPr="000C60E1">
        <w:rPr>
          <w:rFonts w:cs="Arial"/>
        </w:rPr>
        <w:t xml:space="preserve">The </w:t>
      </w:r>
      <w:r w:rsidR="00575DA4" w:rsidRPr="000C60E1">
        <w:rPr>
          <w:rFonts w:cs="Arial"/>
        </w:rPr>
        <w:t>M</w:t>
      </w:r>
      <w:r w:rsidR="002A6EE0" w:rsidRPr="000C60E1">
        <w:rPr>
          <w:rFonts w:cs="Arial"/>
        </w:rPr>
        <w:t>inistry</w:t>
      </w:r>
      <w:r w:rsidRPr="000C60E1">
        <w:rPr>
          <w:rFonts w:cs="Arial"/>
        </w:rPr>
        <w:t xml:space="preserve"> recognizes that </w:t>
      </w:r>
      <w:r w:rsidR="002C395F" w:rsidRPr="000C60E1">
        <w:rPr>
          <w:rFonts w:cs="Arial"/>
        </w:rPr>
        <w:t>the way in which the mandatory requirements</w:t>
      </w:r>
      <w:r w:rsidRPr="000C60E1">
        <w:rPr>
          <w:rFonts w:cs="Arial"/>
        </w:rPr>
        <w:t xml:space="preserve"> of the risk assessment procedures </w:t>
      </w:r>
      <w:r w:rsidRPr="002A75F2">
        <w:rPr>
          <w:rFonts w:cs="Arial"/>
        </w:rPr>
        <w:t>described in this Procedure</w:t>
      </w:r>
      <w:r w:rsidR="00292E15" w:rsidRPr="002A75F2">
        <w:rPr>
          <w:rFonts w:cs="Arial"/>
        </w:rPr>
        <w:t>s</w:t>
      </w:r>
      <w:r w:rsidRPr="002A75F2">
        <w:rPr>
          <w:rFonts w:cs="Arial"/>
        </w:rPr>
        <w:t xml:space="preserve"> document </w:t>
      </w:r>
      <w:r w:rsidR="002C395F" w:rsidRPr="002A75F2">
        <w:rPr>
          <w:rFonts w:cs="Arial"/>
        </w:rPr>
        <w:t xml:space="preserve">are met </w:t>
      </w:r>
      <w:r w:rsidR="00682121" w:rsidRPr="002A75F2">
        <w:rPr>
          <w:rFonts w:cs="Arial"/>
        </w:rPr>
        <w:t>may vary</w:t>
      </w:r>
      <w:r w:rsidRPr="002A75F2">
        <w:rPr>
          <w:rFonts w:cs="Arial"/>
        </w:rPr>
        <w:t xml:space="preserve"> </w:t>
      </w:r>
      <w:r w:rsidR="00F21B9A" w:rsidRPr="002A75F2">
        <w:rPr>
          <w:rFonts w:cs="Arial"/>
        </w:rPr>
        <w:t xml:space="preserve">according to the situation </w:t>
      </w:r>
      <w:r w:rsidRPr="002A75F2">
        <w:rPr>
          <w:rFonts w:cs="Arial"/>
        </w:rPr>
        <w:t xml:space="preserve">for the development of a property specific standard. </w:t>
      </w:r>
      <w:r w:rsidR="002C395F" w:rsidRPr="002A75F2">
        <w:rPr>
          <w:rFonts w:cs="Arial"/>
        </w:rPr>
        <w:t xml:space="preserve">Certain </w:t>
      </w:r>
      <w:r w:rsidR="00BA0014" w:rsidRPr="002A75F2">
        <w:rPr>
          <w:rFonts w:cs="Arial"/>
        </w:rPr>
        <w:t>approaches</w:t>
      </w:r>
      <w:r w:rsidR="002C395F" w:rsidRPr="002A75F2">
        <w:rPr>
          <w:rFonts w:cs="Arial"/>
        </w:rPr>
        <w:t xml:space="preserve"> based on variations to the standard </w:t>
      </w:r>
      <w:r w:rsidR="00391E24" w:rsidRPr="002A75F2">
        <w:rPr>
          <w:rFonts w:cs="Arial"/>
        </w:rPr>
        <w:t xml:space="preserve">Tier 3 </w:t>
      </w:r>
      <w:r w:rsidR="001A11F3" w:rsidRPr="002A75F2">
        <w:rPr>
          <w:rFonts w:cs="Arial"/>
        </w:rPr>
        <w:t>risk assessment approach</w:t>
      </w:r>
      <w:r w:rsidR="002C395F" w:rsidRPr="002A75F2">
        <w:rPr>
          <w:rFonts w:cs="Arial"/>
        </w:rPr>
        <w:t xml:space="preserve"> have been identified by </w:t>
      </w:r>
      <w:r w:rsidR="00683E92" w:rsidRPr="002A75F2">
        <w:rPr>
          <w:rFonts w:cs="Arial"/>
        </w:rPr>
        <w:t xml:space="preserve">the </w:t>
      </w:r>
      <w:r w:rsidR="00575DA4" w:rsidRPr="002A75F2">
        <w:rPr>
          <w:rFonts w:cs="Arial"/>
        </w:rPr>
        <w:t>M</w:t>
      </w:r>
      <w:r w:rsidR="00683E92" w:rsidRPr="002A75F2">
        <w:rPr>
          <w:rFonts w:cs="Arial"/>
        </w:rPr>
        <w:t>inistry</w:t>
      </w:r>
      <w:r w:rsidR="002C395F" w:rsidRPr="002A75F2">
        <w:rPr>
          <w:rFonts w:cs="Arial"/>
        </w:rPr>
        <w:t xml:space="preserve"> which would result in a risk assessment of less or greater complexity and either a shorter or longer time requirement for review. </w:t>
      </w:r>
      <w:r w:rsidR="00F21B9A" w:rsidRPr="002A75F2">
        <w:rPr>
          <w:rFonts w:cs="Arial"/>
        </w:rPr>
        <w:t>All r</w:t>
      </w:r>
      <w:r w:rsidRPr="002A75F2">
        <w:rPr>
          <w:rFonts w:cs="Arial"/>
        </w:rPr>
        <w:t xml:space="preserve">egulatory requirements must be followed when conducting every risk assessment. However, certain risk assessment procedures may be modified </w:t>
      </w:r>
      <w:bookmarkStart w:id="341" w:name="_Toc74119426"/>
      <w:bookmarkStart w:id="342" w:name="_Toc74450905"/>
      <w:bookmarkStart w:id="343" w:name="_Toc78162214"/>
      <w:r w:rsidR="002C395F" w:rsidRPr="002A75F2">
        <w:rPr>
          <w:rFonts w:cs="Arial"/>
        </w:rPr>
        <w:t xml:space="preserve">to result in an alternative timeline </w:t>
      </w:r>
      <w:r w:rsidRPr="002A75F2">
        <w:rPr>
          <w:rFonts w:cs="Arial"/>
        </w:rPr>
        <w:t>as set out in the Regulation.</w:t>
      </w:r>
    </w:p>
    <w:p w14:paraId="4A6EA092" w14:textId="77777777" w:rsidR="002425F0" w:rsidRPr="002A75F2" w:rsidRDefault="00037158" w:rsidP="00840964">
      <w:pPr>
        <w:rPr>
          <w:rFonts w:cs="Arial"/>
        </w:rPr>
      </w:pPr>
      <w:r w:rsidRPr="002A75F2">
        <w:rPr>
          <w:rFonts w:cs="Arial"/>
        </w:rPr>
        <w:t>A</w:t>
      </w:r>
      <w:r w:rsidR="002C395F" w:rsidRPr="002A75F2">
        <w:rPr>
          <w:rFonts w:cs="Arial"/>
        </w:rPr>
        <w:t>lternative risk assessment procedures</w:t>
      </w:r>
      <w:r w:rsidRPr="002A75F2">
        <w:rPr>
          <w:rFonts w:cs="Arial"/>
        </w:rPr>
        <w:t xml:space="preserve"> are described in the</w:t>
      </w:r>
      <w:r w:rsidR="00B9331E" w:rsidRPr="002A75F2">
        <w:rPr>
          <w:rFonts w:cs="Arial"/>
        </w:rPr>
        <w:t xml:space="preserve"> Regulation</w:t>
      </w:r>
      <w:r w:rsidR="002425F0" w:rsidRPr="002A75F2">
        <w:rPr>
          <w:rFonts w:cs="Arial"/>
        </w:rPr>
        <w:t>:</w:t>
      </w:r>
    </w:p>
    <w:p w14:paraId="1112D27D" w14:textId="77777777" w:rsidR="002425F0" w:rsidRPr="002A75F2" w:rsidRDefault="001C1D66" w:rsidP="00A47B50">
      <w:pPr>
        <w:numPr>
          <w:ilvl w:val="0"/>
          <w:numId w:val="22"/>
        </w:numPr>
        <w:shd w:val="clear" w:color="auto" w:fill="D9D9D9"/>
        <w:rPr>
          <w:rFonts w:cs="Arial"/>
        </w:rPr>
      </w:pPr>
      <w:r w:rsidRPr="002A75F2">
        <w:rPr>
          <w:rFonts w:cs="Arial"/>
        </w:rPr>
        <w:t>Section</w:t>
      </w:r>
      <w:r w:rsidR="00D8666C" w:rsidRPr="002A75F2">
        <w:rPr>
          <w:rFonts w:cs="Arial"/>
        </w:rPr>
        <w:t>s</w:t>
      </w:r>
      <w:r w:rsidR="002425F0" w:rsidRPr="002A75F2">
        <w:rPr>
          <w:rFonts w:cs="Arial"/>
        </w:rPr>
        <w:t xml:space="preserve"> 6 to 10 of Schedule C (Alternative risk assessment </w:t>
      </w:r>
      <w:r w:rsidR="001E50BF" w:rsidRPr="002A75F2">
        <w:rPr>
          <w:rFonts w:cs="Arial"/>
        </w:rPr>
        <w:t>procedures</w:t>
      </w:r>
      <w:r w:rsidR="002425F0" w:rsidRPr="002A75F2">
        <w:rPr>
          <w:rFonts w:cs="Arial"/>
        </w:rPr>
        <w:t>)</w:t>
      </w:r>
    </w:p>
    <w:p w14:paraId="1A21C9E6" w14:textId="376EA37B" w:rsidR="00BA0014" w:rsidRPr="002A75F2" w:rsidRDefault="00BA0014" w:rsidP="00840964">
      <w:pPr>
        <w:rPr>
          <w:rFonts w:cs="Arial"/>
        </w:rPr>
      </w:pPr>
      <w:r w:rsidRPr="002A75F2">
        <w:rPr>
          <w:rFonts w:cs="Arial"/>
        </w:rPr>
        <w:t>Where combinations of al</w:t>
      </w:r>
      <w:r w:rsidR="007A6CFD" w:rsidRPr="002A75F2">
        <w:rPr>
          <w:rFonts w:cs="Arial"/>
        </w:rPr>
        <w:t>ternative approaches are used i</w:t>
      </w:r>
      <w:r w:rsidRPr="002A75F2">
        <w:rPr>
          <w:rFonts w:cs="Arial"/>
        </w:rPr>
        <w:t>n a risk assessment, the timeline for review will be determined by the approach requiring the longest timeline.</w:t>
      </w:r>
    </w:p>
    <w:p w14:paraId="1D4B30C8" w14:textId="7380A2AB" w:rsidR="007D2C17" w:rsidRPr="002A75F2" w:rsidRDefault="007D2C17" w:rsidP="00840964">
      <w:pPr>
        <w:rPr>
          <w:rFonts w:cs="Arial"/>
        </w:rPr>
      </w:pPr>
      <w:r w:rsidRPr="002A75F2">
        <w:rPr>
          <w:rFonts w:cs="Arial"/>
        </w:rPr>
        <w:t xml:space="preserve">In general terms, the </w:t>
      </w:r>
      <w:r w:rsidR="00F07D2B" w:rsidRPr="002A75F2">
        <w:rPr>
          <w:rFonts w:cs="Arial"/>
        </w:rPr>
        <w:t xml:space="preserve">Ministry’s </w:t>
      </w:r>
      <w:r w:rsidRPr="002A75F2">
        <w:rPr>
          <w:rFonts w:cs="Arial"/>
        </w:rPr>
        <w:t>risk assessment</w:t>
      </w:r>
      <w:r w:rsidR="00F07D2B" w:rsidRPr="002A75F2">
        <w:rPr>
          <w:rFonts w:cs="Arial"/>
        </w:rPr>
        <w:t xml:space="preserve"> program identifies two </w:t>
      </w:r>
      <w:r w:rsidR="00D16E0E" w:rsidRPr="002A75F2">
        <w:rPr>
          <w:rFonts w:cs="Arial"/>
        </w:rPr>
        <w:t xml:space="preserve">main </w:t>
      </w:r>
      <w:r w:rsidR="00F07D2B" w:rsidRPr="002A75F2">
        <w:rPr>
          <w:rFonts w:cs="Arial"/>
        </w:rPr>
        <w:t>risk assessment approaches</w:t>
      </w:r>
      <w:r w:rsidRPr="002A75F2">
        <w:rPr>
          <w:rFonts w:cs="Arial"/>
        </w:rPr>
        <w:t xml:space="preserve">: Tier 2 and Tier 3. </w:t>
      </w:r>
      <w:r w:rsidR="00F07D2B" w:rsidRPr="002A75F2">
        <w:rPr>
          <w:rFonts w:cs="Arial"/>
        </w:rPr>
        <w:t xml:space="preserve">Tier 2 </w:t>
      </w:r>
      <w:r w:rsidR="002B4755" w:rsidRPr="002A75F2">
        <w:rPr>
          <w:rFonts w:cs="Arial"/>
        </w:rPr>
        <w:t>risk assessment</w:t>
      </w:r>
      <w:r w:rsidR="00FC7DAC" w:rsidRPr="002A75F2">
        <w:rPr>
          <w:rFonts w:cs="Arial"/>
        </w:rPr>
        <w:t xml:space="preserve"> refers to the </w:t>
      </w:r>
      <w:r w:rsidR="00F07D2B" w:rsidRPr="002A75F2">
        <w:rPr>
          <w:rFonts w:cs="Arial"/>
        </w:rPr>
        <w:t>MGRA, which is</w:t>
      </w:r>
      <w:r w:rsidRPr="002A75F2">
        <w:rPr>
          <w:rFonts w:cs="Arial"/>
        </w:rPr>
        <w:t xml:space="preserve"> a type of limited scope risk assessment</w:t>
      </w:r>
      <w:r w:rsidR="00FC7DAC" w:rsidRPr="002A75F2">
        <w:rPr>
          <w:rFonts w:cs="Arial"/>
        </w:rPr>
        <w:t xml:space="preserve"> defined under the Regulation</w:t>
      </w:r>
      <w:r w:rsidRPr="002A75F2">
        <w:rPr>
          <w:rFonts w:cs="Arial"/>
        </w:rPr>
        <w:t xml:space="preserve">. </w:t>
      </w:r>
      <w:r w:rsidR="00FC7DAC" w:rsidRPr="002A75F2">
        <w:rPr>
          <w:rFonts w:cs="Arial"/>
        </w:rPr>
        <w:t xml:space="preserve">Tier 3 </w:t>
      </w:r>
      <w:r w:rsidR="008131C5" w:rsidRPr="002A75F2">
        <w:rPr>
          <w:rFonts w:cs="Arial"/>
        </w:rPr>
        <w:t>risk assessment</w:t>
      </w:r>
      <w:r w:rsidR="00FC7DAC" w:rsidRPr="002A75F2">
        <w:rPr>
          <w:rFonts w:cs="Arial"/>
        </w:rPr>
        <w:t xml:space="preserve"> includes </w:t>
      </w:r>
      <w:r w:rsidR="00D16E0E" w:rsidRPr="002A75F2">
        <w:rPr>
          <w:rFonts w:cs="Arial"/>
        </w:rPr>
        <w:t xml:space="preserve">the </w:t>
      </w:r>
      <w:r w:rsidR="00FC7DAC" w:rsidRPr="002A75F2">
        <w:rPr>
          <w:rFonts w:cs="Arial"/>
        </w:rPr>
        <w:t xml:space="preserve">standard approach, </w:t>
      </w:r>
      <w:r w:rsidR="00780FF7" w:rsidRPr="002A75F2">
        <w:rPr>
          <w:rFonts w:cs="Arial"/>
        </w:rPr>
        <w:t>wider area of abatement</w:t>
      </w:r>
      <w:r w:rsidR="00D16E0E" w:rsidRPr="002A75F2">
        <w:rPr>
          <w:rFonts w:cs="Arial"/>
        </w:rPr>
        <w:t xml:space="preserve"> and </w:t>
      </w:r>
      <w:r w:rsidR="00780FF7" w:rsidRPr="002A75F2">
        <w:rPr>
          <w:rFonts w:cs="Arial"/>
        </w:rPr>
        <w:t>new science</w:t>
      </w:r>
      <w:r w:rsidR="00D16E0E" w:rsidRPr="002A75F2">
        <w:rPr>
          <w:rFonts w:cs="Arial"/>
        </w:rPr>
        <w:t xml:space="preserve"> risk assessments</w:t>
      </w:r>
      <w:r w:rsidRPr="002A75F2">
        <w:rPr>
          <w:rFonts w:cs="Arial"/>
        </w:rPr>
        <w:t>.</w:t>
      </w:r>
      <w:r w:rsidR="00D16E0E" w:rsidRPr="002A75F2">
        <w:rPr>
          <w:rFonts w:cs="Arial"/>
        </w:rPr>
        <w:t xml:space="preserve"> </w:t>
      </w:r>
      <w:r w:rsidR="00B71978" w:rsidRPr="002A75F2">
        <w:rPr>
          <w:rFonts w:cs="Arial"/>
        </w:rPr>
        <w:t xml:space="preserve">Other types of </w:t>
      </w:r>
      <w:r w:rsidR="00744536" w:rsidRPr="002A75F2">
        <w:rPr>
          <w:rFonts w:cs="Arial"/>
        </w:rPr>
        <w:t>risk assessment</w:t>
      </w:r>
      <w:r w:rsidR="00B71978" w:rsidRPr="002A75F2">
        <w:rPr>
          <w:rFonts w:cs="Arial"/>
        </w:rPr>
        <w:t xml:space="preserve"> include limited scope risk assessment based on a community assessment report and estimation of natural background concentration.</w:t>
      </w:r>
    </w:p>
    <w:p w14:paraId="689B3348" w14:textId="64408ABF" w:rsidR="00B736F9" w:rsidRPr="002A75F2" w:rsidRDefault="00682121" w:rsidP="00840964">
      <w:pPr>
        <w:rPr>
          <w:rFonts w:cs="Arial"/>
        </w:rPr>
      </w:pPr>
      <w:r w:rsidRPr="002A75F2">
        <w:rPr>
          <w:rFonts w:cs="Arial"/>
        </w:rPr>
        <w:t xml:space="preserve">Further guidance on the use of </w:t>
      </w:r>
      <w:r w:rsidR="007A58B1" w:rsidRPr="002A75F2">
        <w:rPr>
          <w:rFonts w:cs="Arial"/>
        </w:rPr>
        <w:t xml:space="preserve">alternative </w:t>
      </w:r>
      <w:r w:rsidR="00744536" w:rsidRPr="002A75F2">
        <w:rPr>
          <w:rFonts w:cs="Arial"/>
        </w:rPr>
        <w:t>risk assessment</w:t>
      </w:r>
      <w:r w:rsidR="007A58B1" w:rsidRPr="002A75F2">
        <w:rPr>
          <w:rFonts w:cs="Arial"/>
        </w:rPr>
        <w:t xml:space="preserve"> approaches</w:t>
      </w:r>
      <w:r w:rsidRPr="002A75F2">
        <w:rPr>
          <w:rFonts w:cs="Arial"/>
        </w:rPr>
        <w:t xml:space="preserve"> is provided below.</w:t>
      </w:r>
    </w:p>
    <w:p w14:paraId="250B4E10" w14:textId="3916D867" w:rsidR="00B736F9" w:rsidRPr="002A75F2" w:rsidRDefault="00C81AD6" w:rsidP="00AF2B7C">
      <w:pPr>
        <w:pStyle w:val="Heading2"/>
        <w:rPr>
          <w:rFonts w:cs="Arial"/>
        </w:rPr>
      </w:pPr>
      <w:bookmarkStart w:id="344" w:name="_Toc91393590"/>
      <w:bookmarkStart w:id="345" w:name="_Toc112727453"/>
      <w:bookmarkStart w:id="346" w:name="_Toc41905732"/>
      <w:r w:rsidRPr="002A75F2">
        <w:rPr>
          <w:rFonts w:cs="Arial"/>
        </w:rPr>
        <w:t>L</w:t>
      </w:r>
      <w:r w:rsidR="00B736F9" w:rsidRPr="002A75F2">
        <w:rPr>
          <w:rFonts w:cs="Arial"/>
        </w:rPr>
        <w:t>imited Scope</w:t>
      </w:r>
      <w:bookmarkEnd w:id="341"/>
      <w:bookmarkEnd w:id="342"/>
      <w:bookmarkEnd w:id="343"/>
      <w:r w:rsidR="00B736F9" w:rsidRPr="002A75F2">
        <w:rPr>
          <w:rFonts w:cs="Arial"/>
        </w:rPr>
        <w:t xml:space="preserve"> Risk Assessment</w:t>
      </w:r>
      <w:bookmarkEnd w:id="344"/>
      <w:bookmarkEnd w:id="345"/>
      <w:bookmarkEnd w:id="346"/>
    </w:p>
    <w:p w14:paraId="3DBE8DC9" w14:textId="655DCD65" w:rsidR="00AD3EA4" w:rsidRPr="002A75F2" w:rsidRDefault="00682121" w:rsidP="00840964">
      <w:pPr>
        <w:rPr>
          <w:rFonts w:cs="Arial"/>
        </w:rPr>
      </w:pPr>
      <w:r w:rsidRPr="002A75F2">
        <w:rPr>
          <w:rFonts w:cs="Arial"/>
        </w:rPr>
        <w:t xml:space="preserve">Conditions which must be met for conducting a </w:t>
      </w:r>
      <w:r w:rsidR="00780FF7" w:rsidRPr="002A75F2">
        <w:rPr>
          <w:rFonts w:cs="Arial"/>
        </w:rPr>
        <w:t xml:space="preserve">limited scope </w:t>
      </w:r>
      <w:r w:rsidR="00744536" w:rsidRPr="002A75F2">
        <w:rPr>
          <w:rFonts w:cs="Arial"/>
        </w:rPr>
        <w:t>risk assessment</w:t>
      </w:r>
      <w:r w:rsidR="00500629" w:rsidRPr="002A75F2">
        <w:rPr>
          <w:rFonts w:cs="Arial"/>
        </w:rPr>
        <w:t xml:space="preserve"> </w:t>
      </w:r>
      <w:r w:rsidRPr="002A75F2">
        <w:rPr>
          <w:rFonts w:cs="Arial"/>
        </w:rPr>
        <w:t xml:space="preserve">are provided in </w:t>
      </w:r>
      <w:r w:rsidR="00AD3EA4" w:rsidRPr="002A75F2">
        <w:rPr>
          <w:rFonts w:cs="Arial"/>
        </w:rPr>
        <w:t>the following section of the Regulation:</w:t>
      </w:r>
    </w:p>
    <w:p w14:paraId="525226EB" w14:textId="77777777" w:rsidR="00AD3EA4" w:rsidRPr="002A75F2" w:rsidRDefault="001C1D66" w:rsidP="00A47B50">
      <w:pPr>
        <w:numPr>
          <w:ilvl w:val="0"/>
          <w:numId w:val="22"/>
        </w:numPr>
        <w:shd w:val="clear" w:color="auto" w:fill="D9D9D9"/>
        <w:rPr>
          <w:rFonts w:cs="Arial"/>
        </w:rPr>
      </w:pPr>
      <w:r w:rsidRPr="002A75F2">
        <w:rPr>
          <w:rFonts w:cs="Arial"/>
        </w:rPr>
        <w:t>Section</w:t>
      </w:r>
      <w:r w:rsidR="002E1AF1" w:rsidRPr="002A75F2">
        <w:rPr>
          <w:rFonts w:cs="Arial"/>
        </w:rPr>
        <w:t xml:space="preserve"> 7 of Schedule C</w:t>
      </w:r>
    </w:p>
    <w:p w14:paraId="34ABE97A" w14:textId="311F652A" w:rsidR="00884818" w:rsidRPr="002A75F2" w:rsidRDefault="002E1AF1" w:rsidP="00840964">
      <w:pPr>
        <w:rPr>
          <w:rFonts w:cs="Arial"/>
        </w:rPr>
      </w:pPr>
      <w:r w:rsidRPr="002A75F2">
        <w:rPr>
          <w:rFonts w:cs="Arial"/>
        </w:rPr>
        <w:t xml:space="preserve">The Ministry review timeline for </w:t>
      </w:r>
      <w:r w:rsidR="00780FF7" w:rsidRPr="002A75F2">
        <w:rPr>
          <w:rFonts w:cs="Arial"/>
        </w:rPr>
        <w:t xml:space="preserve">limited scope </w:t>
      </w:r>
      <w:r w:rsidR="0034145E" w:rsidRPr="002A75F2">
        <w:rPr>
          <w:rFonts w:cs="Arial"/>
        </w:rPr>
        <w:t>risk assessments</w:t>
      </w:r>
      <w:r w:rsidRPr="002A75F2">
        <w:rPr>
          <w:rFonts w:cs="Arial"/>
        </w:rPr>
        <w:t xml:space="preserve"> is 8 weeks. </w:t>
      </w:r>
      <w:r w:rsidR="0070138F" w:rsidRPr="002A75F2">
        <w:rPr>
          <w:rFonts w:cs="Arial"/>
        </w:rPr>
        <w:t>The</w:t>
      </w:r>
      <w:r w:rsidR="00884818" w:rsidRPr="002A75F2">
        <w:rPr>
          <w:rFonts w:cs="Arial"/>
        </w:rPr>
        <w:t xml:space="preserve">re are two </w:t>
      </w:r>
      <w:r w:rsidR="0070138F" w:rsidRPr="002A75F2">
        <w:rPr>
          <w:rFonts w:cs="Arial"/>
        </w:rPr>
        <w:t xml:space="preserve">types of </w:t>
      </w:r>
      <w:r w:rsidR="00780FF7" w:rsidRPr="002A75F2">
        <w:rPr>
          <w:rFonts w:cs="Arial"/>
        </w:rPr>
        <w:t xml:space="preserve">limited scope </w:t>
      </w:r>
      <w:r w:rsidR="00744536" w:rsidRPr="002A75F2">
        <w:rPr>
          <w:rFonts w:cs="Arial"/>
        </w:rPr>
        <w:t>risk assessment</w:t>
      </w:r>
      <w:r w:rsidR="0070138F" w:rsidRPr="002A75F2">
        <w:rPr>
          <w:rFonts w:cs="Arial"/>
        </w:rPr>
        <w:t xml:space="preserve"> approaches </w:t>
      </w:r>
      <w:r w:rsidR="00A82650" w:rsidRPr="002A75F2">
        <w:rPr>
          <w:rFonts w:cs="Arial"/>
        </w:rPr>
        <w:t xml:space="preserve">that </w:t>
      </w:r>
      <w:r w:rsidR="0070138F" w:rsidRPr="002A75F2">
        <w:rPr>
          <w:rFonts w:cs="Arial"/>
        </w:rPr>
        <w:t>may be used</w:t>
      </w:r>
      <w:r w:rsidR="00884818" w:rsidRPr="002A75F2">
        <w:rPr>
          <w:rFonts w:cs="Arial"/>
        </w:rPr>
        <w:t xml:space="preserve">: </w:t>
      </w:r>
    </w:p>
    <w:p w14:paraId="4228BA92" w14:textId="324B53E4" w:rsidR="0062681F" w:rsidRPr="002A75F2" w:rsidRDefault="0062681F" w:rsidP="0062681F">
      <w:pPr>
        <w:numPr>
          <w:ilvl w:val="0"/>
          <w:numId w:val="20"/>
        </w:numPr>
        <w:rPr>
          <w:rFonts w:cs="Arial"/>
        </w:rPr>
      </w:pPr>
      <w:r w:rsidRPr="002A75F2">
        <w:rPr>
          <w:rFonts w:cs="Arial"/>
        </w:rPr>
        <w:t xml:space="preserve">Modified generic risk assessment (i.e. Tier 2 </w:t>
      </w:r>
      <w:r w:rsidR="002B4755" w:rsidRPr="002A75F2">
        <w:rPr>
          <w:rFonts w:cs="Arial"/>
        </w:rPr>
        <w:t>risk assessment</w:t>
      </w:r>
      <w:r w:rsidRPr="002A75F2">
        <w:rPr>
          <w:rFonts w:cs="Arial"/>
        </w:rPr>
        <w:t>), and</w:t>
      </w:r>
    </w:p>
    <w:p w14:paraId="2F8A574B" w14:textId="77777777" w:rsidR="00884818" w:rsidRPr="002A75F2" w:rsidRDefault="00884818" w:rsidP="00A47B50">
      <w:pPr>
        <w:numPr>
          <w:ilvl w:val="0"/>
          <w:numId w:val="20"/>
        </w:numPr>
        <w:rPr>
          <w:rFonts w:cs="Arial"/>
        </w:rPr>
      </w:pPr>
      <w:r w:rsidRPr="002A75F2">
        <w:rPr>
          <w:rFonts w:cs="Arial"/>
        </w:rPr>
        <w:t>Risk assessment based on a community assessment report</w:t>
      </w:r>
    </w:p>
    <w:p w14:paraId="6943B36E" w14:textId="1BBD4C3C" w:rsidR="00B736F9" w:rsidRPr="002A75F2" w:rsidRDefault="004219BC" w:rsidP="00840964">
      <w:pPr>
        <w:rPr>
          <w:rFonts w:cs="Arial"/>
        </w:rPr>
      </w:pPr>
      <w:r w:rsidRPr="002A75F2">
        <w:rPr>
          <w:rFonts w:cs="Arial"/>
        </w:rPr>
        <w:t>Additional guidance for each type</w:t>
      </w:r>
      <w:r w:rsidR="00A67C4C" w:rsidRPr="002A75F2">
        <w:rPr>
          <w:rFonts w:cs="Arial"/>
        </w:rPr>
        <w:t xml:space="preserve"> of </w:t>
      </w:r>
      <w:r w:rsidR="00780FF7" w:rsidRPr="002A75F2">
        <w:rPr>
          <w:rFonts w:cs="Arial"/>
        </w:rPr>
        <w:t xml:space="preserve">limited scope </w:t>
      </w:r>
      <w:r w:rsidR="00744536" w:rsidRPr="002A75F2">
        <w:rPr>
          <w:rFonts w:cs="Arial"/>
        </w:rPr>
        <w:t>risk assessment</w:t>
      </w:r>
      <w:r w:rsidR="00A67C4C" w:rsidRPr="002A75F2">
        <w:rPr>
          <w:rFonts w:cs="Arial"/>
        </w:rPr>
        <w:t xml:space="preserve"> approach is provided </w:t>
      </w:r>
      <w:r w:rsidR="00371529" w:rsidRPr="002A75F2">
        <w:rPr>
          <w:rFonts w:cs="Arial"/>
        </w:rPr>
        <w:t>below</w:t>
      </w:r>
      <w:r w:rsidRPr="002A75F2">
        <w:rPr>
          <w:rFonts w:cs="Arial"/>
        </w:rPr>
        <w:t>.</w:t>
      </w:r>
    </w:p>
    <w:p w14:paraId="65478556" w14:textId="5265D8C6" w:rsidR="00B736F9" w:rsidRPr="002A75F2" w:rsidRDefault="00F71FDE" w:rsidP="00DE496B">
      <w:pPr>
        <w:pStyle w:val="Heading3"/>
        <w:rPr>
          <w:rFonts w:cs="Arial"/>
        </w:rPr>
      </w:pPr>
      <w:bookmarkStart w:id="347" w:name="_Toc41905733"/>
      <w:bookmarkStart w:id="348" w:name="_Toc91393592"/>
      <w:bookmarkStart w:id="349" w:name="_Toc112727455"/>
      <w:r w:rsidRPr="002A75F2">
        <w:rPr>
          <w:rFonts w:cs="Arial"/>
        </w:rPr>
        <w:t>Modified Generic Risk Assessment</w:t>
      </w:r>
      <w:bookmarkEnd w:id="347"/>
      <w:r w:rsidRPr="002A75F2">
        <w:rPr>
          <w:rFonts w:cs="Arial"/>
        </w:rPr>
        <w:t xml:space="preserve"> </w:t>
      </w:r>
      <w:bookmarkEnd w:id="348"/>
      <w:bookmarkEnd w:id="349"/>
    </w:p>
    <w:p w14:paraId="03D3102F" w14:textId="01803D64" w:rsidR="00214F14" w:rsidRPr="002A75F2" w:rsidRDefault="00F71FDE" w:rsidP="00823110">
      <w:pPr>
        <w:rPr>
          <w:rFonts w:cs="Arial"/>
        </w:rPr>
      </w:pPr>
      <w:r w:rsidRPr="002A75F2">
        <w:rPr>
          <w:rFonts w:cs="Arial"/>
        </w:rPr>
        <w:t xml:space="preserve">The </w:t>
      </w:r>
      <w:r w:rsidR="00744536" w:rsidRPr="002A75F2">
        <w:rPr>
          <w:rFonts w:cs="Arial"/>
        </w:rPr>
        <w:t>first</w:t>
      </w:r>
      <w:r w:rsidRPr="002A75F2">
        <w:rPr>
          <w:rFonts w:cs="Arial"/>
        </w:rPr>
        <w:t xml:space="preserve"> type of </w:t>
      </w:r>
      <w:r w:rsidR="00780FF7" w:rsidRPr="002A75F2">
        <w:rPr>
          <w:rFonts w:cs="Arial"/>
        </w:rPr>
        <w:t xml:space="preserve">limited scope </w:t>
      </w:r>
      <w:r w:rsidR="00744536" w:rsidRPr="002A75F2">
        <w:rPr>
          <w:rFonts w:cs="Arial"/>
        </w:rPr>
        <w:t>risk assessment</w:t>
      </w:r>
      <w:r w:rsidRPr="002A75F2">
        <w:rPr>
          <w:rFonts w:cs="Arial"/>
        </w:rPr>
        <w:t xml:space="preserve"> is a </w:t>
      </w:r>
      <w:r w:rsidR="009B45E0" w:rsidRPr="002A75F2">
        <w:rPr>
          <w:rFonts w:cs="Arial"/>
        </w:rPr>
        <w:t>m</w:t>
      </w:r>
      <w:r w:rsidRPr="002A75F2">
        <w:rPr>
          <w:rFonts w:cs="Arial"/>
        </w:rPr>
        <w:t xml:space="preserve">odified </w:t>
      </w:r>
      <w:r w:rsidR="009B45E0" w:rsidRPr="002A75F2">
        <w:rPr>
          <w:rFonts w:cs="Arial"/>
        </w:rPr>
        <w:t>g</w:t>
      </w:r>
      <w:r w:rsidRPr="002A75F2">
        <w:rPr>
          <w:rFonts w:cs="Arial"/>
        </w:rPr>
        <w:t xml:space="preserve">eneric </w:t>
      </w:r>
      <w:r w:rsidR="009B45E0" w:rsidRPr="002A75F2">
        <w:rPr>
          <w:rFonts w:cs="Arial"/>
        </w:rPr>
        <w:t>r</w:t>
      </w:r>
      <w:r w:rsidRPr="002A75F2">
        <w:rPr>
          <w:rFonts w:cs="Arial"/>
        </w:rPr>
        <w:t xml:space="preserve">isk </w:t>
      </w:r>
      <w:r w:rsidR="009B45E0" w:rsidRPr="002A75F2">
        <w:rPr>
          <w:rFonts w:cs="Arial"/>
        </w:rPr>
        <w:t>a</w:t>
      </w:r>
      <w:r w:rsidRPr="002A75F2">
        <w:rPr>
          <w:rFonts w:cs="Arial"/>
        </w:rPr>
        <w:t>ssessment (MGRA</w:t>
      </w:r>
      <w:r w:rsidR="005A544B" w:rsidRPr="002A75F2">
        <w:rPr>
          <w:rFonts w:cs="Arial"/>
        </w:rPr>
        <w:t xml:space="preserve">, also </w:t>
      </w:r>
      <w:r w:rsidR="00401032" w:rsidRPr="002A75F2">
        <w:rPr>
          <w:rFonts w:cs="Arial"/>
        </w:rPr>
        <w:t>known</w:t>
      </w:r>
      <w:r w:rsidR="005A544B" w:rsidRPr="002A75F2">
        <w:rPr>
          <w:rFonts w:cs="Arial"/>
        </w:rPr>
        <w:t xml:space="preserve"> as Tier 2 </w:t>
      </w:r>
      <w:r w:rsidR="002B4755" w:rsidRPr="002A75F2">
        <w:rPr>
          <w:rFonts w:cs="Arial"/>
        </w:rPr>
        <w:t>risk assessment</w:t>
      </w:r>
      <w:r w:rsidRPr="002A75F2">
        <w:rPr>
          <w:rFonts w:cs="Arial"/>
        </w:rPr>
        <w:t xml:space="preserve">). </w:t>
      </w:r>
      <w:r w:rsidR="00214F14" w:rsidRPr="002A75F2">
        <w:rPr>
          <w:rFonts w:cs="Arial"/>
        </w:rPr>
        <w:t xml:space="preserve">MGRA allows for the development of </w:t>
      </w:r>
      <w:r w:rsidR="00D64A63" w:rsidRPr="002A75F2">
        <w:rPr>
          <w:rFonts w:cs="Arial"/>
        </w:rPr>
        <w:t>property specif</w:t>
      </w:r>
      <w:r w:rsidR="00143545" w:rsidRPr="002A75F2">
        <w:rPr>
          <w:rFonts w:cs="Arial"/>
        </w:rPr>
        <w:t>i</w:t>
      </w:r>
      <w:r w:rsidR="00D64A63" w:rsidRPr="002A75F2">
        <w:rPr>
          <w:rFonts w:cs="Arial"/>
        </w:rPr>
        <w:t>c standards</w:t>
      </w:r>
      <w:r w:rsidR="00214F14" w:rsidRPr="002A75F2">
        <w:rPr>
          <w:rFonts w:cs="Arial"/>
        </w:rPr>
        <w:t xml:space="preserve"> using only the Ministry’s approved model. The approved model uses the same risk assessment approach (including modelling and exposure assumptions) used by the </w:t>
      </w:r>
      <w:r w:rsidR="00401032" w:rsidRPr="002A75F2">
        <w:rPr>
          <w:rFonts w:cs="Arial"/>
        </w:rPr>
        <w:t>Ministry</w:t>
      </w:r>
      <w:r w:rsidR="00214F14" w:rsidRPr="002A75F2">
        <w:rPr>
          <w:rFonts w:cs="Arial"/>
        </w:rPr>
        <w:t xml:space="preserve"> in the development of </w:t>
      </w:r>
      <w:r w:rsidR="005C53DA" w:rsidRPr="002A75F2">
        <w:rPr>
          <w:rFonts w:cs="Arial"/>
        </w:rPr>
        <w:t xml:space="preserve">the </w:t>
      </w:r>
      <w:r w:rsidR="00214F14" w:rsidRPr="002A75F2">
        <w:rPr>
          <w:rFonts w:cs="Arial"/>
        </w:rPr>
        <w:t xml:space="preserve">generic </w:t>
      </w:r>
      <w:r w:rsidR="005C53DA" w:rsidRPr="002A75F2">
        <w:rPr>
          <w:rFonts w:cs="Arial"/>
        </w:rPr>
        <w:t>site condition standards</w:t>
      </w:r>
      <w:r w:rsidR="00214F14" w:rsidRPr="002A75F2">
        <w:rPr>
          <w:rFonts w:cs="Arial"/>
        </w:rPr>
        <w:t>, however the QP</w:t>
      </w:r>
      <w:r w:rsidR="00214F14" w:rsidRPr="002A75F2">
        <w:rPr>
          <w:rFonts w:cs="Arial"/>
          <w:vertAlign w:val="subscript"/>
        </w:rPr>
        <w:t>RA</w:t>
      </w:r>
      <w:r w:rsidR="00214F14" w:rsidRPr="002A75F2">
        <w:rPr>
          <w:rFonts w:cs="Arial"/>
        </w:rPr>
        <w:t xml:space="preserve"> has the ability to </w:t>
      </w:r>
      <w:r w:rsidR="00214F14" w:rsidRPr="002A75F2">
        <w:rPr>
          <w:rFonts w:cs="Arial"/>
        </w:rPr>
        <w:lastRenderedPageBreak/>
        <w:t xml:space="preserve">modify some parameters to better reflect property specific conditions. The approved model also includes a limited set of predefined risk management measures. </w:t>
      </w:r>
    </w:p>
    <w:p w14:paraId="532089AE" w14:textId="2FBFE46B" w:rsidR="00823110" w:rsidRPr="002A75F2" w:rsidRDefault="00664199" w:rsidP="00823110">
      <w:pPr>
        <w:rPr>
          <w:rFonts w:cs="Arial"/>
        </w:rPr>
      </w:pPr>
      <w:r w:rsidRPr="002A75F2">
        <w:rPr>
          <w:rFonts w:cs="Arial"/>
        </w:rPr>
        <w:t>Since the</w:t>
      </w:r>
      <w:r w:rsidR="00B86828" w:rsidRPr="002A75F2">
        <w:rPr>
          <w:rFonts w:cs="Arial"/>
        </w:rPr>
        <w:t xml:space="preserve"> release of the</w:t>
      </w:r>
      <w:r w:rsidRPr="002A75F2">
        <w:rPr>
          <w:rFonts w:cs="Arial"/>
        </w:rPr>
        <w:t xml:space="preserve"> approved model in 2011, </w:t>
      </w:r>
      <w:r w:rsidR="00ED770B" w:rsidRPr="002A75F2">
        <w:rPr>
          <w:rFonts w:cs="Arial"/>
        </w:rPr>
        <w:t>uptake for this type of risk assessment has increased substantially and MGRA now represent an important part</w:t>
      </w:r>
      <w:r w:rsidRPr="002A75F2">
        <w:rPr>
          <w:rFonts w:cs="Arial"/>
        </w:rPr>
        <w:t xml:space="preserve"> </w:t>
      </w:r>
      <w:r w:rsidR="00ED770B" w:rsidRPr="002A75F2">
        <w:rPr>
          <w:rFonts w:cs="Arial"/>
        </w:rPr>
        <w:t xml:space="preserve">of the </w:t>
      </w:r>
      <w:r w:rsidR="001F7F60" w:rsidRPr="002A75F2">
        <w:rPr>
          <w:rFonts w:cs="Arial"/>
        </w:rPr>
        <w:t>Ministry’s</w:t>
      </w:r>
      <w:r w:rsidR="00ED770B" w:rsidRPr="002A75F2">
        <w:rPr>
          <w:rFonts w:cs="Arial"/>
        </w:rPr>
        <w:t xml:space="preserve"> risk assessment program.</w:t>
      </w:r>
      <w:r w:rsidR="00823110" w:rsidRPr="002A75F2">
        <w:rPr>
          <w:rFonts w:cs="Arial"/>
        </w:rPr>
        <w:t xml:space="preserve"> Refer to the following parts of the Regulation regarding the MGRA:</w:t>
      </w:r>
    </w:p>
    <w:p w14:paraId="224EB14E" w14:textId="77777777" w:rsidR="00823110" w:rsidRPr="002A75F2" w:rsidRDefault="00823110" w:rsidP="00A47B50">
      <w:pPr>
        <w:numPr>
          <w:ilvl w:val="0"/>
          <w:numId w:val="22"/>
        </w:numPr>
        <w:shd w:val="clear" w:color="auto" w:fill="D9D9D9"/>
        <w:rPr>
          <w:rFonts w:cs="Arial"/>
        </w:rPr>
      </w:pPr>
      <w:r w:rsidRPr="002A75F2">
        <w:rPr>
          <w:rFonts w:cs="Arial"/>
        </w:rPr>
        <w:t xml:space="preserve">Section 1 of Schedule C (Definitions – </w:t>
      </w:r>
      <w:r w:rsidR="0052737A" w:rsidRPr="002A75F2">
        <w:rPr>
          <w:rFonts w:cs="Arial"/>
        </w:rPr>
        <w:t>“</w:t>
      </w:r>
      <w:r w:rsidRPr="002A75F2">
        <w:rPr>
          <w:rFonts w:cs="Arial"/>
        </w:rPr>
        <w:t>approved model</w:t>
      </w:r>
      <w:r w:rsidR="0052737A" w:rsidRPr="002A75F2">
        <w:rPr>
          <w:rFonts w:cs="Arial"/>
        </w:rPr>
        <w:t>”</w:t>
      </w:r>
      <w:r w:rsidRPr="002A75F2">
        <w:rPr>
          <w:rFonts w:cs="Arial"/>
        </w:rPr>
        <w:t>)</w:t>
      </w:r>
    </w:p>
    <w:p w14:paraId="3FF4AFB0" w14:textId="77777777" w:rsidR="00823110" w:rsidRPr="002A75F2" w:rsidRDefault="00823110" w:rsidP="00A47B50">
      <w:pPr>
        <w:numPr>
          <w:ilvl w:val="0"/>
          <w:numId w:val="22"/>
        </w:numPr>
        <w:shd w:val="clear" w:color="auto" w:fill="D9D9D9"/>
        <w:rPr>
          <w:rFonts w:cs="Arial"/>
        </w:rPr>
      </w:pPr>
      <w:r w:rsidRPr="002A75F2">
        <w:rPr>
          <w:rFonts w:cs="Arial"/>
        </w:rPr>
        <w:t>Subsection 7 (3) of Schedule C</w:t>
      </w:r>
    </w:p>
    <w:p w14:paraId="2904CF2D" w14:textId="6FAAB476" w:rsidR="004D538E" w:rsidRPr="002A75F2" w:rsidRDefault="008652F2" w:rsidP="004D538E">
      <w:pPr>
        <w:rPr>
          <w:rFonts w:cs="Arial"/>
        </w:rPr>
      </w:pPr>
      <w:r w:rsidRPr="002A75F2">
        <w:rPr>
          <w:rFonts w:cs="Arial"/>
        </w:rPr>
        <w:t xml:space="preserve">For MGRAs, the </w:t>
      </w:r>
      <w:r w:rsidR="00F71FDE" w:rsidRPr="002A75F2">
        <w:rPr>
          <w:rFonts w:cs="Arial"/>
        </w:rPr>
        <w:t xml:space="preserve">PSF </w:t>
      </w:r>
      <w:r w:rsidR="008F2802" w:rsidRPr="002A75F2">
        <w:rPr>
          <w:rFonts w:cs="Arial"/>
        </w:rPr>
        <w:t xml:space="preserve">must be </w:t>
      </w:r>
      <w:r w:rsidR="00F71FDE" w:rsidRPr="002A75F2">
        <w:rPr>
          <w:rFonts w:cs="Arial"/>
        </w:rPr>
        <w:t xml:space="preserve">submitted at </w:t>
      </w:r>
      <w:r w:rsidR="005A544B" w:rsidRPr="002A75F2">
        <w:rPr>
          <w:rFonts w:cs="Arial"/>
        </w:rPr>
        <w:t xml:space="preserve">the </w:t>
      </w:r>
      <w:r w:rsidR="00F71FDE" w:rsidRPr="002A75F2">
        <w:rPr>
          <w:rFonts w:cs="Arial"/>
        </w:rPr>
        <w:t xml:space="preserve">same time as </w:t>
      </w:r>
      <w:r w:rsidR="00272E71" w:rsidRPr="002A75F2">
        <w:rPr>
          <w:rFonts w:cs="Arial"/>
        </w:rPr>
        <w:t xml:space="preserve">the </w:t>
      </w:r>
      <w:r w:rsidR="00F71FDE" w:rsidRPr="002A75F2">
        <w:rPr>
          <w:rFonts w:cs="Arial"/>
        </w:rPr>
        <w:t>MGRA</w:t>
      </w:r>
      <w:r w:rsidR="00D8666C" w:rsidRPr="002A75F2">
        <w:rPr>
          <w:rFonts w:cs="Arial"/>
        </w:rPr>
        <w:t xml:space="preserve">, </w:t>
      </w:r>
      <w:r w:rsidR="00F71FDE" w:rsidRPr="002A75F2">
        <w:rPr>
          <w:rFonts w:cs="Arial"/>
        </w:rPr>
        <w:t xml:space="preserve">refer to </w:t>
      </w:r>
      <w:r w:rsidR="00D8666C" w:rsidRPr="002A75F2">
        <w:rPr>
          <w:rFonts w:cs="Arial"/>
        </w:rPr>
        <w:t>sub</w:t>
      </w:r>
      <w:r w:rsidR="00272E71" w:rsidRPr="002A75F2">
        <w:rPr>
          <w:rFonts w:cs="Arial"/>
        </w:rPr>
        <w:t>section 3 (1.1) of Schedule C</w:t>
      </w:r>
      <w:r w:rsidR="00F71FDE" w:rsidRPr="002A75F2">
        <w:rPr>
          <w:rFonts w:cs="Arial"/>
        </w:rPr>
        <w:t xml:space="preserve"> </w:t>
      </w:r>
      <w:r w:rsidR="00272E71" w:rsidRPr="002A75F2">
        <w:rPr>
          <w:rFonts w:cs="Arial"/>
        </w:rPr>
        <w:t>of the Regulation. All other m</w:t>
      </w:r>
      <w:r w:rsidR="008F2802" w:rsidRPr="002A75F2">
        <w:rPr>
          <w:rFonts w:cs="Arial"/>
        </w:rPr>
        <w:t xml:space="preserve">andatory requirements of a PSF </w:t>
      </w:r>
      <w:r w:rsidR="00D8666C" w:rsidRPr="002A75F2">
        <w:rPr>
          <w:rFonts w:cs="Arial"/>
        </w:rPr>
        <w:t xml:space="preserve">that are </w:t>
      </w:r>
      <w:r w:rsidR="008F2802" w:rsidRPr="002A75F2">
        <w:rPr>
          <w:rFonts w:cs="Arial"/>
        </w:rPr>
        <w:t xml:space="preserve">included in </w:t>
      </w:r>
      <w:r w:rsidR="00272E71" w:rsidRPr="002A75F2">
        <w:rPr>
          <w:rFonts w:cs="Arial"/>
        </w:rPr>
        <w:t xml:space="preserve">section </w:t>
      </w:r>
      <w:r w:rsidR="008F2802" w:rsidRPr="002A75F2">
        <w:rPr>
          <w:rFonts w:cs="Arial"/>
        </w:rPr>
        <w:t>3</w:t>
      </w:r>
      <w:r w:rsidR="00272E71" w:rsidRPr="002A75F2">
        <w:rPr>
          <w:rFonts w:cs="Arial"/>
        </w:rPr>
        <w:t xml:space="preserve"> of Schedule C</w:t>
      </w:r>
      <w:r w:rsidR="008F2802" w:rsidRPr="002A75F2">
        <w:rPr>
          <w:rFonts w:cs="Arial"/>
        </w:rPr>
        <w:t xml:space="preserve"> still apply.</w:t>
      </w:r>
    </w:p>
    <w:p w14:paraId="388CBBD4" w14:textId="0105333E" w:rsidR="004D538E" w:rsidRPr="002A75F2" w:rsidRDefault="00272E71" w:rsidP="004D538E">
      <w:pPr>
        <w:rPr>
          <w:rFonts w:cs="Arial"/>
        </w:rPr>
      </w:pPr>
      <w:r w:rsidRPr="002A75F2">
        <w:rPr>
          <w:rFonts w:cs="Arial"/>
        </w:rPr>
        <w:t xml:space="preserve">MGRAs must use the Ministry’s reporting template (which is </w:t>
      </w:r>
      <w:r w:rsidR="005A544B" w:rsidRPr="002A75F2">
        <w:rPr>
          <w:rFonts w:cs="Arial"/>
        </w:rPr>
        <w:t>embedded within</w:t>
      </w:r>
      <w:r w:rsidRPr="002A75F2">
        <w:rPr>
          <w:rFonts w:cs="Arial"/>
        </w:rPr>
        <w:t xml:space="preserve"> the approved model) and include a copy of the approved model with their submission. Note that there are some a</w:t>
      </w:r>
      <w:r w:rsidR="002760E1" w:rsidRPr="002A75F2">
        <w:rPr>
          <w:rFonts w:cs="Arial"/>
        </w:rPr>
        <w:t>dditional requireme</w:t>
      </w:r>
      <w:r w:rsidR="00F71FDE" w:rsidRPr="002A75F2">
        <w:rPr>
          <w:rFonts w:cs="Arial"/>
        </w:rPr>
        <w:t>n</w:t>
      </w:r>
      <w:r w:rsidR="002760E1" w:rsidRPr="002A75F2">
        <w:rPr>
          <w:rFonts w:cs="Arial"/>
        </w:rPr>
        <w:t>t</w:t>
      </w:r>
      <w:r w:rsidR="00F71FDE" w:rsidRPr="002A75F2">
        <w:rPr>
          <w:rFonts w:cs="Arial"/>
        </w:rPr>
        <w:t xml:space="preserve">s specific to </w:t>
      </w:r>
      <w:r w:rsidRPr="002A75F2">
        <w:rPr>
          <w:rFonts w:cs="Arial"/>
        </w:rPr>
        <w:t xml:space="preserve">the </w:t>
      </w:r>
      <w:r w:rsidR="00F71FDE" w:rsidRPr="002A75F2">
        <w:rPr>
          <w:rFonts w:cs="Arial"/>
        </w:rPr>
        <w:t>MGRA</w:t>
      </w:r>
      <w:r w:rsidR="00D8666C" w:rsidRPr="002A75F2">
        <w:rPr>
          <w:rFonts w:cs="Arial"/>
        </w:rPr>
        <w:t xml:space="preserve"> report</w:t>
      </w:r>
      <w:r w:rsidR="00F71FDE" w:rsidRPr="002A75F2">
        <w:rPr>
          <w:rFonts w:cs="Arial"/>
        </w:rPr>
        <w:t xml:space="preserve"> (see </w:t>
      </w:r>
      <w:r w:rsidR="00D8666C" w:rsidRPr="002A75F2">
        <w:rPr>
          <w:rFonts w:cs="Arial"/>
        </w:rPr>
        <w:t xml:space="preserve">paragraph 4.1 of </w:t>
      </w:r>
      <w:r w:rsidRPr="002A75F2">
        <w:rPr>
          <w:rFonts w:cs="Arial"/>
        </w:rPr>
        <w:t xml:space="preserve">section </w:t>
      </w:r>
      <w:r w:rsidR="002760E1" w:rsidRPr="002A75F2">
        <w:rPr>
          <w:rFonts w:cs="Arial"/>
        </w:rPr>
        <w:t>4</w:t>
      </w:r>
      <w:r w:rsidRPr="002A75F2">
        <w:rPr>
          <w:rFonts w:cs="Arial"/>
        </w:rPr>
        <w:t xml:space="preserve"> </w:t>
      </w:r>
      <w:r w:rsidR="002760E1" w:rsidRPr="002A75F2">
        <w:rPr>
          <w:rFonts w:cs="Arial"/>
        </w:rPr>
        <w:t xml:space="preserve">(6) </w:t>
      </w:r>
      <w:r w:rsidRPr="002A75F2">
        <w:rPr>
          <w:rFonts w:cs="Arial"/>
        </w:rPr>
        <w:t>of Schedule C</w:t>
      </w:r>
      <w:r w:rsidR="00F71FDE" w:rsidRPr="002A75F2">
        <w:rPr>
          <w:rFonts w:cs="Arial"/>
        </w:rPr>
        <w:t>)</w:t>
      </w:r>
      <w:r w:rsidR="008F2802" w:rsidRPr="002A75F2">
        <w:rPr>
          <w:rFonts w:cs="Arial"/>
        </w:rPr>
        <w:t xml:space="preserve">. </w:t>
      </w:r>
      <w:r w:rsidRPr="002A75F2">
        <w:rPr>
          <w:rFonts w:cs="Arial"/>
        </w:rPr>
        <w:t>All other m</w:t>
      </w:r>
      <w:r w:rsidR="008F2802" w:rsidRPr="002A75F2">
        <w:rPr>
          <w:rFonts w:cs="Arial"/>
        </w:rPr>
        <w:t>andatory requirements of a</w:t>
      </w:r>
      <w:r w:rsidR="00957F70" w:rsidRPr="002A75F2">
        <w:rPr>
          <w:rFonts w:cs="Arial"/>
        </w:rPr>
        <w:t>n</w:t>
      </w:r>
      <w:r w:rsidR="008F2802" w:rsidRPr="002A75F2">
        <w:rPr>
          <w:rFonts w:cs="Arial"/>
        </w:rPr>
        <w:t xml:space="preserve"> RA </w:t>
      </w:r>
      <w:r w:rsidR="00D8666C" w:rsidRPr="002A75F2">
        <w:rPr>
          <w:rFonts w:cs="Arial"/>
        </w:rPr>
        <w:t xml:space="preserve">report </w:t>
      </w:r>
      <w:r w:rsidR="008F2802" w:rsidRPr="002A75F2">
        <w:rPr>
          <w:rFonts w:cs="Arial"/>
        </w:rPr>
        <w:t xml:space="preserve">(included in </w:t>
      </w:r>
      <w:r w:rsidRPr="002A75F2">
        <w:rPr>
          <w:rFonts w:cs="Arial"/>
        </w:rPr>
        <w:t xml:space="preserve">section 4 of </w:t>
      </w:r>
      <w:r w:rsidR="008F2802" w:rsidRPr="002A75F2">
        <w:rPr>
          <w:rFonts w:cs="Arial"/>
        </w:rPr>
        <w:t>Sch</w:t>
      </w:r>
      <w:r w:rsidRPr="002A75F2">
        <w:rPr>
          <w:rFonts w:cs="Arial"/>
        </w:rPr>
        <w:t xml:space="preserve">edule </w:t>
      </w:r>
      <w:r w:rsidR="008F2802" w:rsidRPr="002A75F2">
        <w:rPr>
          <w:rFonts w:cs="Arial"/>
        </w:rPr>
        <w:t>C) still apply</w:t>
      </w:r>
      <w:r w:rsidR="00B04718" w:rsidRPr="002A75F2">
        <w:rPr>
          <w:rFonts w:cs="Arial"/>
        </w:rPr>
        <w:t>, unless otherw</w:t>
      </w:r>
      <w:r w:rsidR="008F2802" w:rsidRPr="002A75F2">
        <w:rPr>
          <w:rFonts w:cs="Arial"/>
        </w:rPr>
        <w:t xml:space="preserve">ise </w:t>
      </w:r>
      <w:r w:rsidR="00B04718" w:rsidRPr="002A75F2">
        <w:rPr>
          <w:rFonts w:cs="Arial"/>
        </w:rPr>
        <w:t>noted</w:t>
      </w:r>
      <w:r w:rsidRPr="002A75F2">
        <w:rPr>
          <w:rFonts w:cs="Arial"/>
        </w:rPr>
        <w:t>.</w:t>
      </w:r>
      <w:r w:rsidR="005228FD" w:rsidRPr="002A75F2">
        <w:rPr>
          <w:rFonts w:cs="Arial"/>
        </w:rPr>
        <w:t xml:space="preserve"> </w:t>
      </w:r>
    </w:p>
    <w:p w14:paraId="0A0E7CA0" w14:textId="77777777" w:rsidR="004D538E" w:rsidRPr="002A75F2" w:rsidRDefault="004D538E" w:rsidP="004D538E">
      <w:pPr>
        <w:rPr>
          <w:rFonts w:cs="Arial"/>
        </w:rPr>
      </w:pPr>
      <w:r w:rsidRPr="002A75F2">
        <w:rPr>
          <w:rFonts w:cs="Arial"/>
        </w:rPr>
        <w:t xml:space="preserve">When changing </w:t>
      </w:r>
      <w:r w:rsidR="00272E71" w:rsidRPr="002A75F2">
        <w:rPr>
          <w:rFonts w:cs="Arial"/>
        </w:rPr>
        <w:t xml:space="preserve">a </w:t>
      </w:r>
      <w:r w:rsidR="00401032" w:rsidRPr="002A75F2">
        <w:rPr>
          <w:rFonts w:cs="Arial"/>
        </w:rPr>
        <w:t>modifiable</w:t>
      </w:r>
      <w:r w:rsidR="00272E71" w:rsidRPr="002A75F2">
        <w:rPr>
          <w:rFonts w:cs="Arial"/>
        </w:rPr>
        <w:t xml:space="preserve"> </w:t>
      </w:r>
      <w:r w:rsidRPr="002A75F2">
        <w:rPr>
          <w:rFonts w:cs="Arial"/>
        </w:rPr>
        <w:t>parameter</w:t>
      </w:r>
      <w:r w:rsidR="00272E71" w:rsidRPr="002A75F2">
        <w:rPr>
          <w:rFonts w:cs="Arial"/>
        </w:rPr>
        <w:t xml:space="preserve"> in the approved model</w:t>
      </w:r>
      <w:r w:rsidRPr="002A75F2">
        <w:rPr>
          <w:rFonts w:cs="Arial"/>
        </w:rPr>
        <w:t xml:space="preserve">, </w:t>
      </w:r>
      <w:r w:rsidR="00272E71" w:rsidRPr="002A75F2">
        <w:rPr>
          <w:rFonts w:cs="Arial"/>
        </w:rPr>
        <w:t>the</w:t>
      </w:r>
      <w:r w:rsidRPr="002A75F2">
        <w:rPr>
          <w:rFonts w:cs="Arial"/>
        </w:rPr>
        <w:t xml:space="preserve"> </w:t>
      </w:r>
      <w:r w:rsidR="00272E71" w:rsidRPr="002A75F2">
        <w:rPr>
          <w:rFonts w:cs="Arial"/>
        </w:rPr>
        <w:t>phase two ESA report</w:t>
      </w:r>
      <w:r w:rsidRPr="002A75F2">
        <w:rPr>
          <w:rFonts w:cs="Arial"/>
        </w:rPr>
        <w:t xml:space="preserve"> must include proper justification, as required in </w:t>
      </w:r>
      <w:r w:rsidR="00D8666C" w:rsidRPr="002A75F2">
        <w:rPr>
          <w:rFonts w:cs="Arial"/>
        </w:rPr>
        <w:t xml:space="preserve">the </w:t>
      </w:r>
      <w:r w:rsidRPr="002A75F2">
        <w:rPr>
          <w:rFonts w:cs="Arial"/>
        </w:rPr>
        <w:t>following:</w:t>
      </w:r>
    </w:p>
    <w:p w14:paraId="68CFB9F9" w14:textId="77777777" w:rsidR="004D538E" w:rsidRPr="000C60E1" w:rsidRDefault="004D538E" w:rsidP="00A47B50">
      <w:pPr>
        <w:numPr>
          <w:ilvl w:val="0"/>
          <w:numId w:val="21"/>
        </w:numPr>
        <w:shd w:val="clear" w:color="auto" w:fill="D9D9D9"/>
        <w:rPr>
          <w:rFonts w:cs="Arial"/>
        </w:rPr>
      </w:pPr>
      <w:r w:rsidRPr="000C60E1">
        <w:rPr>
          <w:rFonts w:cs="Arial"/>
        </w:rPr>
        <w:t>Table 1 of Schedule E (Mandatory Requirements for Phase Two Environmental Site Assessment Reports – Report Section 10; Heading d) Modified Generic Risk Assessment)</w:t>
      </w:r>
    </w:p>
    <w:p w14:paraId="041E79F9" w14:textId="77777777" w:rsidR="004D538E" w:rsidRPr="002A75F2" w:rsidRDefault="004D538E" w:rsidP="00A47B50">
      <w:pPr>
        <w:numPr>
          <w:ilvl w:val="0"/>
          <w:numId w:val="21"/>
        </w:numPr>
        <w:shd w:val="clear" w:color="auto" w:fill="D9D9D9"/>
        <w:rPr>
          <w:rFonts w:cs="Arial"/>
        </w:rPr>
      </w:pPr>
      <w:r w:rsidRPr="002A75F2">
        <w:rPr>
          <w:rFonts w:cs="Arial"/>
        </w:rPr>
        <w:t>Table 4 of Schedule E (Phase Two Environmental Site Assessment Requirements for Modified Generic Risk Assessments)</w:t>
      </w:r>
    </w:p>
    <w:p w14:paraId="203A0A3E" w14:textId="77777777" w:rsidR="00CC41AC" w:rsidRPr="002A75F2" w:rsidRDefault="00ED770B" w:rsidP="00ED770B">
      <w:pPr>
        <w:rPr>
          <w:rFonts w:cs="Arial"/>
        </w:rPr>
      </w:pPr>
      <w:r w:rsidRPr="002A75F2">
        <w:rPr>
          <w:rFonts w:cs="Arial"/>
        </w:rPr>
        <w:t>F</w:t>
      </w:r>
      <w:r w:rsidR="00F71FDE" w:rsidRPr="002A75F2">
        <w:rPr>
          <w:rFonts w:cs="Arial"/>
        </w:rPr>
        <w:t xml:space="preserve">urther guidance </w:t>
      </w:r>
      <w:r w:rsidR="002760E1" w:rsidRPr="002A75F2">
        <w:rPr>
          <w:rFonts w:cs="Arial"/>
        </w:rPr>
        <w:t xml:space="preserve">on </w:t>
      </w:r>
      <w:r w:rsidR="005219A1" w:rsidRPr="002A75F2">
        <w:rPr>
          <w:rFonts w:cs="Arial"/>
        </w:rPr>
        <w:t xml:space="preserve">the preparation and </w:t>
      </w:r>
      <w:r w:rsidR="002760E1" w:rsidRPr="002A75F2">
        <w:rPr>
          <w:rFonts w:cs="Arial"/>
        </w:rPr>
        <w:t>submi</w:t>
      </w:r>
      <w:r w:rsidR="005219A1" w:rsidRPr="002A75F2">
        <w:rPr>
          <w:rFonts w:cs="Arial"/>
        </w:rPr>
        <w:t xml:space="preserve">ssion of </w:t>
      </w:r>
      <w:r w:rsidR="002760E1" w:rsidRPr="002A75F2">
        <w:rPr>
          <w:rFonts w:cs="Arial"/>
        </w:rPr>
        <w:t xml:space="preserve">MGRAs (including </w:t>
      </w:r>
      <w:r w:rsidR="005219A1" w:rsidRPr="002A75F2">
        <w:rPr>
          <w:rFonts w:cs="Arial"/>
        </w:rPr>
        <w:t>a user guide</w:t>
      </w:r>
      <w:r w:rsidR="005A544B" w:rsidRPr="002A75F2">
        <w:rPr>
          <w:rFonts w:cs="Arial"/>
        </w:rPr>
        <w:t xml:space="preserve">, </w:t>
      </w:r>
      <w:r w:rsidR="005219A1" w:rsidRPr="002A75F2">
        <w:rPr>
          <w:rFonts w:cs="Arial"/>
        </w:rPr>
        <w:t xml:space="preserve">the </w:t>
      </w:r>
      <w:r w:rsidR="002760E1" w:rsidRPr="002A75F2">
        <w:rPr>
          <w:rFonts w:cs="Arial"/>
        </w:rPr>
        <w:t xml:space="preserve">most recent version of the </w:t>
      </w:r>
      <w:r w:rsidR="00BA09A1" w:rsidRPr="002A75F2">
        <w:rPr>
          <w:rFonts w:cs="Arial"/>
        </w:rPr>
        <w:t>a</w:t>
      </w:r>
      <w:r w:rsidR="002760E1" w:rsidRPr="002A75F2">
        <w:rPr>
          <w:rFonts w:cs="Arial"/>
        </w:rPr>
        <w:t xml:space="preserve">pproved </w:t>
      </w:r>
      <w:r w:rsidR="00BA09A1" w:rsidRPr="002A75F2">
        <w:rPr>
          <w:rFonts w:cs="Arial"/>
        </w:rPr>
        <w:t>m</w:t>
      </w:r>
      <w:r w:rsidR="002760E1" w:rsidRPr="002A75F2">
        <w:rPr>
          <w:rFonts w:cs="Arial"/>
        </w:rPr>
        <w:t>odel</w:t>
      </w:r>
      <w:r w:rsidR="005A544B" w:rsidRPr="002A75F2">
        <w:rPr>
          <w:rFonts w:cs="Arial"/>
        </w:rPr>
        <w:t xml:space="preserve"> and limitations of MGRA</w:t>
      </w:r>
      <w:r w:rsidR="002760E1" w:rsidRPr="002A75F2">
        <w:rPr>
          <w:rFonts w:cs="Arial"/>
        </w:rPr>
        <w:t xml:space="preserve">) </w:t>
      </w:r>
      <w:r w:rsidR="00F71FDE" w:rsidRPr="002A75F2">
        <w:rPr>
          <w:rFonts w:cs="Arial"/>
        </w:rPr>
        <w:t xml:space="preserve">is </w:t>
      </w:r>
      <w:r w:rsidR="00575DA4" w:rsidRPr="002A75F2">
        <w:rPr>
          <w:rFonts w:cs="Arial"/>
        </w:rPr>
        <w:t>available on the M</w:t>
      </w:r>
      <w:r w:rsidR="00F71FDE" w:rsidRPr="002A75F2">
        <w:rPr>
          <w:rFonts w:cs="Arial"/>
        </w:rPr>
        <w:t>inistry’s brownfields website</w:t>
      </w:r>
      <w:r w:rsidR="00CC2F21" w:rsidRPr="002A75F2">
        <w:rPr>
          <w:rFonts w:cs="Arial"/>
        </w:rPr>
        <w:t>.</w:t>
      </w:r>
      <w:r w:rsidR="00CC41AC" w:rsidRPr="002A75F2">
        <w:rPr>
          <w:rFonts w:cs="Arial"/>
        </w:rPr>
        <w:t xml:space="preserve"> </w:t>
      </w:r>
    </w:p>
    <w:p w14:paraId="6DA7BC9F" w14:textId="2FE7454C" w:rsidR="00F71FDE" w:rsidRPr="002A75F2" w:rsidRDefault="00CC41AC" w:rsidP="00ED770B">
      <w:pPr>
        <w:rPr>
          <w:rFonts w:cs="Arial"/>
        </w:rPr>
      </w:pPr>
      <w:r w:rsidRPr="002A75F2">
        <w:rPr>
          <w:rFonts w:cs="Arial"/>
        </w:rPr>
        <w:t xml:space="preserve">Pre-consultation </w:t>
      </w:r>
      <w:r w:rsidR="00E216E8" w:rsidRPr="002A75F2">
        <w:rPr>
          <w:rFonts w:cs="Arial"/>
        </w:rPr>
        <w:t xml:space="preserve">with the Ministry </w:t>
      </w:r>
      <w:r w:rsidRPr="002A75F2">
        <w:rPr>
          <w:rFonts w:cs="Arial"/>
        </w:rPr>
        <w:t xml:space="preserve">on </w:t>
      </w:r>
      <w:r w:rsidR="00E216E8" w:rsidRPr="002A75F2">
        <w:rPr>
          <w:rFonts w:cs="Arial"/>
        </w:rPr>
        <w:t xml:space="preserve">a site’s suitability </w:t>
      </w:r>
      <w:r w:rsidRPr="002A75F2">
        <w:rPr>
          <w:rFonts w:cs="Arial"/>
        </w:rPr>
        <w:t>to proceed as a</w:t>
      </w:r>
      <w:r w:rsidR="00E216E8" w:rsidRPr="002A75F2">
        <w:rPr>
          <w:rFonts w:cs="Arial"/>
        </w:rPr>
        <w:t>n</w:t>
      </w:r>
      <w:r w:rsidRPr="002A75F2">
        <w:rPr>
          <w:rFonts w:cs="Arial"/>
        </w:rPr>
        <w:t xml:space="preserve"> MGRA is strongly recommend</w:t>
      </w:r>
      <w:r w:rsidR="009B1CD6">
        <w:rPr>
          <w:rFonts w:cs="Arial"/>
        </w:rPr>
        <w:t>ed</w:t>
      </w:r>
      <w:r w:rsidRPr="002A75F2">
        <w:rPr>
          <w:rFonts w:cs="Arial"/>
        </w:rPr>
        <w:t xml:space="preserve">. </w:t>
      </w:r>
      <w:r w:rsidR="00824D28">
        <w:rPr>
          <w:rFonts w:cs="Arial"/>
        </w:rPr>
        <w:t>C</w:t>
      </w:r>
      <w:r w:rsidR="00824D28" w:rsidRPr="002A75F2">
        <w:rPr>
          <w:rFonts w:cs="Arial"/>
        </w:rPr>
        <w:t xml:space="preserve">onsultation with the local Ministry District Office </w:t>
      </w:r>
      <w:r w:rsidR="00824D28">
        <w:rPr>
          <w:rFonts w:cs="Arial"/>
        </w:rPr>
        <w:t>is especially important i</w:t>
      </w:r>
      <w:r w:rsidR="00E216E8" w:rsidRPr="002A75F2">
        <w:rPr>
          <w:rFonts w:cs="Arial"/>
        </w:rPr>
        <w:t>n cases where</w:t>
      </w:r>
      <w:r w:rsidRPr="002A75F2">
        <w:rPr>
          <w:rFonts w:cs="Arial"/>
        </w:rPr>
        <w:t xml:space="preserve"> </w:t>
      </w:r>
      <w:r w:rsidR="00D16E05" w:rsidRPr="002A75F2">
        <w:rPr>
          <w:rFonts w:cs="Arial"/>
        </w:rPr>
        <w:t>risk management measures</w:t>
      </w:r>
      <w:r w:rsidRPr="002A75F2">
        <w:rPr>
          <w:rFonts w:cs="Arial"/>
        </w:rPr>
        <w:t xml:space="preserve"> such as “no installation of potable groundwater drinking wells” or pathway </w:t>
      </w:r>
      <w:r w:rsidR="00EC2DDF" w:rsidRPr="002A75F2">
        <w:rPr>
          <w:rFonts w:cs="Arial"/>
        </w:rPr>
        <w:t>modifiers</w:t>
      </w:r>
      <w:r w:rsidRPr="002A75F2">
        <w:rPr>
          <w:rFonts w:cs="Arial"/>
        </w:rPr>
        <w:t xml:space="preserve"> </w:t>
      </w:r>
      <w:r w:rsidR="00E216E8" w:rsidRPr="002A75F2">
        <w:rPr>
          <w:rFonts w:cs="Arial"/>
        </w:rPr>
        <w:t>(</w:t>
      </w:r>
      <w:r w:rsidRPr="002A75F2">
        <w:rPr>
          <w:rFonts w:cs="Arial"/>
        </w:rPr>
        <w:t>that modifies the GW2 component values</w:t>
      </w:r>
      <w:r w:rsidR="00E216E8" w:rsidRPr="002A75F2">
        <w:rPr>
          <w:rFonts w:cs="Arial"/>
        </w:rPr>
        <w:t>)</w:t>
      </w:r>
      <w:r w:rsidRPr="002A75F2">
        <w:rPr>
          <w:rFonts w:cs="Arial"/>
        </w:rPr>
        <w:t xml:space="preserve"> are </w:t>
      </w:r>
      <w:r w:rsidR="00E216E8" w:rsidRPr="002A75F2">
        <w:rPr>
          <w:rFonts w:cs="Arial"/>
        </w:rPr>
        <w:t>being considered</w:t>
      </w:r>
      <w:r w:rsidRPr="002A75F2">
        <w:rPr>
          <w:rFonts w:cs="Arial"/>
        </w:rPr>
        <w:t>.</w:t>
      </w:r>
      <w:r w:rsidR="0096402C" w:rsidRPr="002A75F2">
        <w:rPr>
          <w:rFonts w:cs="Arial"/>
        </w:rPr>
        <w:t xml:space="preserve"> </w:t>
      </w:r>
      <w:r w:rsidR="00E216E8" w:rsidRPr="002A75F2">
        <w:rPr>
          <w:rFonts w:cs="Arial"/>
        </w:rPr>
        <w:t xml:space="preserve">Ultimately, </w:t>
      </w:r>
      <w:r w:rsidRPr="002A75F2">
        <w:rPr>
          <w:rFonts w:cs="Arial"/>
        </w:rPr>
        <w:t xml:space="preserve">a site’s ability to proceed as an MGRA will </w:t>
      </w:r>
      <w:r w:rsidR="00E216E8" w:rsidRPr="002A75F2">
        <w:rPr>
          <w:rFonts w:cs="Arial"/>
        </w:rPr>
        <w:t xml:space="preserve">be </w:t>
      </w:r>
      <w:r w:rsidRPr="002A75F2">
        <w:rPr>
          <w:rFonts w:cs="Arial"/>
        </w:rPr>
        <w:t>determined by the Ministry</w:t>
      </w:r>
      <w:r w:rsidR="00E216E8" w:rsidRPr="002A75F2">
        <w:rPr>
          <w:rFonts w:cs="Arial"/>
        </w:rPr>
        <w:t xml:space="preserve"> and </w:t>
      </w:r>
      <w:r w:rsidRPr="002A75F2">
        <w:rPr>
          <w:rFonts w:cs="Arial"/>
        </w:rPr>
        <w:t>some sites may be required to proceed as Tier 3</w:t>
      </w:r>
      <w:r w:rsidR="00E216E8" w:rsidRPr="002A75F2">
        <w:rPr>
          <w:rFonts w:cs="Arial"/>
        </w:rPr>
        <w:t xml:space="preserve"> </w:t>
      </w:r>
      <w:r w:rsidR="008131C5" w:rsidRPr="002A75F2">
        <w:rPr>
          <w:rFonts w:cs="Arial"/>
        </w:rPr>
        <w:t>risk assessments.</w:t>
      </w:r>
    </w:p>
    <w:p w14:paraId="56FC0045" w14:textId="5A1F6C92" w:rsidR="0062681F" w:rsidRPr="002A75F2" w:rsidRDefault="0062681F" w:rsidP="00DE496B">
      <w:pPr>
        <w:pStyle w:val="Heading3"/>
        <w:rPr>
          <w:rFonts w:cs="Arial"/>
        </w:rPr>
      </w:pPr>
      <w:bookmarkStart w:id="350" w:name="_Toc41905734"/>
      <w:r w:rsidRPr="002A75F2">
        <w:rPr>
          <w:rFonts w:cs="Arial"/>
        </w:rPr>
        <w:t>Risk Assessment Based on a Community Assessment Report</w:t>
      </w:r>
      <w:bookmarkEnd w:id="350"/>
      <w:r w:rsidRPr="002A75F2">
        <w:rPr>
          <w:rFonts w:cs="Arial"/>
        </w:rPr>
        <w:t xml:space="preserve">  </w:t>
      </w:r>
    </w:p>
    <w:p w14:paraId="1CA32F1C" w14:textId="77A2D9A1" w:rsidR="0062681F" w:rsidRPr="000C60E1" w:rsidRDefault="0062681F" w:rsidP="0062681F">
      <w:pPr>
        <w:rPr>
          <w:rFonts w:cs="Arial"/>
        </w:rPr>
      </w:pPr>
      <w:r w:rsidRPr="002A75F2">
        <w:rPr>
          <w:rFonts w:cs="Arial"/>
        </w:rPr>
        <w:t xml:space="preserve">The </w:t>
      </w:r>
      <w:r w:rsidR="00744536" w:rsidRPr="002A75F2">
        <w:rPr>
          <w:rFonts w:cs="Arial"/>
        </w:rPr>
        <w:t>second</w:t>
      </w:r>
      <w:r w:rsidRPr="002A75F2">
        <w:rPr>
          <w:rFonts w:cs="Arial"/>
        </w:rPr>
        <w:t xml:space="preserve"> type of limited scope </w:t>
      </w:r>
      <w:r w:rsidR="00744536" w:rsidRPr="002A75F2">
        <w:rPr>
          <w:rFonts w:cs="Arial"/>
        </w:rPr>
        <w:t>risk assessment</w:t>
      </w:r>
      <w:r w:rsidRPr="002A75F2">
        <w:rPr>
          <w:rFonts w:cs="Arial"/>
        </w:rPr>
        <w:t xml:space="preserve"> is a risk assessment based on a community assessment report. Risk-based intervention values are sometimes developed outside of the Regulation through a risk assessment conducted by a responsible party for a predefined study area (typically with multiple properties and owners); however </w:t>
      </w:r>
      <w:r w:rsidR="00A74602" w:rsidRPr="002A75F2">
        <w:rPr>
          <w:rFonts w:cs="Arial"/>
        </w:rPr>
        <w:t xml:space="preserve">until 2011 </w:t>
      </w:r>
      <w:r w:rsidRPr="002A75F2">
        <w:rPr>
          <w:rFonts w:cs="Arial"/>
        </w:rPr>
        <w:t xml:space="preserve">individual property owner(s) located within the study area could not use these values directly to support RSC </w:t>
      </w:r>
      <w:r w:rsidR="00A74602" w:rsidRPr="002A75F2">
        <w:rPr>
          <w:rFonts w:cs="Arial"/>
        </w:rPr>
        <w:t>submissions</w:t>
      </w:r>
      <w:r w:rsidRPr="002A75F2">
        <w:rPr>
          <w:rFonts w:cs="Arial"/>
        </w:rPr>
        <w:t>. The Regulation</w:t>
      </w:r>
      <w:r w:rsidRPr="000C60E1">
        <w:rPr>
          <w:rFonts w:cs="Arial"/>
        </w:rPr>
        <w:t xml:space="preserve"> was amended in July 2011 to allow for property owners located within the study area of a Community Assessment Report (CAR) to utilize an </w:t>
      </w:r>
      <w:r w:rsidRPr="000C60E1">
        <w:rPr>
          <w:rFonts w:cs="Arial"/>
        </w:rPr>
        <w:lastRenderedPageBreak/>
        <w:t xml:space="preserve">intervention value developed in the CAR, as part of a limited scope </w:t>
      </w:r>
      <w:r w:rsidR="00D4507B" w:rsidRPr="000C60E1">
        <w:rPr>
          <w:rFonts w:cs="Arial"/>
        </w:rPr>
        <w:t>risk assessment</w:t>
      </w:r>
      <w:r w:rsidRPr="000C60E1">
        <w:rPr>
          <w:rFonts w:cs="Arial"/>
        </w:rPr>
        <w:t>. Refer to the following parts of the Regulation for additional details regarding a risk assessment based on a CAR:</w:t>
      </w:r>
    </w:p>
    <w:p w14:paraId="3B53090F" w14:textId="77777777" w:rsidR="0062681F" w:rsidRPr="002A75F2" w:rsidRDefault="0062681F" w:rsidP="0062681F">
      <w:pPr>
        <w:numPr>
          <w:ilvl w:val="0"/>
          <w:numId w:val="22"/>
        </w:numPr>
        <w:shd w:val="clear" w:color="auto" w:fill="D9D9D9"/>
        <w:rPr>
          <w:rFonts w:cs="Arial"/>
        </w:rPr>
      </w:pPr>
      <w:r w:rsidRPr="002A75F2">
        <w:rPr>
          <w:rFonts w:cs="Arial"/>
        </w:rPr>
        <w:t>Section 1 of Schedule C (Definitions – “community assessment report”)</w:t>
      </w:r>
    </w:p>
    <w:p w14:paraId="7B8F4DA7" w14:textId="77777777" w:rsidR="0062681F" w:rsidRPr="002A75F2" w:rsidRDefault="0062681F" w:rsidP="0062681F">
      <w:pPr>
        <w:numPr>
          <w:ilvl w:val="0"/>
          <w:numId w:val="22"/>
        </w:numPr>
        <w:shd w:val="clear" w:color="auto" w:fill="D9D9D9"/>
        <w:rPr>
          <w:rFonts w:cs="Arial"/>
        </w:rPr>
      </w:pPr>
      <w:r w:rsidRPr="002A75F2">
        <w:rPr>
          <w:rFonts w:cs="Arial"/>
        </w:rPr>
        <w:t>Subsection 7 (2) of Schedule C</w:t>
      </w:r>
    </w:p>
    <w:p w14:paraId="43A2EB44" w14:textId="0BA8EB4A" w:rsidR="0062681F" w:rsidRPr="002A75F2" w:rsidRDefault="0062681F" w:rsidP="0062681F">
      <w:pPr>
        <w:rPr>
          <w:rFonts w:cs="Arial"/>
        </w:rPr>
      </w:pPr>
      <w:r w:rsidRPr="002A75F2">
        <w:rPr>
          <w:rFonts w:cs="Arial"/>
        </w:rPr>
        <w:t xml:space="preserve">The purpose of a CAR is to facilitate the </w:t>
      </w:r>
      <w:r w:rsidR="00A74602" w:rsidRPr="002A75F2">
        <w:rPr>
          <w:rFonts w:cs="Arial"/>
        </w:rPr>
        <w:t xml:space="preserve">submission </w:t>
      </w:r>
      <w:r w:rsidRPr="002A75F2">
        <w:rPr>
          <w:rFonts w:cs="Arial"/>
        </w:rPr>
        <w:t xml:space="preserve">of RSCs </w:t>
      </w:r>
      <w:r w:rsidR="00A74602" w:rsidRPr="002A75F2">
        <w:rPr>
          <w:rFonts w:cs="Arial"/>
        </w:rPr>
        <w:t xml:space="preserve">for filing </w:t>
      </w:r>
      <w:r w:rsidRPr="002A75F2">
        <w:rPr>
          <w:rFonts w:cs="Arial"/>
        </w:rPr>
        <w:t xml:space="preserve">by the individual property owners within the CAR study area. </w:t>
      </w:r>
      <w:r w:rsidR="0053402C" w:rsidRPr="002A75F2">
        <w:rPr>
          <w:rFonts w:cs="Arial"/>
        </w:rPr>
        <w:t>The</w:t>
      </w:r>
      <w:r w:rsidR="00855431" w:rsidRPr="002A75F2">
        <w:rPr>
          <w:rFonts w:cs="Arial"/>
        </w:rPr>
        <w:t xml:space="preserve"> CAR </w:t>
      </w:r>
      <w:r w:rsidR="0053402C" w:rsidRPr="002A75F2">
        <w:rPr>
          <w:rFonts w:cs="Arial"/>
        </w:rPr>
        <w:t xml:space="preserve">can only be </w:t>
      </w:r>
      <w:r w:rsidR="00855431" w:rsidRPr="002A75F2">
        <w:rPr>
          <w:rFonts w:cs="Arial"/>
        </w:rPr>
        <w:t>submitted as a result of a</w:t>
      </w:r>
      <w:r w:rsidR="0053402C" w:rsidRPr="002A75F2">
        <w:rPr>
          <w:rFonts w:cs="Arial"/>
        </w:rPr>
        <w:t xml:space="preserve"> Ministry</w:t>
      </w:r>
      <w:r w:rsidR="00855431" w:rsidRPr="002A75F2">
        <w:rPr>
          <w:rFonts w:cs="Arial"/>
        </w:rPr>
        <w:t xml:space="preserve"> order or draft order. </w:t>
      </w:r>
      <w:r w:rsidRPr="002A75F2">
        <w:rPr>
          <w:rFonts w:cs="Arial"/>
        </w:rPr>
        <w:t xml:space="preserve">Once the CAR has been completed to the Ministry’s satisfaction, a property owner located within the CAR study area can then prepare a limited scope </w:t>
      </w:r>
      <w:r w:rsidR="00744536" w:rsidRPr="002A75F2">
        <w:rPr>
          <w:rFonts w:cs="Arial"/>
        </w:rPr>
        <w:t>risk assessment</w:t>
      </w:r>
      <w:r w:rsidRPr="002A75F2">
        <w:rPr>
          <w:rFonts w:cs="Arial"/>
        </w:rPr>
        <w:t xml:space="preserve"> for their own property which utilizes the intervention value(s) previously developed in the CAR. </w:t>
      </w:r>
    </w:p>
    <w:p w14:paraId="5C28633F" w14:textId="77777777" w:rsidR="0062681F" w:rsidRPr="002A75F2" w:rsidRDefault="0062681F" w:rsidP="0062681F">
      <w:pPr>
        <w:rPr>
          <w:rFonts w:cs="Arial"/>
        </w:rPr>
      </w:pPr>
      <w:bookmarkStart w:id="351" w:name="_Hlk35952706"/>
      <w:r w:rsidRPr="002A75F2">
        <w:rPr>
          <w:rFonts w:cs="Arial"/>
        </w:rPr>
        <w:t xml:space="preserve">Note that phase one and two ESAs (conducted in accordance with the Regulation) are still required for the limited scope RA property and any COCs identified in the phase two ESA that are not addressed in the CAR will need to be addressed via the </w:t>
      </w:r>
      <w:r w:rsidR="0053402C" w:rsidRPr="002A75F2">
        <w:rPr>
          <w:rFonts w:cs="Arial"/>
        </w:rPr>
        <w:t xml:space="preserve">applicable </w:t>
      </w:r>
      <w:r w:rsidRPr="002A75F2">
        <w:rPr>
          <w:rFonts w:cs="Arial"/>
        </w:rPr>
        <w:t>risk assessment approaches described in this Procedures document.</w:t>
      </w:r>
      <w:bookmarkEnd w:id="351"/>
    </w:p>
    <w:p w14:paraId="14745609" w14:textId="64C9521A" w:rsidR="0062681F" w:rsidRPr="000C60E1" w:rsidRDefault="0062681F" w:rsidP="0062681F">
      <w:pPr>
        <w:rPr>
          <w:rFonts w:cs="Arial"/>
        </w:rPr>
      </w:pPr>
      <w:r w:rsidRPr="002A75F2">
        <w:rPr>
          <w:rFonts w:cs="Arial"/>
        </w:rPr>
        <w:t>Procedures for conducting CARs are beyond the scope of this document; further guidance can be provided upon request. For additional</w:t>
      </w:r>
      <w:r w:rsidRPr="000C60E1">
        <w:rPr>
          <w:rFonts w:cs="Arial"/>
        </w:rPr>
        <w:t xml:space="preserve"> information regarding CARs and limited scope </w:t>
      </w:r>
      <w:r w:rsidR="0034145E">
        <w:rPr>
          <w:rFonts w:cs="Arial"/>
        </w:rPr>
        <w:t>risk assessment</w:t>
      </w:r>
      <w:r w:rsidRPr="000C60E1">
        <w:rPr>
          <w:rFonts w:cs="Arial"/>
        </w:rPr>
        <w:t>s based on a CAR, the Ministry should be contacted directly.</w:t>
      </w:r>
    </w:p>
    <w:p w14:paraId="4E154B32" w14:textId="635CC017" w:rsidR="0062681F" w:rsidRPr="002A75F2" w:rsidRDefault="0062681F" w:rsidP="00ED770B">
      <w:pPr>
        <w:rPr>
          <w:rFonts w:cs="Arial"/>
        </w:rPr>
      </w:pPr>
      <w:r w:rsidRPr="000C60E1">
        <w:rPr>
          <w:rFonts w:cs="Arial"/>
        </w:rPr>
        <w:t xml:space="preserve">Note that community based risk assessment (CBRA) is another term sometimes used by the Ministry, however, this is considered to be different from a CAR. CBRAs are generally prepared to address specific concerns of the Ministry, local Public Health Units and/or the public </w:t>
      </w:r>
      <w:r w:rsidRPr="002A75F2">
        <w:rPr>
          <w:rFonts w:cs="Arial"/>
        </w:rPr>
        <w:t xml:space="preserve">related to off-site contamination. The scope of CBRAs is typically more focused and is usually defined by the Ministry’s abatement objectives. CBRAs are not defined or conducted under the Regulation and cannot be directly used by individual property owners within the impacted area to support RSC </w:t>
      </w:r>
      <w:r w:rsidR="00A74602" w:rsidRPr="002A75F2">
        <w:rPr>
          <w:rFonts w:cs="Arial"/>
        </w:rPr>
        <w:t>submissions</w:t>
      </w:r>
      <w:r w:rsidRPr="002A75F2">
        <w:rPr>
          <w:rFonts w:cs="Arial"/>
        </w:rPr>
        <w:t>.</w:t>
      </w:r>
    </w:p>
    <w:p w14:paraId="21F29249" w14:textId="0385CC22" w:rsidR="00B736F9" w:rsidRPr="002A75F2" w:rsidRDefault="00B736F9" w:rsidP="00EC0E6E">
      <w:pPr>
        <w:pStyle w:val="Heading2"/>
        <w:rPr>
          <w:rFonts w:cs="Arial"/>
        </w:rPr>
      </w:pPr>
      <w:bookmarkStart w:id="352" w:name="_Estimation_of_Natural_Local_Backgro"/>
      <w:bookmarkStart w:id="353" w:name="_Toc74119427"/>
      <w:bookmarkStart w:id="354" w:name="_Toc74450906"/>
      <w:bookmarkStart w:id="355" w:name="_Toc78162215"/>
      <w:bookmarkStart w:id="356" w:name="_Toc79571593"/>
      <w:bookmarkStart w:id="357" w:name="_Toc91393594"/>
      <w:bookmarkStart w:id="358" w:name="_Toc112727457"/>
      <w:bookmarkStart w:id="359" w:name="_Toc41905735"/>
      <w:bookmarkEnd w:id="352"/>
      <w:r w:rsidRPr="002A75F2">
        <w:rPr>
          <w:rFonts w:cs="Arial"/>
        </w:rPr>
        <w:t>Estimation of Natural Local Background Concentration</w:t>
      </w:r>
      <w:bookmarkEnd w:id="353"/>
      <w:bookmarkEnd w:id="354"/>
      <w:bookmarkEnd w:id="355"/>
      <w:bookmarkEnd w:id="356"/>
      <w:bookmarkEnd w:id="357"/>
      <w:bookmarkEnd w:id="358"/>
      <w:r w:rsidR="00C9125A" w:rsidRPr="002A75F2">
        <w:rPr>
          <w:rFonts w:cs="Arial"/>
        </w:rPr>
        <w:t xml:space="preserve"> Risk Assessment</w:t>
      </w:r>
      <w:bookmarkEnd w:id="359"/>
    </w:p>
    <w:p w14:paraId="71E2BB2E" w14:textId="78420B98" w:rsidR="00B154AE" w:rsidRPr="002A75F2" w:rsidRDefault="00B154AE" w:rsidP="00B33CF0">
      <w:pPr>
        <w:rPr>
          <w:rFonts w:cs="Arial"/>
        </w:rPr>
      </w:pPr>
      <w:r w:rsidRPr="002A75F2">
        <w:rPr>
          <w:rFonts w:cs="Arial"/>
        </w:rPr>
        <w:t>Local background is defined as the ambient concentration of a contaminant in the soil, groundwater or sediment of the local environment that is representative or typical of the conditions in an urban or rural setting. Local background concentrations result from either chemicals that occur naturally in the environment or chemicals that are emitted by anthropogenic activities other than from activities being carried out on, in or under the property being assessed.</w:t>
      </w:r>
    </w:p>
    <w:p w14:paraId="2233CA8D" w14:textId="77777777" w:rsidR="00B33CF0" w:rsidRPr="000C60E1" w:rsidRDefault="00B33CF0" w:rsidP="00B33CF0">
      <w:pPr>
        <w:rPr>
          <w:rFonts w:cs="Arial"/>
        </w:rPr>
      </w:pPr>
      <w:r w:rsidRPr="002A75F2">
        <w:rPr>
          <w:rFonts w:cs="Arial"/>
        </w:rPr>
        <w:t>Conditions which the Regulation</w:t>
      </w:r>
      <w:r w:rsidRPr="000C60E1">
        <w:rPr>
          <w:rFonts w:cs="Arial"/>
        </w:rPr>
        <w:t xml:space="preserve"> states must be met for the estimation of natural local background concentrations as an alternative risk assessment approach are provided in the Regulation:</w:t>
      </w:r>
    </w:p>
    <w:p w14:paraId="37EE39FF" w14:textId="77777777" w:rsidR="00B33CF0" w:rsidRPr="000C60E1" w:rsidRDefault="00B33CF0" w:rsidP="00A47B50">
      <w:pPr>
        <w:numPr>
          <w:ilvl w:val="0"/>
          <w:numId w:val="22"/>
        </w:numPr>
        <w:shd w:val="clear" w:color="auto" w:fill="D9D9D9"/>
        <w:rPr>
          <w:rFonts w:cs="Arial"/>
        </w:rPr>
      </w:pPr>
      <w:r w:rsidRPr="000C60E1">
        <w:rPr>
          <w:rFonts w:cs="Arial"/>
        </w:rPr>
        <w:t>Section 8 of Schedule C</w:t>
      </w:r>
    </w:p>
    <w:p w14:paraId="4933BD02" w14:textId="25CBBB28" w:rsidR="004A7039" w:rsidRPr="000C60E1" w:rsidRDefault="00FB474A" w:rsidP="00840964">
      <w:pPr>
        <w:rPr>
          <w:rFonts w:cs="Arial"/>
        </w:rPr>
      </w:pPr>
      <w:r w:rsidRPr="000C60E1">
        <w:rPr>
          <w:rFonts w:cs="Arial"/>
        </w:rPr>
        <w:t xml:space="preserve">If the situation allows for the use of </w:t>
      </w:r>
      <w:bookmarkStart w:id="360" w:name="_Hlk35952778"/>
      <w:r w:rsidRPr="000C60E1">
        <w:rPr>
          <w:rFonts w:cs="Arial"/>
        </w:rPr>
        <w:t xml:space="preserve">estimation of natural local background concentrations </w:t>
      </w:r>
      <w:bookmarkEnd w:id="360"/>
      <w:r w:rsidRPr="000C60E1">
        <w:rPr>
          <w:rFonts w:cs="Arial"/>
        </w:rPr>
        <w:t xml:space="preserve">as a risk assessment approach, a property owner may propose a natural local background concentration soil standard for a </w:t>
      </w:r>
      <w:smartTag w:uri="urn:schemas-microsoft-com:office:smarttags" w:element="stockticker">
        <w:r w:rsidRPr="000C60E1">
          <w:rPr>
            <w:rFonts w:cs="Arial"/>
          </w:rPr>
          <w:t>COC</w:t>
        </w:r>
      </w:smartTag>
      <w:r w:rsidRPr="000C60E1">
        <w:rPr>
          <w:rFonts w:cs="Arial"/>
        </w:rPr>
        <w:t xml:space="preserve"> by undertaking a soil sampling and analysis program in accordance with </w:t>
      </w:r>
      <w:r w:rsidR="004A7039" w:rsidRPr="000C60E1">
        <w:rPr>
          <w:rFonts w:cs="Arial"/>
        </w:rPr>
        <w:t>s</w:t>
      </w:r>
      <w:r w:rsidRPr="000C60E1">
        <w:rPr>
          <w:rFonts w:cs="Arial"/>
        </w:rPr>
        <w:t>ubsections 8</w:t>
      </w:r>
      <w:r w:rsidR="00A74602" w:rsidRPr="000C60E1">
        <w:rPr>
          <w:rFonts w:cs="Arial"/>
        </w:rPr>
        <w:t xml:space="preserve"> </w:t>
      </w:r>
      <w:r w:rsidRPr="000C60E1">
        <w:rPr>
          <w:rFonts w:cs="Arial"/>
        </w:rPr>
        <w:t>(4) to (8) of Schedule C of the Regulation.</w:t>
      </w:r>
    </w:p>
    <w:p w14:paraId="60E6D99B" w14:textId="57EE7A59" w:rsidR="00A83891" w:rsidRPr="000C60E1" w:rsidRDefault="00206979" w:rsidP="00840964">
      <w:pPr>
        <w:rPr>
          <w:rFonts w:cs="Arial"/>
        </w:rPr>
      </w:pPr>
      <w:r w:rsidRPr="000C60E1">
        <w:rPr>
          <w:rFonts w:cs="Arial"/>
        </w:rPr>
        <w:lastRenderedPageBreak/>
        <w:t>The sampling program</w:t>
      </w:r>
      <w:r w:rsidR="00732404" w:rsidRPr="000C60E1">
        <w:rPr>
          <w:rFonts w:cs="Arial"/>
        </w:rPr>
        <w:t>,</w:t>
      </w:r>
      <w:r w:rsidRPr="000C60E1">
        <w:rPr>
          <w:rFonts w:cs="Arial"/>
        </w:rPr>
        <w:t xml:space="preserve"> </w:t>
      </w:r>
      <w:r w:rsidR="00732404" w:rsidRPr="000C60E1">
        <w:rPr>
          <w:rFonts w:cs="Arial"/>
        </w:rPr>
        <w:t xml:space="preserve">as described </w:t>
      </w:r>
      <w:r w:rsidR="00D76EE8" w:rsidRPr="000C60E1">
        <w:rPr>
          <w:rFonts w:cs="Arial"/>
        </w:rPr>
        <w:t xml:space="preserve">the Regulation, </w:t>
      </w:r>
      <w:r w:rsidRPr="000C60E1">
        <w:rPr>
          <w:rFonts w:cs="Arial"/>
        </w:rPr>
        <w:t xml:space="preserve">is intended to collect information from at </w:t>
      </w:r>
      <w:r w:rsidR="00B736F9" w:rsidRPr="000C60E1">
        <w:rPr>
          <w:rFonts w:cs="Arial"/>
        </w:rPr>
        <w:t xml:space="preserve">least 10 different geographical locations that have not been affected by local point sources of air or land pollution, by local roads or highways, or by other known sources of contamination. These locations may be in rural (agricultural property use) or urban (all other property uses) settings in Ontario. Suitable sites </w:t>
      </w:r>
      <w:r w:rsidR="004A7039" w:rsidRPr="000C60E1">
        <w:rPr>
          <w:rFonts w:cs="Arial"/>
        </w:rPr>
        <w:t xml:space="preserve">may </w:t>
      </w:r>
      <w:r w:rsidR="00B736F9" w:rsidRPr="000C60E1">
        <w:rPr>
          <w:rFonts w:cs="Arial"/>
        </w:rPr>
        <w:t>include parks, cemeteries, forests, wood lots or large undeveloped tracks of land.</w:t>
      </w:r>
      <w:r w:rsidRPr="000C60E1">
        <w:rPr>
          <w:rFonts w:cs="Arial"/>
        </w:rPr>
        <w:t xml:space="preserve"> </w:t>
      </w:r>
    </w:p>
    <w:p w14:paraId="1336EE05" w14:textId="77777777" w:rsidR="00732404" w:rsidRPr="000C60E1" w:rsidRDefault="00206979" w:rsidP="00840964">
      <w:pPr>
        <w:rPr>
          <w:rFonts w:cs="Arial"/>
        </w:rPr>
      </w:pPr>
      <w:r w:rsidRPr="000C60E1">
        <w:rPr>
          <w:rFonts w:cs="Arial"/>
        </w:rPr>
        <w:t>A sampling</w:t>
      </w:r>
      <w:r w:rsidR="00A83891" w:rsidRPr="000C60E1">
        <w:rPr>
          <w:rFonts w:cs="Arial"/>
        </w:rPr>
        <w:t xml:space="preserve"> location is defined </w:t>
      </w:r>
      <w:r w:rsidR="00BB2AEC" w:rsidRPr="000C60E1">
        <w:rPr>
          <w:rFonts w:cs="Arial"/>
        </w:rPr>
        <w:t xml:space="preserve">in </w:t>
      </w:r>
      <w:r w:rsidR="00732404" w:rsidRPr="000C60E1">
        <w:rPr>
          <w:rFonts w:cs="Arial"/>
        </w:rPr>
        <w:t xml:space="preserve">the </w:t>
      </w:r>
      <w:r w:rsidR="00855A6A" w:rsidRPr="000C60E1">
        <w:rPr>
          <w:rFonts w:cs="Arial"/>
        </w:rPr>
        <w:t>R</w:t>
      </w:r>
      <w:r w:rsidR="00BB2AEC" w:rsidRPr="000C60E1">
        <w:rPr>
          <w:rFonts w:cs="Arial"/>
        </w:rPr>
        <w:t>egulation</w:t>
      </w:r>
      <w:r w:rsidR="000A0D44" w:rsidRPr="000C60E1">
        <w:rPr>
          <w:rFonts w:cs="Arial"/>
        </w:rPr>
        <w:t xml:space="preserve"> </w:t>
      </w:r>
      <w:r w:rsidR="00A74602" w:rsidRPr="000C60E1">
        <w:rPr>
          <w:rFonts w:cs="Arial"/>
        </w:rPr>
        <w:t>to</w:t>
      </w:r>
      <w:r w:rsidR="000A0D44" w:rsidRPr="000C60E1">
        <w:rPr>
          <w:rFonts w:cs="Arial"/>
        </w:rPr>
        <w:t xml:space="preserve"> </w:t>
      </w:r>
      <w:r w:rsidR="00BB2AEC" w:rsidRPr="000C60E1">
        <w:rPr>
          <w:rFonts w:cs="Arial"/>
        </w:rPr>
        <w:t xml:space="preserve">mean an area of the property that does not have a radius larger than two </w:t>
      </w:r>
      <w:proofErr w:type="spellStart"/>
      <w:r w:rsidR="00BB2AEC" w:rsidRPr="000C60E1">
        <w:rPr>
          <w:rFonts w:cs="Arial"/>
        </w:rPr>
        <w:t>metres</w:t>
      </w:r>
      <w:proofErr w:type="spellEnd"/>
      <w:r w:rsidR="00732404" w:rsidRPr="000C60E1">
        <w:rPr>
          <w:rFonts w:cs="Arial"/>
        </w:rPr>
        <w:t>:</w:t>
      </w:r>
    </w:p>
    <w:p w14:paraId="3D560012" w14:textId="77777777" w:rsidR="00732404" w:rsidRPr="000C60E1" w:rsidRDefault="001C1D66" w:rsidP="00A47B50">
      <w:pPr>
        <w:numPr>
          <w:ilvl w:val="0"/>
          <w:numId w:val="22"/>
        </w:numPr>
        <w:shd w:val="clear" w:color="auto" w:fill="D9D9D9"/>
        <w:rPr>
          <w:rFonts w:cs="Arial"/>
        </w:rPr>
      </w:pPr>
      <w:r w:rsidRPr="000C60E1">
        <w:rPr>
          <w:rFonts w:cs="Arial"/>
        </w:rPr>
        <w:t>Section</w:t>
      </w:r>
      <w:r w:rsidR="00732404" w:rsidRPr="000C60E1">
        <w:rPr>
          <w:rFonts w:cs="Arial"/>
        </w:rPr>
        <w:t xml:space="preserve"> 48 of the Regulation (Meeting standards)</w:t>
      </w:r>
    </w:p>
    <w:p w14:paraId="274D8C9B" w14:textId="4BC95043" w:rsidR="00206979" w:rsidRPr="000C60E1" w:rsidRDefault="00BB2AEC" w:rsidP="00840964">
      <w:pPr>
        <w:rPr>
          <w:rFonts w:cs="Arial"/>
        </w:rPr>
      </w:pPr>
      <w:r w:rsidRPr="000C60E1">
        <w:rPr>
          <w:rFonts w:cs="Arial"/>
        </w:rPr>
        <w:t xml:space="preserve">This is an area </w:t>
      </w:r>
      <w:r w:rsidR="00A83891" w:rsidRPr="000C60E1">
        <w:rPr>
          <w:rFonts w:cs="Arial"/>
        </w:rPr>
        <w:t xml:space="preserve">within which multiple samples may be collected and composited to create a single sample representative of that sampling location. A minimum of 30 such sampling locations must be sampled, resulting in at least 30 separate samples for individual analysis. Sampling and analysis </w:t>
      </w:r>
      <w:r w:rsidR="00206979" w:rsidRPr="000C60E1">
        <w:rPr>
          <w:rFonts w:cs="Arial"/>
        </w:rPr>
        <w:t>must be r</w:t>
      </w:r>
      <w:r w:rsidR="00A83891" w:rsidRPr="000C60E1">
        <w:rPr>
          <w:rFonts w:cs="Arial"/>
        </w:rPr>
        <w:t>eplicated in 1 out of 10 sample locations, therefore resulting in at least a further 3 samples from the same 30 sample locations</w:t>
      </w:r>
      <w:r w:rsidR="00206979" w:rsidRPr="000C60E1">
        <w:rPr>
          <w:rFonts w:cs="Arial"/>
        </w:rPr>
        <w:t>.</w:t>
      </w:r>
    </w:p>
    <w:p w14:paraId="6517D685" w14:textId="45B25EDB" w:rsidR="000A4A36" w:rsidRPr="000C60E1" w:rsidRDefault="00206979" w:rsidP="00840964">
      <w:pPr>
        <w:rPr>
          <w:rFonts w:cs="Arial"/>
        </w:rPr>
      </w:pPr>
      <w:r w:rsidRPr="000C60E1">
        <w:rPr>
          <w:rFonts w:cs="Arial"/>
        </w:rPr>
        <w:t>Sampling data is then used to develop a property specific standard through a statistical calculation of the 90</w:t>
      </w:r>
      <w:r w:rsidRPr="000C60E1">
        <w:rPr>
          <w:rFonts w:cs="Arial"/>
          <w:vertAlign w:val="superscript"/>
        </w:rPr>
        <w:t>th</w:t>
      </w:r>
      <w:r w:rsidRPr="000C60E1">
        <w:rPr>
          <w:rFonts w:cs="Arial"/>
        </w:rPr>
        <w:t xml:space="preserve"> percentile</w:t>
      </w:r>
      <w:r w:rsidR="00A83891" w:rsidRPr="000C60E1">
        <w:rPr>
          <w:rFonts w:cs="Arial"/>
        </w:rPr>
        <w:t xml:space="preserve"> of the analytical results</w:t>
      </w:r>
      <w:r w:rsidRPr="000C60E1">
        <w:rPr>
          <w:rFonts w:cs="Arial"/>
        </w:rPr>
        <w:t>.</w:t>
      </w:r>
      <w:r w:rsidR="0096402C">
        <w:rPr>
          <w:rFonts w:cs="Arial"/>
        </w:rPr>
        <w:t xml:space="preserve"> </w:t>
      </w:r>
      <w:r w:rsidR="000A4A36" w:rsidRPr="000C60E1">
        <w:rPr>
          <w:rFonts w:cs="Arial"/>
        </w:rPr>
        <w:t>If the analytical results show large variability that cannot be attributed to a contaminant source, increased replicate sampling (</w:t>
      </w:r>
      <w:r w:rsidR="00732404" w:rsidRPr="000C60E1">
        <w:rPr>
          <w:rFonts w:cs="Arial"/>
        </w:rPr>
        <w:t>i.e.</w:t>
      </w:r>
      <w:r w:rsidR="000A4A36" w:rsidRPr="000C60E1">
        <w:rPr>
          <w:rFonts w:cs="Arial"/>
        </w:rPr>
        <w:t xml:space="preserve"> more than two replicate samples</w:t>
      </w:r>
      <w:r w:rsidR="00A83891" w:rsidRPr="000C60E1">
        <w:rPr>
          <w:rFonts w:cs="Arial"/>
        </w:rPr>
        <w:t xml:space="preserve"> from 1 out of 10 sample locations</w:t>
      </w:r>
      <w:r w:rsidR="000A4A36" w:rsidRPr="000C60E1">
        <w:rPr>
          <w:rFonts w:cs="Arial"/>
        </w:rPr>
        <w:t>), and averaging the analytical results from the replicate sampling may be used to establish the 90</w:t>
      </w:r>
      <w:r w:rsidR="000A4A36" w:rsidRPr="000C60E1">
        <w:rPr>
          <w:rFonts w:cs="Arial"/>
          <w:vertAlign w:val="superscript"/>
        </w:rPr>
        <w:t>th</w:t>
      </w:r>
      <w:r w:rsidR="000A4A36" w:rsidRPr="000C60E1">
        <w:rPr>
          <w:rFonts w:cs="Arial"/>
        </w:rPr>
        <w:t xml:space="preserve"> percentile.</w:t>
      </w:r>
    </w:p>
    <w:p w14:paraId="5E8D9FB4" w14:textId="49D3D103" w:rsidR="005A2432" w:rsidRPr="000C60E1" w:rsidRDefault="00A83891" w:rsidP="005A2432">
      <w:pPr>
        <w:rPr>
          <w:rFonts w:cs="Arial"/>
        </w:rPr>
      </w:pPr>
      <w:r w:rsidRPr="000C60E1">
        <w:rPr>
          <w:rFonts w:cs="Arial"/>
        </w:rPr>
        <w:t xml:space="preserve">Provision is made in the </w:t>
      </w:r>
      <w:r w:rsidR="00D76EE8" w:rsidRPr="000C60E1">
        <w:rPr>
          <w:rFonts w:cs="Arial"/>
        </w:rPr>
        <w:t>R</w:t>
      </w:r>
      <w:r w:rsidRPr="000C60E1">
        <w:rPr>
          <w:rFonts w:cs="Arial"/>
        </w:rPr>
        <w:t xml:space="preserve">egulation </w:t>
      </w:r>
      <w:r w:rsidR="00C9125A" w:rsidRPr="000C60E1">
        <w:rPr>
          <w:rFonts w:cs="Arial"/>
        </w:rPr>
        <w:t>(s</w:t>
      </w:r>
      <w:r w:rsidR="00732404" w:rsidRPr="000C60E1">
        <w:rPr>
          <w:rFonts w:cs="Arial"/>
        </w:rPr>
        <w:t xml:space="preserve">ubsection </w:t>
      </w:r>
      <w:r w:rsidR="00C9125A" w:rsidRPr="000C60E1">
        <w:rPr>
          <w:rFonts w:cs="Arial"/>
        </w:rPr>
        <w:t>8 (5)</w:t>
      </w:r>
      <w:r w:rsidR="00732404" w:rsidRPr="000C60E1">
        <w:rPr>
          <w:rFonts w:cs="Arial"/>
        </w:rPr>
        <w:t xml:space="preserve"> of</w:t>
      </w:r>
      <w:r w:rsidR="00141E15" w:rsidRPr="000C60E1">
        <w:rPr>
          <w:rFonts w:cs="Arial"/>
        </w:rPr>
        <w:t xml:space="preserve"> </w:t>
      </w:r>
      <w:r w:rsidR="00732404" w:rsidRPr="000C60E1">
        <w:rPr>
          <w:rFonts w:cs="Arial"/>
        </w:rPr>
        <w:t xml:space="preserve">Schedule C) </w:t>
      </w:r>
      <w:r w:rsidRPr="000C60E1">
        <w:rPr>
          <w:rFonts w:cs="Arial"/>
        </w:rPr>
        <w:t>for</w:t>
      </w:r>
      <w:r w:rsidR="00B736F9" w:rsidRPr="000C60E1">
        <w:rPr>
          <w:rFonts w:cs="Arial"/>
        </w:rPr>
        <w:t xml:space="preserve"> areas of known, widespread soil contamination, where it is not possible to avoid the influence of historical, industrial emissions to soil surfaces</w:t>
      </w:r>
      <w:r w:rsidR="00EA59DE" w:rsidRPr="000C60E1">
        <w:rPr>
          <w:rFonts w:cs="Arial"/>
        </w:rPr>
        <w:t>. T</w:t>
      </w:r>
      <w:r w:rsidR="00B736F9" w:rsidRPr="000C60E1">
        <w:rPr>
          <w:rFonts w:cs="Arial"/>
        </w:rPr>
        <w:t xml:space="preserve">he sampling program may still be undertaken if it is designed to determine the change in </w:t>
      </w:r>
      <w:smartTag w:uri="urn:schemas-microsoft-com:office:smarttags" w:element="stockticker">
        <w:r w:rsidR="00B736F9" w:rsidRPr="000C60E1">
          <w:rPr>
            <w:rFonts w:cs="Arial"/>
          </w:rPr>
          <w:t>COC</w:t>
        </w:r>
      </w:smartTag>
      <w:r w:rsidR="00B736F9" w:rsidRPr="000C60E1">
        <w:rPr>
          <w:rFonts w:cs="Arial"/>
        </w:rPr>
        <w:t xml:space="preserve"> concentration as it varies with increased depth from the surface. The use of this approach must be justified</w:t>
      </w:r>
      <w:r w:rsidR="00A67C4C" w:rsidRPr="000C60E1">
        <w:rPr>
          <w:rFonts w:cs="Arial"/>
        </w:rPr>
        <w:t>, for example</w:t>
      </w:r>
      <w:r w:rsidR="00EA59DE" w:rsidRPr="000C60E1">
        <w:rPr>
          <w:rFonts w:cs="Arial"/>
        </w:rPr>
        <w:t xml:space="preserve"> on the basis of regional history and geology</w:t>
      </w:r>
      <w:r w:rsidR="00B736F9" w:rsidRPr="000C60E1">
        <w:rPr>
          <w:rFonts w:cs="Arial"/>
        </w:rPr>
        <w:t xml:space="preserve">. A sampling program that establishes the variation in </w:t>
      </w:r>
      <w:smartTag w:uri="urn:schemas-microsoft-com:office:smarttags" w:element="stockticker">
        <w:r w:rsidR="00B736F9" w:rsidRPr="000C60E1">
          <w:rPr>
            <w:rFonts w:cs="Arial"/>
          </w:rPr>
          <w:t>COC</w:t>
        </w:r>
      </w:smartTag>
      <w:r w:rsidR="00B736F9" w:rsidRPr="000C60E1">
        <w:rPr>
          <w:rFonts w:cs="Arial"/>
        </w:rPr>
        <w:t xml:space="preserve"> contamination from the surface soil to the subsurface soil </w:t>
      </w:r>
      <w:r w:rsidR="00EA59DE" w:rsidRPr="000C60E1">
        <w:rPr>
          <w:rFonts w:cs="Arial"/>
        </w:rPr>
        <w:t>may</w:t>
      </w:r>
      <w:r w:rsidR="00B736F9" w:rsidRPr="000C60E1">
        <w:rPr>
          <w:rFonts w:cs="Arial"/>
        </w:rPr>
        <w:t xml:space="preserve"> better reflect the soil conditions of the area. This may be used to establish remediation targets that are consistent with the change in </w:t>
      </w:r>
      <w:smartTag w:uri="urn:schemas-microsoft-com:office:smarttags" w:element="stockticker">
        <w:r w:rsidR="00B736F9" w:rsidRPr="000C60E1">
          <w:rPr>
            <w:rFonts w:cs="Arial"/>
          </w:rPr>
          <w:t>COC</w:t>
        </w:r>
      </w:smartTag>
      <w:r w:rsidR="00B736F9" w:rsidRPr="000C60E1">
        <w:rPr>
          <w:rFonts w:cs="Arial"/>
        </w:rPr>
        <w:t xml:space="preserve"> concentrations with depth.</w:t>
      </w:r>
    </w:p>
    <w:p w14:paraId="7A34B21A" w14:textId="75450D44" w:rsidR="00887821" w:rsidRPr="000C60E1" w:rsidRDefault="005A2432" w:rsidP="00732404">
      <w:pPr>
        <w:rPr>
          <w:rFonts w:cs="Arial"/>
        </w:rPr>
      </w:pPr>
      <w:r w:rsidRPr="000C60E1">
        <w:rPr>
          <w:rFonts w:cs="Arial"/>
        </w:rPr>
        <w:t xml:space="preserve">The </w:t>
      </w:r>
      <w:r w:rsidR="00D76EE8" w:rsidRPr="000C60E1">
        <w:rPr>
          <w:rFonts w:cs="Arial"/>
        </w:rPr>
        <w:t>R</w:t>
      </w:r>
      <w:r w:rsidRPr="000C60E1">
        <w:rPr>
          <w:rFonts w:cs="Arial"/>
        </w:rPr>
        <w:t>egulation also provides an alternative procedure for use if sufficient natural local background concentration data have already been collected as part of another program.</w:t>
      </w:r>
      <w:r w:rsidR="0096402C">
        <w:rPr>
          <w:rFonts w:cs="Arial"/>
        </w:rPr>
        <w:t xml:space="preserve"> </w:t>
      </w:r>
      <w:r w:rsidRPr="000C60E1">
        <w:rPr>
          <w:rFonts w:cs="Arial"/>
        </w:rPr>
        <w:t>This provision i</w:t>
      </w:r>
      <w:r w:rsidR="00C9125A" w:rsidRPr="000C60E1">
        <w:rPr>
          <w:rFonts w:cs="Arial"/>
        </w:rPr>
        <w:t>s included i</w:t>
      </w:r>
      <w:r w:rsidRPr="000C60E1">
        <w:rPr>
          <w:rFonts w:cs="Arial"/>
        </w:rPr>
        <w:t>n</w:t>
      </w:r>
      <w:r w:rsidR="00732404" w:rsidRPr="000C60E1">
        <w:rPr>
          <w:rFonts w:cs="Arial"/>
        </w:rPr>
        <w:t xml:space="preserve"> subsection 8 (9) of </w:t>
      </w:r>
      <w:r w:rsidRPr="000C60E1">
        <w:rPr>
          <w:rFonts w:cs="Arial"/>
        </w:rPr>
        <w:t>Schedule C</w:t>
      </w:r>
      <w:r w:rsidR="00732404" w:rsidRPr="000C60E1">
        <w:rPr>
          <w:rFonts w:cs="Arial"/>
        </w:rPr>
        <w:t>.</w:t>
      </w:r>
    </w:p>
    <w:p w14:paraId="52A176FF" w14:textId="751AD226" w:rsidR="00846F89" w:rsidRPr="002A75F2" w:rsidRDefault="00B736F9" w:rsidP="00840964">
      <w:pPr>
        <w:rPr>
          <w:rFonts w:cs="Arial"/>
        </w:rPr>
      </w:pPr>
      <w:r w:rsidRPr="000C60E1">
        <w:rPr>
          <w:rFonts w:cs="Arial"/>
        </w:rPr>
        <w:t xml:space="preserve">Existing geological summary data may be </w:t>
      </w:r>
      <w:r w:rsidR="00A67C4C" w:rsidRPr="000C60E1">
        <w:rPr>
          <w:rFonts w:cs="Arial"/>
        </w:rPr>
        <w:t xml:space="preserve">provided to </w:t>
      </w:r>
      <w:r w:rsidR="00683E92" w:rsidRPr="000C60E1">
        <w:rPr>
          <w:rFonts w:cs="Arial"/>
        </w:rPr>
        <w:t xml:space="preserve">the </w:t>
      </w:r>
      <w:r w:rsidR="00575DA4" w:rsidRPr="000C60E1">
        <w:rPr>
          <w:rFonts w:cs="Arial"/>
        </w:rPr>
        <w:t>M</w:t>
      </w:r>
      <w:r w:rsidR="00683E92" w:rsidRPr="000C60E1">
        <w:rPr>
          <w:rFonts w:cs="Arial"/>
        </w:rPr>
        <w:t>inistry</w:t>
      </w:r>
      <w:r w:rsidR="00A67C4C" w:rsidRPr="000C60E1">
        <w:rPr>
          <w:rFonts w:cs="Arial"/>
        </w:rPr>
        <w:t xml:space="preserve"> with the PSF for consideration by the </w:t>
      </w:r>
      <w:r w:rsidR="00A67C4C" w:rsidRPr="002A75F2">
        <w:rPr>
          <w:rFonts w:cs="Arial"/>
        </w:rPr>
        <w:t xml:space="preserve">Director for </w:t>
      </w:r>
      <w:r w:rsidRPr="002A75F2">
        <w:rPr>
          <w:rFonts w:cs="Arial"/>
        </w:rPr>
        <w:t xml:space="preserve">use in justifying property specific standards based on local background concentrations. The </w:t>
      </w:r>
      <w:r w:rsidR="00575DA4" w:rsidRPr="002A75F2">
        <w:rPr>
          <w:rFonts w:cs="Arial"/>
        </w:rPr>
        <w:t>M</w:t>
      </w:r>
      <w:r w:rsidR="002A6EE0" w:rsidRPr="002A75F2">
        <w:rPr>
          <w:rFonts w:cs="Arial"/>
        </w:rPr>
        <w:t>inistry</w:t>
      </w:r>
      <w:r w:rsidRPr="002A75F2">
        <w:rPr>
          <w:rFonts w:cs="Arial"/>
        </w:rPr>
        <w:t xml:space="preserve"> publication entitled </w:t>
      </w:r>
      <w:r w:rsidR="008E72B7" w:rsidRPr="002A75F2">
        <w:rPr>
          <w:rFonts w:cs="Arial"/>
        </w:rPr>
        <w:t>“</w:t>
      </w:r>
      <w:r w:rsidRPr="002A75F2">
        <w:rPr>
          <w:rFonts w:cs="Arial"/>
        </w:rPr>
        <w:t>Ontario Typical Range of Chemical Parameters in Soil, Vegetation, Moss Bags and Snow</w:t>
      </w:r>
      <w:r w:rsidR="008E72B7" w:rsidRPr="002A75F2">
        <w:rPr>
          <w:rFonts w:cs="Arial"/>
        </w:rPr>
        <w:t>”</w:t>
      </w:r>
      <w:r w:rsidRPr="002A75F2">
        <w:rPr>
          <w:rFonts w:cs="Arial"/>
          <w:i/>
        </w:rPr>
        <w:t xml:space="preserve"> </w:t>
      </w:r>
      <w:r w:rsidRPr="002A75F2">
        <w:rPr>
          <w:rFonts w:cs="Arial"/>
        </w:rPr>
        <w:t>(MOE 1993) provides additional guidance on sampling and analysis procedures which property owners may use when developing property specific standards based on local soil background concentrations.</w:t>
      </w:r>
      <w:bookmarkStart w:id="361" w:name="_Toc74119428"/>
      <w:bookmarkStart w:id="362" w:name="_Toc74450907"/>
    </w:p>
    <w:p w14:paraId="175EEFAD" w14:textId="20FD041A" w:rsidR="0079117D" w:rsidRPr="002A75F2" w:rsidRDefault="0079117D" w:rsidP="0079117D">
      <w:pPr>
        <w:rPr>
          <w:rFonts w:cs="Arial"/>
        </w:rPr>
      </w:pPr>
      <w:r w:rsidRPr="002A75F2">
        <w:rPr>
          <w:rFonts w:cs="Arial"/>
        </w:rPr>
        <w:t>At the PSF stage, note that the requirem</w:t>
      </w:r>
      <w:r w:rsidR="00190A92" w:rsidRPr="002A75F2">
        <w:rPr>
          <w:rFonts w:cs="Arial"/>
        </w:rPr>
        <w:t xml:space="preserve">ents </w:t>
      </w:r>
      <w:r w:rsidRPr="002A75F2">
        <w:rPr>
          <w:rFonts w:cs="Arial"/>
        </w:rPr>
        <w:t>relating to human and ecological receptors and exposure pathways do not apply</w:t>
      </w:r>
      <w:r w:rsidR="007A5DFB" w:rsidRPr="002A75F2">
        <w:rPr>
          <w:rFonts w:cs="Arial"/>
        </w:rPr>
        <w:t xml:space="preserve"> for this type of risk assessment</w:t>
      </w:r>
      <w:r w:rsidRPr="002A75F2">
        <w:rPr>
          <w:rFonts w:cs="Arial"/>
        </w:rPr>
        <w:t xml:space="preserve">. Provisions relating to a PSF where the </w:t>
      </w:r>
      <w:r w:rsidR="00190A92" w:rsidRPr="002A75F2">
        <w:rPr>
          <w:rFonts w:cs="Arial"/>
        </w:rPr>
        <w:t>risk assessment</w:t>
      </w:r>
      <w:r w:rsidRPr="002A75F2">
        <w:rPr>
          <w:rFonts w:cs="Arial"/>
        </w:rPr>
        <w:t xml:space="preserve"> approach is identified as an estimation of natural local background concentration are included in the Regulation in:</w:t>
      </w:r>
    </w:p>
    <w:p w14:paraId="301D8DED" w14:textId="77777777" w:rsidR="0079117D" w:rsidRPr="002A75F2" w:rsidRDefault="0079117D" w:rsidP="00A47B50">
      <w:pPr>
        <w:numPr>
          <w:ilvl w:val="0"/>
          <w:numId w:val="22"/>
        </w:numPr>
        <w:shd w:val="clear" w:color="auto" w:fill="D9D9D9"/>
        <w:rPr>
          <w:rFonts w:cs="Arial"/>
        </w:rPr>
      </w:pPr>
      <w:r w:rsidRPr="002A75F2">
        <w:rPr>
          <w:rFonts w:cs="Arial"/>
        </w:rPr>
        <w:lastRenderedPageBreak/>
        <w:t>Subsection 3 (10) of Schedule C</w:t>
      </w:r>
    </w:p>
    <w:p w14:paraId="78DA7AE9" w14:textId="77777777" w:rsidR="00B86828" w:rsidRPr="002A75F2" w:rsidRDefault="0079117D" w:rsidP="0079117D">
      <w:pPr>
        <w:rPr>
          <w:rFonts w:cs="Arial"/>
        </w:rPr>
      </w:pPr>
      <w:r w:rsidRPr="002A75F2">
        <w:rPr>
          <w:rFonts w:cs="Arial"/>
        </w:rPr>
        <w:t>In these cases, the site plan and cross sections of the property are intended to convey the rationale for attributing elevated concentrations to natural geological features and to support and describe any planned sampling program.</w:t>
      </w:r>
      <w:r w:rsidR="00B86828" w:rsidRPr="002A75F2">
        <w:rPr>
          <w:rFonts w:cs="Arial"/>
        </w:rPr>
        <w:t xml:space="preserve"> </w:t>
      </w:r>
    </w:p>
    <w:p w14:paraId="70AA3739" w14:textId="01C00CC3" w:rsidR="0079117D" w:rsidRPr="002A75F2" w:rsidRDefault="00B86828" w:rsidP="0079117D">
      <w:pPr>
        <w:rPr>
          <w:rFonts w:cs="Arial"/>
        </w:rPr>
      </w:pPr>
      <w:r w:rsidRPr="002A75F2">
        <w:rPr>
          <w:rFonts w:cs="Arial"/>
        </w:rPr>
        <w:t xml:space="preserve">Note that phase one and two ESAs (conducted in accordance with the Regulation) are still required for </w:t>
      </w:r>
      <w:r w:rsidR="00A52646" w:rsidRPr="002A75F2">
        <w:rPr>
          <w:rFonts w:cs="Arial"/>
        </w:rPr>
        <w:t xml:space="preserve">the property for </w:t>
      </w:r>
      <w:r w:rsidR="00052412" w:rsidRPr="002A75F2">
        <w:rPr>
          <w:rFonts w:cs="Arial"/>
        </w:rPr>
        <w:t>this type of RA</w:t>
      </w:r>
      <w:r w:rsidR="00A52646" w:rsidRPr="002A75F2">
        <w:rPr>
          <w:rFonts w:cs="Arial"/>
        </w:rPr>
        <w:t xml:space="preserve">; </w:t>
      </w:r>
      <w:r w:rsidRPr="002A75F2">
        <w:rPr>
          <w:rFonts w:cs="Arial"/>
        </w:rPr>
        <w:t xml:space="preserve">any COCs identified in the phase two ESA that are not addressed in the estimation of natural local background concentrations </w:t>
      </w:r>
      <w:r w:rsidR="00744536" w:rsidRPr="002A75F2">
        <w:rPr>
          <w:rFonts w:cs="Arial"/>
        </w:rPr>
        <w:t>risk assessment</w:t>
      </w:r>
      <w:r w:rsidRPr="002A75F2">
        <w:rPr>
          <w:rFonts w:cs="Arial"/>
        </w:rPr>
        <w:t xml:space="preserve"> will need to be addressed via the </w:t>
      </w:r>
      <w:r w:rsidR="00AA1FDC" w:rsidRPr="002A75F2">
        <w:rPr>
          <w:rFonts w:cs="Arial"/>
        </w:rPr>
        <w:t xml:space="preserve">applicable </w:t>
      </w:r>
      <w:r w:rsidRPr="002A75F2">
        <w:rPr>
          <w:rFonts w:cs="Arial"/>
        </w:rPr>
        <w:t>risk assessment approaches described in this Procedures document.</w:t>
      </w:r>
    </w:p>
    <w:p w14:paraId="4D158C34" w14:textId="0E8BD354" w:rsidR="00732404" w:rsidRPr="000C60E1" w:rsidRDefault="00732404" w:rsidP="00840964">
      <w:pPr>
        <w:rPr>
          <w:rFonts w:cs="Arial"/>
        </w:rPr>
      </w:pPr>
      <w:r w:rsidRPr="002A75F2">
        <w:rPr>
          <w:rFonts w:cs="Arial"/>
        </w:rPr>
        <w:t xml:space="preserve">The Ministry review timeline for </w:t>
      </w:r>
      <w:r w:rsidR="001E50BF" w:rsidRPr="002A75F2">
        <w:rPr>
          <w:rFonts w:cs="Arial"/>
        </w:rPr>
        <w:t>estimation</w:t>
      </w:r>
      <w:r w:rsidRPr="002A75F2">
        <w:rPr>
          <w:rFonts w:cs="Arial"/>
        </w:rPr>
        <w:t xml:space="preserve"> of natural</w:t>
      </w:r>
      <w:r w:rsidRPr="000C60E1">
        <w:rPr>
          <w:rFonts w:cs="Arial"/>
        </w:rPr>
        <w:t xml:space="preserve"> local background concentration </w:t>
      </w:r>
      <w:r w:rsidR="0034145E">
        <w:rPr>
          <w:rFonts w:cs="Arial"/>
        </w:rPr>
        <w:t>risk assessment</w:t>
      </w:r>
      <w:r w:rsidRPr="000C60E1">
        <w:rPr>
          <w:rFonts w:cs="Arial"/>
        </w:rPr>
        <w:t>s is 8 weeks.</w:t>
      </w:r>
    </w:p>
    <w:p w14:paraId="4EB08287" w14:textId="40152D41" w:rsidR="00B736F9" w:rsidRPr="000C60E1" w:rsidRDefault="00B736F9" w:rsidP="00FC6D21">
      <w:pPr>
        <w:pStyle w:val="Heading2"/>
        <w:rPr>
          <w:rFonts w:cs="Arial"/>
        </w:rPr>
      </w:pPr>
      <w:bookmarkStart w:id="363" w:name="_Toc91393595"/>
      <w:bookmarkStart w:id="364" w:name="_Toc112727458"/>
      <w:bookmarkStart w:id="365" w:name="_Toc41905736"/>
      <w:bookmarkEnd w:id="361"/>
      <w:bookmarkEnd w:id="362"/>
      <w:r w:rsidRPr="000C60E1">
        <w:rPr>
          <w:rFonts w:cs="Arial"/>
        </w:rPr>
        <w:t>New Science Risk Assessment</w:t>
      </w:r>
      <w:bookmarkEnd w:id="363"/>
      <w:bookmarkEnd w:id="364"/>
      <w:bookmarkEnd w:id="365"/>
    </w:p>
    <w:p w14:paraId="648C5480" w14:textId="71E0134D" w:rsidR="007962DE" w:rsidRPr="002A75F2" w:rsidRDefault="00B736F9" w:rsidP="00840964">
      <w:pPr>
        <w:rPr>
          <w:rFonts w:cs="Arial"/>
        </w:rPr>
      </w:pPr>
      <w:r w:rsidRPr="000C60E1">
        <w:rPr>
          <w:rFonts w:cs="Arial"/>
          <w:highlight w:val="white"/>
        </w:rPr>
        <w:t xml:space="preserve">Situations may arise in which a </w:t>
      </w:r>
      <w:r w:rsidR="000767FF" w:rsidRPr="000C60E1">
        <w:rPr>
          <w:rFonts w:cs="Arial"/>
          <w:highlight w:val="white"/>
        </w:rPr>
        <w:t>QP</w:t>
      </w:r>
      <w:r w:rsidR="000767FF" w:rsidRPr="000C60E1">
        <w:rPr>
          <w:rFonts w:cs="Arial"/>
          <w:highlight w:val="white"/>
          <w:vertAlign w:val="subscript"/>
        </w:rPr>
        <w:t>RA</w:t>
      </w:r>
      <w:r w:rsidRPr="000C60E1">
        <w:rPr>
          <w:rFonts w:cs="Arial"/>
          <w:highlight w:val="white"/>
        </w:rPr>
        <w:t xml:space="preserve"> decides to use risk assessment </w:t>
      </w:r>
      <w:r w:rsidR="00CC6A12" w:rsidRPr="000C60E1">
        <w:rPr>
          <w:rFonts w:cs="Arial"/>
          <w:highlight w:val="white"/>
        </w:rPr>
        <w:t xml:space="preserve">parameters, methods or models </w:t>
      </w:r>
      <w:r w:rsidRPr="000C60E1">
        <w:rPr>
          <w:rFonts w:cs="Arial"/>
          <w:highlight w:val="white"/>
        </w:rPr>
        <w:t xml:space="preserve">that </w:t>
      </w:r>
      <w:r w:rsidR="0044550D" w:rsidRPr="000C60E1">
        <w:rPr>
          <w:rFonts w:cs="Arial"/>
          <w:highlight w:val="white"/>
        </w:rPr>
        <w:t>have not previously been reviewed by</w:t>
      </w:r>
      <w:r w:rsidRPr="000C60E1">
        <w:rPr>
          <w:rFonts w:cs="Arial"/>
          <w:highlight w:val="white"/>
        </w:rPr>
        <w:t xml:space="preserve"> the </w:t>
      </w:r>
      <w:r w:rsidR="00575DA4" w:rsidRPr="000C60E1">
        <w:rPr>
          <w:rFonts w:cs="Arial"/>
          <w:highlight w:val="white"/>
        </w:rPr>
        <w:t>M</w:t>
      </w:r>
      <w:r w:rsidR="002A6EE0" w:rsidRPr="000C60E1">
        <w:rPr>
          <w:rFonts w:cs="Arial"/>
          <w:highlight w:val="white"/>
        </w:rPr>
        <w:t>inistry</w:t>
      </w:r>
      <w:r w:rsidR="0044550D" w:rsidRPr="000C60E1">
        <w:rPr>
          <w:rFonts w:cs="Arial"/>
          <w:highlight w:val="white"/>
        </w:rPr>
        <w:t xml:space="preserve"> or do not fit within the current policy framework</w:t>
      </w:r>
      <w:r w:rsidRPr="000C60E1">
        <w:rPr>
          <w:rFonts w:cs="Arial"/>
          <w:highlight w:val="white"/>
        </w:rPr>
        <w:t xml:space="preserve">. </w:t>
      </w:r>
      <w:r w:rsidR="00E02F4E" w:rsidRPr="000C60E1">
        <w:rPr>
          <w:rFonts w:cs="Arial"/>
          <w:highlight w:val="white"/>
        </w:rPr>
        <w:t xml:space="preserve">These </w:t>
      </w:r>
      <w:r w:rsidR="0034145E" w:rsidRPr="002A75F2">
        <w:rPr>
          <w:rFonts w:cs="Arial"/>
        </w:rPr>
        <w:t>risk assessments</w:t>
      </w:r>
      <w:r w:rsidR="00E02F4E" w:rsidRPr="002A75F2">
        <w:rPr>
          <w:rFonts w:cs="Arial"/>
        </w:rPr>
        <w:t xml:space="preserve"> may be </w:t>
      </w:r>
      <w:r w:rsidR="001E50BF" w:rsidRPr="002A75F2">
        <w:rPr>
          <w:rFonts w:cs="Arial"/>
        </w:rPr>
        <w:t>considered</w:t>
      </w:r>
      <w:r w:rsidR="00E02F4E" w:rsidRPr="002A75F2">
        <w:rPr>
          <w:rFonts w:cs="Arial"/>
        </w:rPr>
        <w:t xml:space="preserve"> </w:t>
      </w:r>
      <w:r w:rsidR="00E77F3F" w:rsidRPr="002A75F2">
        <w:rPr>
          <w:rFonts w:cs="Arial"/>
        </w:rPr>
        <w:t xml:space="preserve">as new science </w:t>
      </w:r>
      <w:r w:rsidR="0034145E" w:rsidRPr="002A75F2">
        <w:rPr>
          <w:rFonts w:cs="Arial"/>
        </w:rPr>
        <w:t>risk assessments</w:t>
      </w:r>
      <w:r w:rsidR="007962DE" w:rsidRPr="002A75F2">
        <w:rPr>
          <w:rFonts w:cs="Arial"/>
        </w:rPr>
        <w:t xml:space="preserve"> </w:t>
      </w:r>
      <w:r w:rsidR="00E77F3F" w:rsidRPr="002A75F2">
        <w:rPr>
          <w:rFonts w:cs="Arial"/>
        </w:rPr>
        <w:t>under the Regulation and</w:t>
      </w:r>
      <w:r w:rsidR="007962DE" w:rsidRPr="002A75F2">
        <w:rPr>
          <w:rFonts w:cs="Arial"/>
        </w:rPr>
        <w:t xml:space="preserve"> require additional time for review</w:t>
      </w:r>
      <w:r w:rsidR="00A958A1" w:rsidRPr="002A75F2">
        <w:rPr>
          <w:rFonts w:cs="Arial"/>
        </w:rPr>
        <w:t xml:space="preserve">. </w:t>
      </w:r>
      <w:r w:rsidR="00575DA4" w:rsidRPr="002A75F2">
        <w:rPr>
          <w:rFonts w:cs="Arial"/>
        </w:rPr>
        <w:t>The M</w:t>
      </w:r>
      <w:r w:rsidR="00754EDE" w:rsidRPr="002A75F2">
        <w:rPr>
          <w:rFonts w:cs="Arial"/>
        </w:rPr>
        <w:t xml:space="preserve">inistry review timeline for new science </w:t>
      </w:r>
      <w:r w:rsidR="0034145E" w:rsidRPr="002A75F2">
        <w:rPr>
          <w:rFonts w:cs="Arial"/>
        </w:rPr>
        <w:t>risk assessments</w:t>
      </w:r>
      <w:r w:rsidR="00754EDE" w:rsidRPr="002A75F2">
        <w:rPr>
          <w:rFonts w:cs="Arial"/>
        </w:rPr>
        <w:t xml:space="preserve"> is 22 weeks</w:t>
      </w:r>
      <w:r w:rsidR="00732404" w:rsidRPr="002A75F2">
        <w:rPr>
          <w:rFonts w:cs="Arial"/>
        </w:rPr>
        <w:t xml:space="preserve">. </w:t>
      </w:r>
      <w:r w:rsidR="007962DE" w:rsidRPr="002A75F2">
        <w:rPr>
          <w:rFonts w:cs="Arial"/>
        </w:rPr>
        <w:t xml:space="preserve">The </w:t>
      </w:r>
      <w:r w:rsidR="00575DA4" w:rsidRPr="002A75F2">
        <w:rPr>
          <w:rFonts w:cs="Arial"/>
        </w:rPr>
        <w:t>M</w:t>
      </w:r>
      <w:r w:rsidR="002A6EE0" w:rsidRPr="002A75F2">
        <w:rPr>
          <w:rFonts w:cs="Arial"/>
        </w:rPr>
        <w:t>inistry</w:t>
      </w:r>
      <w:r w:rsidR="007962DE" w:rsidRPr="002A75F2">
        <w:rPr>
          <w:rFonts w:cs="Arial"/>
        </w:rPr>
        <w:t xml:space="preserve"> will </w:t>
      </w:r>
      <w:r w:rsidR="0053402C" w:rsidRPr="002A75F2">
        <w:rPr>
          <w:rFonts w:cs="Arial"/>
        </w:rPr>
        <w:t>identify</w:t>
      </w:r>
      <w:r w:rsidR="007962DE" w:rsidRPr="002A75F2">
        <w:rPr>
          <w:rFonts w:cs="Arial"/>
        </w:rPr>
        <w:t>, through comment on the PSF, if the</w:t>
      </w:r>
      <w:r w:rsidR="0053402C" w:rsidRPr="002A75F2">
        <w:rPr>
          <w:rFonts w:cs="Arial"/>
        </w:rPr>
        <w:t xml:space="preserve"> risk assessment </w:t>
      </w:r>
      <w:r w:rsidR="000B6E57" w:rsidRPr="002A75F2">
        <w:rPr>
          <w:rFonts w:cs="Arial"/>
        </w:rPr>
        <w:t xml:space="preserve">will be considered </w:t>
      </w:r>
      <w:r w:rsidR="0053402C" w:rsidRPr="002A75F2">
        <w:rPr>
          <w:rFonts w:cs="Arial"/>
        </w:rPr>
        <w:t xml:space="preserve">a new science </w:t>
      </w:r>
      <w:r w:rsidR="00D4507B" w:rsidRPr="002A75F2">
        <w:rPr>
          <w:rFonts w:cs="Arial"/>
        </w:rPr>
        <w:t>risk assessment</w:t>
      </w:r>
      <w:r w:rsidR="007962DE" w:rsidRPr="002A75F2">
        <w:rPr>
          <w:rFonts w:cs="Arial"/>
        </w:rPr>
        <w:t>.</w:t>
      </w:r>
    </w:p>
    <w:p w14:paraId="76929C12" w14:textId="741A7532" w:rsidR="00732404" w:rsidRPr="002A75F2" w:rsidRDefault="00A958A1" w:rsidP="00840964">
      <w:pPr>
        <w:rPr>
          <w:rFonts w:cs="Arial"/>
        </w:rPr>
      </w:pPr>
      <w:r w:rsidRPr="002A75F2">
        <w:rPr>
          <w:rFonts w:cs="Arial"/>
        </w:rPr>
        <w:t>A r</w:t>
      </w:r>
      <w:r w:rsidR="00B736F9" w:rsidRPr="002A75F2">
        <w:rPr>
          <w:rFonts w:cs="Arial"/>
        </w:rPr>
        <w:t xml:space="preserve">isk assessment is considered </w:t>
      </w:r>
      <w:r w:rsidR="00E77F3F" w:rsidRPr="002A75F2">
        <w:rPr>
          <w:rFonts w:cs="Arial"/>
        </w:rPr>
        <w:t>a</w:t>
      </w:r>
      <w:r w:rsidR="00732404" w:rsidRPr="002A75F2">
        <w:rPr>
          <w:rFonts w:cs="Arial"/>
        </w:rPr>
        <w:t xml:space="preserve"> </w:t>
      </w:r>
      <w:r w:rsidR="00B736F9" w:rsidRPr="002A75F2">
        <w:rPr>
          <w:rFonts w:cs="Arial"/>
        </w:rPr>
        <w:t xml:space="preserve">new science </w:t>
      </w:r>
      <w:r w:rsidR="00744536" w:rsidRPr="002A75F2">
        <w:rPr>
          <w:rFonts w:cs="Arial"/>
        </w:rPr>
        <w:t>risk assessment</w:t>
      </w:r>
      <w:r w:rsidR="00B736F9" w:rsidRPr="002A75F2">
        <w:rPr>
          <w:rFonts w:cs="Arial"/>
        </w:rPr>
        <w:t xml:space="preserve"> if </w:t>
      </w:r>
      <w:r w:rsidRPr="002A75F2">
        <w:rPr>
          <w:rFonts w:cs="Arial"/>
        </w:rPr>
        <w:t>it</w:t>
      </w:r>
      <w:r w:rsidR="00B736F9" w:rsidRPr="002A75F2">
        <w:rPr>
          <w:rFonts w:cs="Arial"/>
        </w:rPr>
        <w:t xml:space="preserve"> satisfies one or more conditions as set out in</w:t>
      </w:r>
      <w:r w:rsidR="00732404" w:rsidRPr="002A75F2">
        <w:rPr>
          <w:rFonts w:cs="Arial"/>
        </w:rPr>
        <w:t xml:space="preserve"> the Regulation:</w:t>
      </w:r>
    </w:p>
    <w:p w14:paraId="717A5C1E" w14:textId="77777777" w:rsidR="00732404" w:rsidRPr="002A75F2" w:rsidRDefault="001C1D66" w:rsidP="00A47B50">
      <w:pPr>
        <w:numPr>
          <w:ilvl w:val="0"/>
          <w:numId w:val="22"/>
        </w:numPr>
        <w:shd w:val="clear" w:color="auto" w:fill="D9D9D9"/>
        <w:rPr>
          <w:rFonts w:cs="Arial"/>
        </w:rPr>
      </w:pPr>
      <w:r w:rsidRPr="002A75F2">
        <w:rPr>
          <w:rFonts w:cs="Arial"/>
        </w:rPr>
        <w:t>Section</w:t>
      </w:r>
      <w:r w:rsidR="00732404" w:rsidRPr="002A75F2">
        <w:rPr>
          <w:rFonts w:cs="Arial"/>
        </w:rPr>
        <w:t xml:space="preserve"> 9 of Schedule C</w:t>
      </w:r>
    </w:p>
    <w:p w14:paraId="7E2CD538" w14:textId="2B7A9808" w:rsidR="00B736F9" w:rsidRPr="002A75F2" w:rsidRDefault="0044550D" w:rsidP="00840964">
      <w:pPr>
        <w:rPr>
          <w:rFonts w:cs="Arial"/>
        </w:rPr>
      </w:pPr>
      <w:bookmarkStart w:id="366" w:name="_Toc74119429"/>
      <w:r w:rsidRPr="002A75F2">
        <w:rPr>
          <w:rFonts w:cs="Arial"/>
        </w:rPr>
        <w:t xml:space="preserve">If the situation allows for the use of a </w:t>
      </w:r>
      <w:r w:rsidR="00261340" w:rsidRPr="002A75F2">
        <w:rPr>
          <w:rFonts w:cs="Arial"/>
        </w:rPr>
        <w:t xml:space="preserve">new science </w:t>
      </w:r>
      <w:r w:rsidR="00D4507B" w:rsidRPr="002A75F2">
        <w:rPr>
          <w:rFonts w:cs="Arial"/>
        </w:rPr>
        <w:t>risk assessment</w:t>
      </w:r>
      <w:r w:rsidRPr="002A75F2">
        <w:rPr>
          <w:rFonts w:cs="Arial"/>
        </w:rPr>
        <w:t xml:space="preserve">, then the following alternative procedures may be used in conducting that </w:t>
      </w:r>
      <w:r w:rsidR="007F3DC1" w:rsidRPr="002A75F2">
        <w:rPr>
          <w:rFonts w:cs="Arial"/>
        </w:rPr>
        <w:t xml:space="preserve">new science </w:t>
      </w:r>
      <w:r w:rsidR="00D4507B" w:rsidRPr="002A75F2">
        <w:rPr>
          <w:rFonts w:cs="Arial"/>
        </w:rPr>
        <w:t>risk assessment</w:t>
      </w:r>
      <w:r w:rsidRPr="002A75F2">
        <w:rPr>
          <w:rFonts w:cs="Arial"/>
        </w:rPr>
        <w:t>.</w:t>
      </w:r>
      <w:r w:rsidR="00D544A7" w:rsidRPr="002A75F2">
        <w:rPr>
          <w:rFonts w:cs="Arial"/>
        </w:rPr>
        <w:t xml:space="preserve"> </w:t>
      </w:r>
      <w:r w:rsidR="00B736F9" w:rsidRPr="002A75F2">
        <w:rPr>
          <w:rFonts w:cs="Arial"/>
        </w:rPr>
        <w:t xml:space="preserve">The following sections provide guidance for the </w:t>
      </w:r>
      <w:r w:rsidR="00D544A7" w:rsidRPr="002A75F2">
        <w:rPr>
          <w:rFonts w:cs="Arial"/>
        </w:rPr>
        <w:t>three</w:t>
      </w:r>
      <w:r w:rsidR="00B736F9" w:rsidRPr="002A75F2">
        <w:rPr>
          <w:rFonts w:cs="Arial"/>
        </w:rPr>
        <w:t xml:space="preserve"> types of </w:t>
      </w:r>
      <w:r w:rsidR="00261340" w:rsidRPr="002A75F2">
        <w:rPr>
          <w:rFonts w:cs="Arial"/>
        </w:rPr>
        <w:t xml:space="preserve">new science </w:t>
      </w:r>
      <w:r w:rsidR="00744536" w:rsidRPr="002A75F2">
        <w:rPr>
          <w:rFonts w:cs="Arial"/>
        </w:rPr>
        <w:t>risk assessment</w:t>
      </w:r>
      <w:r w:rsidR="00261340" w:rsidRPr="002A75F2">
        <w:rPr>
          <w:rFonts w:cs="Arial"/>
        </w:rPr>
        <w:t xml:space="preserve"> </w:t>
      </w:r>
      <w:r w:rsidR="00D544A7" w:rsidRPr="002A75F2">
        <w:rPr>
          <w:rFonts w:cs="Arial"/>
        </w:rPr>
        <w:t>approaches</w:t>
      </w:r>
      <w:r w:rsidR="00B736F9" w:rsidRPr="002A75F2">
        <w:rPr>
          <w:rFonts w:cs="Arial"/>
        </w:rPr>
        <w:t>.</w:t>
      </w:r>
      <w:r w:rsidR="00E310B0" w:rsidRPr="002A75F2">
        <w:rPr>
          <w:rFonts w:cs="Arial"/>
        </w:rPr>
        <w:t xml:space="preserve"> These approaches may be used individually or in combination with other approaches.</w:t>
      </w:r>
    </w:p>
    <w:p w14:paraId="18FCBBF5" w14:textId="4DE9529C" w:rsidR="00B736F9" w:rsidRPr="002A75F2" w:rsidRDefault="00B736F9" w:rsidP="00DE496B">
      <w:pPr>
        <w:pStyle w:val="Heading3"/>
        <w:rPr>
          <w:rFonts w:cs="Arial"/>
        </w:rPr>
      </w:pPr>
      <w:bookmarkStart w:id="367" w:name="_Toc91393596"/>
      <w:bookmarkStart w:id="368" w:name="_Toc112727459"/>
      <w:bookmarkStart w:id="369" w:name="_Toc41905737"/>
      <w:r w:rsidRPr="002A75F2">
        <w:rPr>
          <w:rFonts w:cs="Arial"/>
        </w:rPr>
        <w:t xml:space="preserve">No </w:t>
      </w:r>
      <w:r w:rsidR="006338ED" w:rsidRPr="002A75F2">
        <w:rPr>
          <w:rFonts w:cs="Arial"/>
        </w:rPr>
        <w:t xml:space="preserve">Applicable </w:t>
      </w:r>
      <w:r w:rsidR="005C53DA" w:rsidRPr="002A75F2">
        <w:rPr>
          <w:rFonts w:cs="Arial"/>
        </w:rPr>
        <w:t>Site Condition Standard</w:t>
      </w:r>
      <w:r w:rsidR="00E77F3F" w:rsidRPr="002A75F2">
        <w:rPr>
          <w:rFonts w:cs="Arial"/>
        </w:rPr>
        <w:t xml:space="preserve"> </w:t>
      </w:r>
      <w:r w:rsidRPr="002A75F2">
        <w:rPr>
          <w:rFonts w:cs="Arial"/>
        </w:rPr>
        <w:t>for a COC</w:t>
      </w:r>
      <w:bookmarkEnd w:id="366"/>
      <w:bookmarkEnd w:id="367"/>
      <w:bookmarkEnd w:id="368"/>
      <w:bookmarkEnd w:id="369"/>
    </w:p>
    <w:p w14:paraId="32C36E29" w14:textId="19272B6C" w:rsidR="00927400" w:rsidRPr="002A75F2" w:rsidRDefault="00B736F9" w:rsidP="00840964">
      <w:pPr>
        <w:rPr>
          <w:rFonts w:cs="Arial"/>
        </w:rPr>
      </w:pPr>
      <w:r w:rsidRPr="002A75F2">
        <w:rPr>
          <w:rFonts w:cs="Arial"/>
        </w:rPr>
        <w:t xml:space="preserve">When a </w:t>
      </w:r>
      <w:r w:rsidR="001E50BF" w:rsidRPr="002A75F2">
        <w:rPr>
          <w:rFonts w:cs="Arial"/>
        </w:rPr>
        <w:t>contaminant</w:t>
      </w:r>
      <w:r w:rsidR="007F3DC1" w:rsidRPr="002A75F2">
        <w:rPr>
          <w:rFonts w:cs="Arial"/>
        </w:rPr>
        <w:t xml:space="preserve"> </w:t>
      </w:r>
      <w:r w:rsidRPr="002A75F2">
        <w:rPr>
          <w:rFonts w:cs="Arial"/>
        </w:rPr>
        <w:t xml:space="preserve">is identified during a </w:t>
      </w:r>
      <w:r w:rsidR="00C6313D" w:rsidRPr="002A75F2">
        <w:rPr>
          <w:rFonts w:cs="Arial"/>
        </w:rPr>
        <w:t>p</w:t>
      </w:r>
      <w:r w:rsidRPr="002A75F2">
        <w:rPr>
          <w:rFonts w:cs="Arial"/>
        </w:rPr>
        <w:t xml:space="preserve">hase two </w:t>
      </w:r>
      <w:smartTag w:uri="urn:schemas-microsoft-com:office:smarttags" w:element="stockticker">
        <w:r w:rsidRPr="002A75F2">
          <w:rPr>
            <w:rFonts w:cs="Arial"/>
          </w:rPr>
          <w:t>ESA</w:t>
        </w:r>
      </w:smartTag>
      <w:r w:rsidRPr="002A75F2">
        <w:rPr>
          <w:rFonts w:cs="Arial"/>
        </w:rPr>
        <w:t xml:space="preserve"> for which there is no </w:t>
      </w:r>
      <w:r w:rsidR="00631430" w:rsidRPr="002A75F2">
        <w:rPr>
          <w:rFonts w:cs="Arial"/>
        </w:rPr>
        <w:t>applicable</w:t>
      </w:r>
      <w:r w:rsidRPr="002A75F2">
        <w:rPr>
          <w:rFonts w:cs="Arial"/>
        </w:rPr>
        <w:t xml:space="preserve"> generic site condition standard, </w:t>
      </w:r>
      <w:r w:rsidR="00927400" w:rsidRPr="002A75F2">
        <w:rPr>
          <w:rFonts w:cs="Arial"/>
        </w:rPr>
        <w:t xml:space="preserve">it may be that there was insufficient toxicity data on which to base a site condition standard at the time of </w:t>
      </w:r>
      <w:r w:rsidR="00575DA4" w:rsidRPr="002A75F2">
        <w:rPr>
          <w:rFonts w:cs="Arial"/>
        </w:rPr>
        <w:t>generic</w:t>
      </w:r>
      <w:r w:rsidR="00927400" w:rsidRPr="002A75F2">
        <w:rPr>
          <w:rFonts w:cs="Arial"/>
        </w:rPr>
        <w:t xml:space="preserve"> standards</w:t>
      </w:r>
      <w:r w:rsidR="00690721" w:rsidRPr="002A75F2">
        <w:rPr>
          <w:rFonts w:cs="Arial"/>
        </w:rPr>
        <w:t xml:space="preserve"> development</w:t>
      </w:r>
      <w:r w:rsidR="00927400" w:rsidRPr="002A75F2">
        <w:rPr>
          <w:rFonts w:cs="Arial"/>
        </w:rPr>
        <w:t xml:space="preserve">. </w:t>
      </w:r>
      <w:r w:rsidR="007F3DC1" w:rsidRPr="002A75F2">
        <w:rPr>
          <w:rFonts w:cs="Arial"/>
        </w:rPr>
        <w:t xml:space="preserve">If such a contaminant is determined to be a COC during the </w:t>
      </w:r>
      <w:r w:rsidR="00C6313D" w:rsidRPr="002A75F2">
        <w:rPr>
          <w:rFonts w:cs="Arial"/>
        </w:rPr>
        <w:t>p</w:t>
      </w:r>
      <w:r w:rsidR="007F3DC1" w:rsidRPr="002A75F2">
        <w:rPr>
          <w:rFonts w:cs="Arial"/>
        </w:rPr>
        <w:t>hase two ESA, t</w:t>
      </w:r>
      <w:r w:rsidR="00927400" w:rsidRPr="002A75F2">
        <w:rPr>
          <w:rFonts w:cs="Arial"/>
        </w:rPr>
        <w:t xml:space="preserve">he </w:t>
      </w:r>
      <w:r w:rsidR="00855A6A" w:rsidRPr="002A75F2">
        <w:rPr>
          <w:rFonts w:cs="Arial"/>
        </w:rPr>
        <w:t>R</w:t>
      </w:r>
      <w:r w:rsidR="00927400" w:rsidRPr="002A75F2">
        <w:rPr>
          <w:rFonts w:cs="Arial"/>
        </w:rPr>
        <w:t xml:space="preserve">egulation </w:t>
      </w:r>
      <w:r w:rsidR="007F3DC1" w:rsidRPr="002A75F2">
        <w:rPr>
          <w:rFonts w:cs="Arial"/>
        </w:rPr>
        <w:t xml:space="preserve">requires that </w:t>
      </w:r>
      <w:r w:rsidR="00927400" w:rsidRPr="002A75F2">
        <w:rPr>
          <w:rFonts w:cs="Arial"/>
        </w:rPr>
        <w:t>a property specific standard</w:t>
      </w:r>
      <w:r w:rsidR="007F3DC1" w:rsidRPr="002A75F2">
        <w:rPr>
          <w:rFonts w:cs="Arial"/>
        </w:rPr>
        <w:t xml:space="preserve"> be developed for this COC</w:t>
      </w:r>
      <w:r w:rsidR="0028338C" w:rsidRPr="002A75F2">
        <w:rPr>
          <w:rFonts w:cs="Arial"/>
        </w:rPr>
        <w:t>:</w:t>
      </w:r>
    </w:p>
    <w:p w14:paraId="0E65F1AA" w14:textId="77777777" w:rsidR="0028338C" w:rsidRPr="002A75F2" w:rsidRDefault="001C1D66" w:rsidP="00A47B50">
      <w:pPr>
        <w:numPr>
          <w:ilvl w:val="0"/>
          <w:numId w:val="22"/>
        </w:numPr>
        <w:shd w:val="clear" w:color="auto" w:fill="D9D9D9"/>
        <w:rPr>
          <w:rFonts w:cs="Arial"/>
        </w:rPr>
      </w:pPr>
      <w:r w:rsidRPr="002A75F2">
        <w:rPr>
          <w:rFonts w:cs="Arial"/>
        </w:rPr>
        <w:t>S</w:t>
      </w:r>
      <w:r w:rsidR="0028338C" w:rsidRPr="002A75F2">
        <w:rPr>
          <w:rFonts w:cs="Arial"/>
        </w:rPr>
        <w:t>ubsections 43 (2) and (3) of the Regulation</w:t>
      </w:r>
    </w:p>
    <w:p w14:paraId="77F4C745" w14:textId="2C05D892" w:rsidR="0028338C" w:rsidRPr="002A75F2" w:rsidRDefault="00754EDE" w:rsidP="0028338C">
      <w:pPr>
        <w:rPr>
          <w:rFonts w:cs="Arial"/>
        </w:rPr>
      </w:pPr>
      <w:r w:rsidRPr="002A75F2">
        <w:rPr>
          <w:rFonts w:cs="Arial"/>
        </w:rPr>
        <w:t xml:space="preserve">In these circumstances, the Regulation allows for the development of </w:t>
      </w:r>
      <w:r w:rsidR="00D64A63" w:rsidRPr="002A75F2">
        <w:rPr>
          <w:rFonts w:cs="Arial"/>
        </w:rPr>
        <w:t>property specif</w:t>
      </w:r>
      <w:r w:rsidR="00143545" w:rsidRPr="002A75F2">
        <w:rPr>
          <w:rFonts w:cs="Arial"/>
        </w:rPr>
        <w:t>i</w:t>
      </w:r>
      <w:r w:rsidR="00D64A63" w:rsidRPr="002A75F2">
        <w:rPr>
          <w:rFonts w:cs="Arial"/>
        </w:rPr>
        <w:t>c standards</w:t>
      </w:r>
      <w:r w:rsidRPr="002A75F2">
        <w:rPr>
          <w:rFonts w:cs="Arial"/>
        </w:rPr>
        <w:t xml:space="preserve"> in the </w:t>
      </w:r>
      <w:r w:rsidR="00744536" w:rsidRPr="002A75F2">
        <w:rPr>
          <w:rFonts w:cs="Arial"/>
        </w:rPr>
        <w:t>risk assessment</w:t>
      </w:r>
      <w:r w:rsidRPr="002A75F2">
        <w:rPr>
          <w:rFonts w:cs="Arial"/>
        </w:rPr>
        <w:t xml:space="preserve"> using either a quantita</w:t>
      </w:r>
      <w:r w:rsidR="001E50BF" w:rsidRPr="002A75F2">
        <w:rPr>
          <w:rFonts w:cs="Arial"/>
        </w:rPr>
        <w:t>ti</w:t>
      </w:r>
      <w:r w:rsidRPr="002A75F2">
        <w:rPr>
          <w:rFonts w:cs="Arial"/>
        </w:rPr>
        <w:t xml:space="preserve">ve approach in the HHRA and ERA or by </w:t>
      </w:r>
      <w:r w:rsidR="00B736F9" w:rsidRPr="002A75F2">
        <w:rPr>
          <w:rFonts w:cs="Arial"/>
        </w:rPr>
        <w:t>adopt</w:t>
      </w:r>
      <w:r w:rsidRPr="002A75F2">
        <w:rPr>
          <w:rFonts w:cs="Arial"/>
        </w:rPr>
        <w:t>ing</w:t>
      </w:r>
      <w:r w:rsidR="00B736F9" w:rsidRPr="002A75F2">
        <w:rPr>
          <w:rFonts w:cs="Arial"/>
        </w:rPr>
        <w:t xml:space="preserve"> a </w:t>
      </w:r>
      <w:r w:rsidR="00C0010F" w:rsidRPr="002A75F2">
        <w:rPr>
          <w:rFonts w:cs="Arial"/>
        </w:rPr>
        <w:t xml:space="preserve">standard </w:t>
      </w:r>
      <w:r w:rsidR="00B736F9" w:rsidRPr="002A75F2">
        <w:rPr>
          <w:rFonts w:cs="Arial"/>
        </w:rPr>
        <w:t>from another credible agency</w:t>
      </w:r>
      <w:r w:rsidR="00BD3DD4" w:rsidRPr="002A75F2">
        <w:rPr>
          <w:rFonts w:cs="Arial"/>
        </w:rPr>
        <w:t>; the requirements are specified in the following parts of the Regulation</w:t>
      </w:r>
      <w:r w:rsidR="0028338C" w:rsidRPr="002A75F2">
        <w:rPr>
          <w:rFonts w:cs="Arial"/>
        </w:rPr>
        <w:t>:</w:t>
      </w:r>
    </w:p>
    <w:p w14:paraId="048D8AF8" w14:textId="77777777" w:rsidR="007962DE" w:rsidRPr="002A75F2" w:rsidRDefault="001C1D66" w:rsidP="00A47B50">
      <w:pPr>
        <w:numPr>
          <w:ilvl w:val="0"/>
          <w:numId w:val="22"/>
        </w:numPr>
        <w:shd w:val="clear" w:color="auto" w:fill="D9D9D9"/>
        <w:rPr>
          <w:rFonts w:cs="Arial"/>
        </w:rPr>
      </w:pPr>
      <w:r w:rsidRPr="002A75F2">
        <w:rPr>
          <w:rFonts w:cs="Arial"/>
        </w:rPr>
        <w:t>S</w:t>
      </w:r>
      <w:r w:rsidR="0028338C" w:rsidRPr="002A75F2">
        <w:rPr>
          <w:rFonts w:cs="Arial"/>
        </w:rPr>
        <w:t>ubsection</w:t>
      </w:r>
      <w:r w:rsidR="00A74602" w:rsidRPr="002A75F2">
        <w:rPr>
          <w:rFonts w:cs="Arial"/>
        </w:rPr>
        <w:t>s</w:t>
      </w:r>
      <w:r w:rsidR="0028338C" w:rsidRPr="002A75F2">
        <w:rPr>
          <w:rFonts w:cs="Arial"/>
        </w:rPr>
        <w:t xml:space="preserve"> 9 (2) </w:t>
      </w:r>
      <w:r w:rsidR="00BD3DD4" w:rsidRPr="002A75F2">
        <w:rPr>
          <w:rFonts w:cs="Arial"/>
        </w:rPr>
        <w:t xml:space="preserve">and (3) </w:t>
      </w:r>
      <w:r w:rsidR="0028338C" w:rsidRPr="002A75F2">
        <w:rPr>
          <w:rFonts w:cs="Arial"/>
        </w:rPr>
        <w:t>of Schedule C</w:t>
      </w:r>
    </w:p>
    <w:p w14:paraId="45190AF5" w14:textId="0EB990C6" w:rsidR="00BD3DD4" w:rsidRPr="002A75F2" w:rsidRDefault="00BD3DD4" w:rsidP="00BD3DD4">
      <w:pPr>
        <w:rPr>
          <w:rFonts w:cs="Arial"/>
        </w:rPr>
      </w:pPr>
      <w:r w:rsidRPr="002A75F2">
        <w:rPr>
          <w:rFonts w:cs="Arial"/>
        </w:rPr>
        <w:lastRenderedPageBreak/>
        <w:t xml:space="preserve">If toxicity information (e.g. TRV) or a </w:t>
      </w:r>
      <w:r w:rsidR="00C0010F" w:rsidRPr="002A75F2">
        <w:rPr>
          <w:rFonts w:cs="Arial"/>
        </w:rPr>
        <w:t>standard</w:t>
      </w:r>
      <w:r w:rsidRPr="002A75F2">
        <w:rPr>
          <w:rFonts w:cs="Arial"/>
        </w:rPr>
        <w:t xml:space="preserve"> </w:t>
      </w:r>
      <w:r w:rsidR="00B736F9" w:rsidRPr="002A75F2">
        <w:rPr>
          <w:rFonts w:cs="Arial"/>
        </w:rPr>
        <w:t xml:space="preserve">is adopted from another credible agency, the risk assessment </w:t>
      </w:r>
      <w:r w:rsidR="00132EFA" w:rsidRPr="002A75F2">
        <w:rPr>
          <w:rFonts w:cs="Arial"/>
        </w:rPr>
        <w:t>should</w:t>
      </w:r>
      <w:r w:rsidR="00B736F9" w:rsidRPr="002A75F2">
        <w:rPr>
          <w:rFonts w:cs="Arial"/>
        </w:rPr>
        <w:t xml:space="preserve"> include an evaluation of how the basis for the value selection by that agency fits the specific requirements of the property under evaluation. </w:t>
      </w:r>
      <w:bookmarkStart w:id="370" w:name="_Toc74119430"/>
      <w:r w:rsidR="000E67C3" w:rsidRPr="002A75F2">
        <w:rPr>
          <w:rFonts w:cs="Arial"/>
        </w:rPr>
        <w:t>This approach should only be considered when a quantitative assessment is not possible.</w:t>
      </w:r>
    </w:p>
    <w:p w14:paraId="6CC6420D" w14:textId="4EE60E79" w:rsidR="00525DF5" w:rsidRPr="002A75F2" w:rsidRDefault="00631430" w:rsidP="00BD3DD4">
      <w:pPr>
        <w:rPr>
          <w:rFonts w:cs="Arial"/>
        </w:rPr>
      </w:pPr>
      <w:r w:rsidRPr="002A75F2">
        <w:rPr>
          <w:rFonts w:cs="Arial"/>
        </w:rPr>
        <w:t xml:space="preserve">It remains the </w:t>
      </w:r>
      <w:r w:rsidR="001F7F60" w:rsidRPr="002A75F2">
        <w:rPr>
          <w:rFonts w:cs="Arial"/>
        </w:rPr>
        <w:t>Ministry’s</w:t>
      </w:r>
      <w:r w:rsidRPr="002A75F2">
        <w:rPr>
          <w:rFonts w:cs="Arial"/>
        </w:rPr>
        <w:t xml:space="preserve"> expectation that the risk assessment be based on the best available and most recent science</w:t>
      </w:r>
      <w:r w:rsidR="00525DF5" w:rsidRPr="002A75F2">
        <w:rPr>
          <w:rFonts w:cs="Arial"/>
        </w:rPr>
        <w:t>. T</w:t>
      </w:r>
      <w:r w:rsidR="007964A7" w:rsidRPr="002A75F2">
        <w:rPr>
          <w:rFonts w:cs="Arial"/>
        </w:rPr>
        <w:t xml:space="preserve">here </w:t>
      </w:r>
      <w:r w:rsidRPr="002A75F2">
        <w:rPr>
          <w:rFonts w:cs="Arial"/>
        </w:rPr>
        <w:t xml:space="preserve">may </w:t>
      </w:r>
      <w:r w:rsidR="00BD3DD4" w:rsidRPr="002A75F2">
        <w:rPr>
          <w:rFonts w:cs="Arial"/>
        </w:rPr>
        <w:t xml:space="preserve">also </w:t>
      </w:r>
      <w:r w:rsidRPr="002A75F2">
        <w:rPr>
          <w:rFonts w:cs="Arial"/>
        </w:rPr>
        <w:t>be cases where the QP</w:t>
      </w:r>
      <w:r w:rsidRPr="002A75F2">
        <w:rPr>
          <w:rFonts w:cs="Arial"/>
          <w:vertAlign w:val="subscript"/>
        </w:rPr>
        <w:t>RA</w:t>
      </w:r>
      <w:r w:rsidRPr="002A75F2">
        <w:rPr>
          <w:rFonts w:cs="Arial"/>
        </w:rPr>
        <w:t xml:space="preserve"> is not satisfied </w:t>
      </w:r>
      <w:r w:rsidR="007964A7" w:rsidRPr="002A75F2">
        <w:rPr>
          <w:rFonts w:cs="Arial"/>
        </w:rPr>
        <w:t xml:space="preserve">with using the </w:t>
      </w:r>
      <w:r w:rsidRPr="002A75F2">
        <w:rPr>
          <w:rFonts w:cs="Arial"/>
        </w:rPr>
        <w:t xml:space="preserve">Ministry’s </w:t>
      </w:r>
      <w:r w:rsidR="007964A7" w:rsidRPr="002A75F2">
        <w:rPr>
          <w:rFonts w:cs="Arial"/>
        </w:rPr>
        <w:t xml:space="preserve">most recent </w:t>
      </w:r>
      <w:r w:rsidRPr="002A75F2">
        <w:rPr>
          <w:rFonts w:cs="Arial"/>
        </w:rPr>
        <w:t xml:space="preserve">TRV selections </w:t>
      </w:r>
      <w:r w:rsidR="007964A7" w:rsidRPr="002A75F2">
        <w:rPr>
          <w:rFonts w:cs="Arial"/>
        </w:rPr>
        <w:t>for a</w:t>
      </w:r>
      <w:r w:rsidRPr="002A75F2">
        <w:rPr>
          <w:rFonts w:cs="Arial"/>
        </w:rPr>
        <w:t xml:space="preserve"> given </w:t>
      </w:r>
      <w:r w:rsidR="001F7F60" w:rsidRPr="002A75F2">
        <w:rPr>
          <w:rFonts w:cs="Arial"/>
        </w:rPr>
        <w:t>contaminant</w:t>
      </w:r>
      <w:r w:rsidRPr="002A75F2">
        <w:rPr>
          <w:rFonts w:cs="Arial"/>
        </w:rPr>
        <w:t>.</w:t>
      </w:r>
      <w:r w:rsidR="007964A7" w:rsidRPr="002A75F2">
        <w:rPr>
          <w:rFonts w:cs="Arial"/>
        </w:rPr>
        <w:t xml:space="preserve"> For example, i</w:t>
      </w:r>
      <w:r w:rsidR="00CC6A12" w:rsidRPr="002A75F2">
        <w:rPr>
          <w:rFonts w:cs="Arial"/>
        </w:rPr>
        <w:t>f t</w:t>
      </w:r>
      <w:r w:rsidR="009F2D49" w:rsidRPr="002A75F2">
        <w:rPr>
          <w:rFonts w:cs="Arial"/>
        </w:rPr>
        <w:t xml:space="preserve">he </w:t>
      </w:r>
      <w:r w:rsidR="000767FF" w:rsidRPr="002A75F2">
        <w:rPr>
          <w:rFonts w:cs="Arial"/>
        </w:rPr>
        <w:t>QP</w:t>
      </w:r>
      <w:r w:rsidR="000767FF" w:rsidRPr="002A75F2">
        <w:rPr>
          <w:rFonts w:cs="Arial"/>
          <w:vertAlign w:val="subscript"/>
        </w:rPr>
        <w:t>RA</w:t>
      </w:r>
      <w:r w:rsidR="009F2D49" w:rsidRPr="002A75F2">
        <w:rPr>
          <w:rFonts w:cs="Arial"/>
        </w:rPr>
        <w:t xml:space="preserve"> </w:t>
      </w:r>
      <w:r w:rsidR="00CC6A12" w:rsidRPr="002A75F2">
        <w:rPr>
          <w:rFonts w:cs="Arial"/>
        </w:rPr>
        <w:t>is</w:t>
      </w:r>
      <w:r w:rsidR="009F2D49" w:rsidRPr="002A75F2">
        <w:rPr>
          <w:rFonts w:cs="Arial"/>
        </w:rPr>
        <w:t xml:space="preserve"> aware</w:t>
      </w:r>
      <w:r w:rsidR="003F0654" w:rsidRPr="002A75F2">
        <w:rPr>
          <w:rFonts w:cs="Arial"/>
        </w:rPr>
        <w:t xml:space="preserve"> </w:t>
      </w:r>
      <w:r w:rsidR="009F2D49" w:rsidRPr="002A75F2">
        <w:rPr>
          <w:rFonts w:cs="Arial"/>
        </w:rPr>
        <w:t>that new toxicity data has been published and reviewed by credible agencies</w:t>
      </w:r>
      <w:r w:rsidR="003F0654" w:rsidRPr="002A75F2">
        <w:rPr>
          <w:rFonts w:cs="Arial"/>
        </w:rPr>
        <w:t xml:space="preserve"> (and new </w:t>
      </w:r>
      <w:r w:rsidR="009D503B" w:rsidRPr="002A75F2">
        <w:rPr>
          <w:rFonts w:cs="Arial"/>
        </w:rPr>
        <w:t xml:space="preserve">human health </w:t>
      </w:r>
      <w:r w:rsidR="003F0654" w:rsidRPr="002A75F2">
        <w:rPr>
          <w:rFonts w:cs="Arial"/>
        </w:rPr>
        <w:t>TRVs published by these agencies)</w:t>
      </w:r>
      <w:r w:rsidR="007964A7" w:rsidRPr="002A75F2">
        <w:rPr>
          <w:rFonts w:cs="Arial"/>
        </w:rPr>
        <w:t>, s</w:t>
      </w:r>
      <w:r w:rsidR="009F2D49" w:rsidRPr="002A75F2">
        <w:rPr>
          <w:rFonts w:cs="Arial"/>
        </w:rPr>
        <w:t xml:space="preserve">uch </w:t>
      </w:r>
      <w:r w:rsidR="003F0654" w:rsidRPr="002A75F2">
        <w:rPr>
          <w:rFonts w:cs="Arial"/>
        </w:rPr>
        <w:t>information</w:t>
      </w:r>
      <w:r w:rsidR="009F2D49" w:rsidRPr="002A75F2">
        <w:rPr>
          <w:rFonts w:cs="Arial"/>
        </w:rPr>
        <w:t xml:space="preserve"> </w:t>
      </w:r>
      <w:r w:rsidR="00690721" w:rsidRPr="002A75F2">
        <w:rPr>
          <w:rFonts w:cs="Arial"/>
        </w:rPr>
        <w:t xml:space="preserve">should </w:t>
      </w:r>
      <w:r w:rsidR="009F2D49" w:rsidRPr="002A75F2">
        <w:rPr>
          <w:rFonts w:cs="Arial"/>
        </w:rPr>
        <w:t>be considered within the risk assessment</w:t>
      </w:r>
      <w:r w:rsidR="002F3865" w:rsidRPr="002A75F2">
        <w:rPr>
          <w:rFonts w:cs="Arial"/>
        </w:rPr>
        <w:t xml:space="preserve"> and used, if </w:t>
      </w:r>
      <w:r w:rsidR="001F7F60" w:rsidRPr="002A75F2">
        <w:rPr>
          <w:rFonts w:cs="Arial"/>
        </w:rPr>
        <w:t>appropriate</w:t>
      </w:r>
      <w:r w:rsidR="009F2D49" w:rsidRPr="002A75F2">
        <w:rPr>
          <w:rFonts w:cs="Arial"/>
        </w:rPr>
        <w:t>.</w:t>
      </w:r>
      <w:r w:rsidR="00525DF5" w:rsidRPr="002A75F2">
        <w:rPr>
          <w:rFonts w:cs="Arial"/>
        </w:rPr>
        <w:t xml:space="preserve"> These cases will generally not result in the </w:t>
      </w:r>
      <w:r w:rsidR="00744536" w:rsidRPr="002A75F2">
        <w:rPr>
          <w:rFonts w:cs="Arial"/>
        </w:rPr>
        <w:t>risk assessment</w:t>
      </w:r>
      <w:r w:rsidR="00525DF5" w:rsidRPr="002A75F2">
        <w:rPr>
          <w:rFonts w:cs="Arial"/>
        </w:rPr>
        <w:t xml:space="preserve"> being </w:t>
      </w:r>
      <w:r w:rsidR="002F3865" w:rsidRPr="002A75F2">
        <w:rPr>
          <w:rFonts w:cs="Arial"/>
        </w:rPr>
        <w:t xml:space="preserve">designated as </w:t>
      </w:r>
      <w:r w:rsidR="00525DF5" w:rsidRPr="002A75F2">
        <w:rPr>
          <w:rFonts w:cs="Arial"/>
        </w:rPr>
        <w:t xml:space="preserve">a new science </w:t>
      </w:r>
      <w:r w:rsidR="00744536" w:rsidRPr="002A75F2">
        <w:rPr>
          <w:rFonts w:cs="Arial"/>
        </w:rPr>
        <w:t>risk assessment</w:t>
      </w:r>
      <w:r w:rsidR="00525DF5" w:rsidRPr="002A75F2">
        <w:rPr>
          <w:rFonts w:cs="Arial"/>
        </w:rPr>
        <w:t>.</w:t>
      </w:r>
    </w:p>
    <w:p w14:paraId="0CE0DFE4" w14:textId="0D66CBB9" w:rsidR="009F2D49" w:rsidRPr="002A75F2" w:rsidRDefault="002F3865" w:rsidP="00BD3DD4">
      <w:pPr>
        <w:rPr>
          <w:rFonts w:cs="Arial"/>
        </w:rPr>
      </w:pPr>
      <w:r w:rsidRPr="002A75F2">
        <w:rPr>
          <w:rFonts w:cs="Arial"/>
        </w:rPr>
        <w:t>However, i</w:t>
      </w:r>
      <w:r w:rsidR="009F2D49" w:rsidRPr="002A75F2">
        <w:rPr>
          <w:rFonts w:cs="Arial"/>
        </w:rPr>
        <w:t xml:space="preserve">f the </w:t>
      </w:r>
      <w:r w:rsidR="000767FF" w:rsidRPr="002A75F2">
        <w:rPr>
          <w:rFonts w:cs="Arial"/>
        </w:rPr>
        <w:t>QP</w:t>
      </w:r>
      <w:r w:rsidR="000767FF" w:rsidRPr="002A75F2">
        <w:rPr>
          <w:rFonts w:cs="Arial"/>
          <w:vertAlign w:val="subscript"/>
        </w:rPr>
        <w:t>RA</w:t>
      </w:r>
      <w:r w:rsidR="009F2D49" w:rsidRPr="002A75F2">
        <w:rPr>
          <w:rFonts w:cs="Arial"/>
        </w:rPr>
        <w:t xml:space="preserve"> </w:t>
      </w:r>
      <w:r w:rsidR="00000E70" w:rsidRPr="002A75F2">
        <w:rPr>
          <w:rFonts w:cs="Arial"/>
        </w:rPr>
        <w:t xml:space="preserve">uses </w:t>
      </w:r>
      <w:r w:rsidR="009F2D49" w:rsidRPr="002A75F2">
        <w:rPr>
          <w:rFonts w:cs="Arial"/>
        </w:rPr>
        <w:t>toxicity data</w:t>
      </w:r>
      <w:r w:rsidR="00690721" w:rsidRPr="002A75F2">
        <w:rPr>
          <w:rFonts w:cs="Arial"/>
        </w:rPr>
        <w:t xml:space="preserve"> to develop </w:t>
      </w:r>
      <w:r w:rsidRPr="002A75F2">
        <w:rPr>
          <w:rFonts w:cs="Arial"/>
        </w:rPr>
        <w:t xml:space="preserve">a </w:t>
      </w:r>
      <w:r w:rsidR="00E5404F" w:rsidRPr="002A75F2">
        <w:rPr>
          <w:rFonts w:cs="Arial"/>
          <w:i/>
        </w:rPr>
        <w:t>de novo</w:t>
      </w:r>
      <w:r w:rsidR="00E5404F" w:rsidRPr="002A75F2">
        <w:rPr>
          <w:rFonts w:cs="Arial"/>
        </w:rPr>
        <w:t xml:space="preserve"> </w:t>
      </w:r>
      <w:r w:rsidR="00690721" w:rsidRPr="002A75F2">
        <w:rPr>
          <w:rFonts w:cs="Arial"/>
        </w:rPr>
        <w:t>TRV</w:t>
      </w:r>
      <w:r w:rsidR="00000E70" w:rsidRPr="002A75F2">
        <w:rPr>
          <w:rFonts w:cs="Arial"/>
        </w:rPr>
        <w:t>,</w:t>
      </w:r>
      <w:r w:rsidR="009F2D49" w:rsidRPr="002A75F2">
        <w:rPr>
          <w:rFonts w:cs="Arial"/>
        </w:rPr>
        <w:t xml:space="preserve"> the </w:t>
      </w:r>
      <w:r w:rsidR="00575DA4" w:rsidRPr="002A75F2">
        <w:rPr>
          <w:rFonts w:cs="Arial"/>
        </w:rPr>
        <w:t>M</w:t>
      </w:r>
      <w:r w:rsidR="002A6EE0" w:rsidRPr="002A75F2">
        <w:rPr>
          <w:rFonts w:cs="Arial"/>
        </w:rPr>
        <w:t>inistry</w:t>
      </w:r>
      <w:r w:rsidR="009F2D49" w:rsidRPr="002A75F2">
        <w:rPr>
          <w:rFonts w:cs="Arial"/>
        </w:rPr>
        <w:t xml:space="preserve"> </w:t>
      </w:r>
      <w:r w:rsidR="00525DF5" w:rsidRPr="002A75F2">
        <w:rPr>
          <w:rFonts w:cs="Arial"/>
        </w:rPr>
        <w:t>will</w:t>
      </w:r>
      <w:r w:rsidR="009F2D49" w:rsidRPr="002A75F2">
        <w:rPr>
          <w:rFonts w:cs="Arial"/>
        </w:rPr>
        <w:t xml:space="preserve"> consider the risk assessment a </w:t>
      </w:r>
      <w:r w:rsidR="00261340" w:rsidRPr="002A75F2">
        <w:rPr>
          <w:rFonts w:cs="Arial"/>
        </w:rPr>
        <w:t xml:space="preserve">new science </w:t>
      </w:r>
      <w:r w:rsidR="00D4507B" w:rsidRPr="002A75F2">
        <w:rPr>
          <w:rFonts w:cs="Arial"/>
        </w:rPr>
        <w:t>risk assessment</w:t>
      </w:r>
      <w:r w:rsidR="009F2D49" w:rsidRPr="002A75F2">
        <w:rPr>
          <w:rFonts w:cs="Arial"/>
        </w:rPr>
        <w:t>.</w:t>
      </w:r>
      <w:r w:rsidR="002F0300" w:rsidRPr="002A75F2">
        <w:rPr>
          <w:rFonts w:cs="Arial"/>
        </w:rPr>
        <w:t xml:space="preserve"> </w:t>
      </w:r>
    </w:p>
    <w:p w14:paraId="29F9E859" w14:textId="6AC61278" w:rsidR="009F2D49" w:rsidRPr="000C60E1" w:rsidRDefault="009F2D49" w:rsidP="00840964">
      <w:pPr>
        <w:rPr>
          <w:rFonts w:cs="Arial"/>
        </w:rPr>
      </w:pPr>
      <w:r w:rsidRPr="002A75F2">
        <w:rPr>
          <w:rFonts w:cs="Arial"/>
        </w:rPr>
        <w:t xml:space="preserve">Ministry comment on </w:t>
      </w:r>
      <w:r w:rsidR="00690721" w:rsidRPr="002A75F2">
        <w:rPr>
          <w:rFonts w:cs="Arial"/>
        </w:rPr>
        <w:t xml:space="preserve">the approach to using </w:t>
      </w:r>
      <w:r w:rsidRPr="002A75F2">
        <w:rPr>
          <w:rFonts w:cs="Arial"/>
        </w:rPr>
        <w:t>new toxicity data</w:t>
      </w:r>
      <w:r w:rsidR="002F0300" w:rsidRPr="002A75F2">
        <w:rPr>
          <w:rFonts w:cs="Arial"/>
        </w:rPr>
        <w:t xml:space="preserve"> and/or new TRVs</w:t>
      </w:r>
      <w:r w:rsidRPr="002A75F2">
        <w:rPr>
          <w:rFonts w:cs="Arial"/>
        </w:rPr>
        <w:t xml:space="preserve"> can be obtained through identification of the </w:t>
      </w:r>
      <w:r w:rsidR="00690721" w:rsidRPr="002A75F2">
        <w:rPr>
          <w:rFonts w:cs="Arial"/>
        </w:rPr>
        <w:t>approach</w:t>
      </w:r>
      <w:r w:rsidRPr="002A75F2">
        <w:rPr>
          <w:rFonts w:cs="Arial"/>
        </w:rPr>
        <w:t xml:space="preserve"> in the PSF. </w:t>
      </w:r>
      <w:r w:rsidR="002F0300" w:rsidRPr="002A75F2">
        <w:rPr>
          <w:rFonts w:cs="Arial"/>
        </w:rPr>
        <w:t>For example, i</w:t>
      </w:r>
      <w:r w:rsidRPr="002A75F2">
        <w:rPr>
          <w:rFonts w:cs="Arial"/>
        </w:rPr>
        <w:t xml:space="preserve">f the </w:t>
      </w:r>
      <w:r w:rsidR="00575DA4" w:rsidRPr="002A75F2">
        <w:rPr>
          <w:rFonts w:cs="Arial"/>
        </w:rPr>
        <w:t>M</w:t>
      </w:r>
      <w:r w:rsidR="002A6EE0" w:rsidRPr="002A75F2">
        <w:rPr>
          <w:rFonts w:cs="Arial"/>
        </w:rPr>
        <w:t>inistry</w:t>
      </w:r>
      <w:r w:rsidRPr="002A75F2">
        <w:rPr>
          <w:rFonts w:cs="Arial"/>
        </w:rPr>
        <w:t xml:space="preserve"> has already </w:t>
      </w:r>
      <w:r w:rsidR="00754EDE" w:rsidRPr="002A75F2">
        <w:rPr>
          <w:rFonts w:cs="Arial"/>
        </w:rPr>
        <w:t xml:space="preserve">reviewed or considered </w:t>
      </w:r>
      <w:r w:rsidRPr="002A75F2">
        <w:rPr>
          <w:rFonts w:cs="Arial"/>
        </w:rPr>
        <w:t xml:space="preserve">the </w:t>
      </w:r>
      <w:r w:rsidR="002F0300" w:rsidRPr="002A75F2">
        <w:rPr>
          <w:rFonts w:cs="Arial"/>
        </w:rPr>
        <w:t>new TRVs</w:t>
      </w:r>
      <w:r w:rsidRPr="002A75F2">
        <w:rPr>
          <w:rFonts w:cs="Arial"/>
        </w:rPr>
        <w:t xml:space="preserve">, the </w:t>
      </w:r>
      <w:r w:rsidR="002F0300" w:rsidRPr="002A75F2">
        <w:rPr>
          <w:rFonts w:cs="Arial"/>
        </w:rPr>
        <w:t>risk assessment review may not require</w:t>
      </w:r>
      <w:r w:rsidR="002F0300" w:rsidRPr="000C60E1">
        <w:rPr>
          <w:rFonts w:cs="Arial"/>
        </w:rPr>
        <w:t xml:space="preserve"> a</w:t>
      </w:r>
      <w:r w:rsidRPr="000C60E1">
        <w:rPr>
          <w:rFonts w:cs="Arial"/>
        </w:rPr>
        <w:t xml:space="preserve"> </w:t>
      </w:r>
      <w:r w:rsidR="008B5573" w:rsidRPr="000C60E1">
        <w:rPr>
          <w:rFonts w:cs="Arial"/>
        </w:rPr>
        <w:t>22 week timeline</w:t>
      </w:r>
      <w:r w:rsidRPr="000C60E1">
        <w:rPr>
          <w:rFonts w:cs="Arial"/>
        </w:rPr>
        <w:t>.</w:t>
      </w:r>
    </w:p>
    <w:p w14:paraId="735372D9" w14:textId="1E551033" w:rsidR="00B736F9" w:rsidRPr="000C60E1" w:rsidRDefault="00B736F9" w:rsidP="00DE496B">
      <w:pPr>
        <w:pStyle w:val="Heading3"/>
        <w:rPr>
          <w:rFonts w:cs="Arial"/>
        </w:rPr>
      </w:pPr>
      <w:bookmarkStart w:id="371" w:name="_Toc91393597"/>
      <w:bookmarkStart w:id="372" w:name="_Toc112727460"/>
      <w:bookmarkStart w:id="373" w:name="_Toc41905738"/>
      <w:r w:rsidRPr="000C60E1">
        <w:rPr>
          <w:rFonts w:cs="Arial"/>
        </w:rPr>
        <w:t xml:space="preserve">Use of Proprietary </w:t>
      </w:r>
      <w:r w:rsidR="0028338C" w:rsidRPr="000C60E1">
        <w:rPr>
          <w:rFonts w:cs="Arial"/>
        </w:rPr>
        <w:t xml:space="preserve">Computer </w:t>
      </w:r>
      <w:r w:rsidRPr="000C60E1">
        <w:rPr>
          <w:rFonts w:cs="Arial"/>
        </w:rPr>
        <w:t>Models</w:t>
      </w:r>
      <w:bookmarkEnd w:id="370"/>
      <w:bookmarkEnd w:id="371"/>
      <w:bookmarkEnd w:id="372"/>
      <w:bookmarkEnd w:id="373"/>
    </w:p>
    <w:p w14:paraId="6369EAD6" w14:textId="7EC9E202" w:rsidR="0028338C" w:rsidRPr="000C60E1" w:rsidRDefault="0028338C" w:rsidP="0028338C">
      <w:pPr>
        <w:rPr>
          <w:rFonts w:cs="Arial"/>
        </w:rPr>
      </w:pPr>
      <w:r w:rsidRPr="000C60E1">
        <w:rPr>
          <w:rFonts w:cs="Arial"/>
        </w:rPr>
        <w:t xml:space="preserve">Requirements for use of proprietary computer models as part of a new science </w:t>
      </w:r>
      <w:r w:rsidR="00744536" w:rsidRPr="000C60E1">
        <w:rPr>
          <w:rFonts w:cs="Arial"/>
        </w:rPr>
        <w:t>risk assessment</w:t>
      </w:r>
      <w:r w:rsidRPr="000C60E1">
        <w:rPr>
          <w:rFonts w:cs="Arial"/>
        </w:rPr>
        <w:t xml:space="preserve"> are specified in section 9 of </w:t>
      </w:r>
      <w:r w:rsidRPr="000C60E1">
        <w:rPr>
          <w:rFonts w:cs="Arial"/>
          <w:highlight w:val="white"/>
        </w:rPr>
        <w:t xml:space="preserve">Schedule C of the </w:t>
      </w:r>
      <w:r w:rsidRPr="000C60E1">
        <w:rPr>
          <w:rFonts w:cs="Arial"/>
        </w:rPr>
        <w:t>Regulation, specifically:</w:t>
      </w:r>
    </w:p>
    <w:p w14:paraId="71630541" w14:textId="77777777" w:rsidR="0028338C" w:rsidRPr="000C60E1" w:rsidRDefault="001C1D66" w:rsidP="00A47B50">
      <w:pPr>
        <w:numPr>
          <w:ilvl w:val="0"/>
          <w:numId w:val="22"/>
        </w:numPr>
        <w:shd w:val="clear" w:color="auto" w:fill="D9D9D9"/>
        <w:rPr>
          <w:rFonts w:cs="Arial"/>
        </w:rPr>
      </w:pPr>
      <w:r w:rsidRPr="000C60E1">
        <w:rPr>
          <w:rFonts w:cs="Arial"/>
        </w:rPr>
        <w:t>S</w:t>
      </w:r>
      <w:r w:rsidR="0028338C" w:rsidRPr="000C60E1">
        <w:rPr>
          <w:rFonts w:cs="Arial"/>
        </w:rPr>
        <w:t>ubsections 9 (4), (5) and (6) of Schedule C</w:t>
      </w:r>
    </w:p>
    <w:p w14:paraId="7ECD95EE" w14:textId="4597943D" w:rsidR="009F2D49" w:rsidRPr="000C60E1" w:rsidRDefault="00B736F9" w:rsidP="00840964">
      <w:pPr>
        <w:rPr>
          <w:rFonts w:cs="Arial"/>
        </w:rPr>
      </w:pPr>
      <w:r w:rsidRPr="000C60E1">
        <w:rPr>
          <w:rFonts w:cs="Arial"/>
        </w:rPr>
        <w:t>The development of property specific standards often involves the use of commercially available contaminant/media transport as well as various types of exposure scenario models. These models are considered proprietary when they are not available</w:t>
      </w:r>
      <w:r w:rsidR="00132EFA" w:rsidRPr="000C60E1">
        <w:rPr>
          <w:rFonts w:cs="Arial"/>
        </w:rPr>
        <w:t xml:space="preserve"> free of charge</w:t>
      </w:r>
      <w:r w:rsidRPr="000C60E1">
        <w:rPr>
          <w:rFonts w:cs="Arial"/>
        </w:rPr>
        <w:t xml:space="preserve"> in the public domain. </w:t>
      </w:r>
      <w:r w:rsidR="00C0010F" w:rsidRPr="000C60E1">
        <w:rPr>
          <w:rFonts w:cs="Arial"/>
        </w:rPr>
        <w:t>M</w:t>
      </w:r>
      <w:r w:rsidRPr="000C60E1">
        <w:rPr>
          <w:rFonts w:cs="Arial"/>
        </w:rPr>
        <w:t>any of these computerized models and their underpinning algorithms and assumptions have undergone extensive testing and verification</w:t>
      </w:r>
      <w:r w:rsidR="00C0010F" w:rsidRPr="000C60E1">
        <w:rPr>
          <w:rFonts w:cs="Arial"/>
        </w:rPr>
        <w:t>.</w:t>
      </w:r>
      <w:r w:rsidRPr="000C60E1">
        <w:rPr>
          <w:rFonts w:cs="Arial"/>
        </w:rPr>
        <w:t xml:space="preserve"> </w:t>
      </w:r>
      <w:r w:rsidR="00C0010F" w:rsidRPr="000C60E1">
        <w:rPr>
          <w:rFonts w:cs="Arial"/>
        </w:rPr>
        <w:t>O</w:t>
      </w:r>
      <w:r w:rsidRPr="000C60E1">
        <w:rPr>
          <w:rFonts w:cs="Arial"/>
        </w:rPr>
        <w:t>thers have been developed as an outcome of limited research studies and have not been widely used or validated under a variety of property conditions.</w:t>
      </w:r>
    </w:p>
    <w:p w14:paraId="2FFDCD76" w14:textId="57356A80" w:rsidR="00C5594D" w:rsidRPr="000C60E1" w:rsidRDefault="00246CDE" w:rsidP="00840964">
      <w:pPr>
        <w:rPr>
          <w:rFonts w:cs="Arial"/>
        </w:rPr>
      </w:pPr>
      <w:r w:rsidRPr="000C60E1">
        <w:rPr>
          <w:rFonts w:cs="Arial"/>
        </w:rPr>
        <w:t xml:space="preserve">The </w:t>
      </w:r>
      <w:r w:rsidR="00855A6A" w:rsidRPr="000C60E1">
        <w:rPr>
          <w:rFonts w:cs="Arial"/>
        </w:rPr>
        <w:t>R</w:t>
      </w:r>
      <w:r w:rsidRPr="000C60E1">
        <w:rPr>
          <w:rFonts w:cs="Arial"/>
        </w:rPr>
        <w:t xml:space="preserve">egulation provides for the use of proprietary models in the development of property specific standards provided they </w:t>
      </w:r>
      <w:r w:rsidR="00CC6A12" w:rsidRPr="000C60E1">
        <w:rPr>
          <w:rFonts w:cs="Arial"/>
        </w:rPr>
        <w:t xml:space="preserve">are provided to the Ministry for review to determine </w:t>
      </w:r>
      <w:r w:rsidRPr="000C60E1">
        <w:rPr>
          <w:rFonts w:cs="Arial"/>
        </w:rPr>
        <w:t xml:space="preserve">applicability </w:t>
      </w:r>
      <w:r w:rsidR="00CC6A12" w:rsidRPr="000C60E1">
        <w:rPr>
          <w:rFonts w:cs="Arial"/>
        </w:rPr>
        <w:t>with</w:t>
      </w:r>
      <w:r w:rsidRPr="000C60E1">
        <w:rPr>
          <w:rFonts w:cs="Arial"/>
        </w:rPr>
        <w:t xml:space="preserve"> the proposed conceptual site model. </w:t>
      </w:r>
      <w:r w:rsidR="00B736F9" w:rsidRPr="000C60E1">
        <w:rPr>
          <w:rFonts w:cs="Arial"/>
        </w:rPr>
        <w:t xml:space="preserve">When providing comment on the </w:t>
      </w:r>
      <w:r w:rsidR="00261340" w:rsidRPr="000C60E1">
        <w:rPr>
          <w:rFonts w:cs="Arial"/>
        </w:rPr>
        <w:t>PSF</w:t>
      </w:r>
      <w:r w:rsidR="00B736F9" w:rsidRPr="000C60E1">
        <w:rPr>
          <w:rFonts w:cs="Arial"/>
        </w:rPr>
        <w:t xml:space="preserve">, </w:t>
      </w:r>
      <w:r w:rsidR="00683E92" w:rsidRPr="000C60E1">
        <w:rPr>
          <w:rFonts w:cs="Arial"/>
        </w:rPr>
        <w:t xml:space="preserve">the </w:t>
      </w:r>
      <w:r w:rsidR="00575DA4" w:rsidRPr="000C60E1">
        <w:rPr>
          <w:rFonts w:cs="Arial"/>
        </w:rPr>
        <w:t>M</w:t>
      </w:r>
      <w:r w:rsidR="00683E92" w:rsidRPr="000C60E1">
        <w:rPr>
          <w:rFonts w:cs="Arial"/>
        </w:rPr>
        <w:t>inistry</w:t>
      </w:r>
      <w:r w:rsidR="00B736F9" w:rsidRPr="000C60E1">
        <w:rPr>
          <w:rFonts w:cs="Arial"/>
        </w:rPr>
        <w:t xml:space="preserve"> will identify if a proprietary model requires further review as part of a risk assessment.</w:t>
      </w:r>
      <w:r w:rsidRPr="000C60E1">
        <w:rPr>
          <w:rFonts w:cs="Arial"/>
        </w:rPr>
        <w:t xml:space="preserve"> </w:t>
      </w:r>
      <w:r w:rsidR="00132EFA" w:rsidRPr="000C60E1">
        <w:rPr>
          <w:rFonts w:cs="Arial"/>
        </w:rPr>
        <w:t xml:space="preserve">If the </w:t>
      </w:r>
      <w:r w:rsidR="00575DA4" w:rsidRPr="000C60E1">
        <w:rPr>
          <w:rFonts w:cs="Arial"/>
        </w:rPr>
        <w:t>M</w:t>
      </w:r>
      <w:r w:rsidR="002A6EE0" w:rsidRPr="000C60E1">
        <w:rPr>
          <w:rFonts w:cs="Arial"/>
        </w:rPr>
        <w:t>inistry</w:t>
      </w:r>
      <w:r w:rsidR="00132EFA" w:rsidRPr="000C60E1">
        <w:rPr>
          <w:rFonts w:cs="Arial"/>
        </w:rPr>
        <w:t xml:space="preserve"> has already accepted the use of the proprietary model for the conditions specified in the conceptual site model, </w:t>
      </w:r>
      <w:r w:rsidR="002D3D77" w:rsidRPr="000C60E1">
        <w:rPr>
          <w:rFonts w:cs="Arial"/>
        </w:rPr>
        <w:t xml:space="preserve">the </w:t>
      </w:r>
      <w:r w:rsidR="00575DA4" w:rsidRPr="000C60E1">
        <w:rPr>
          <w:rFonts w:cs="Arial"/>
        </w:rPr>
        <w:t>M</w:t>
      </w:r>
      <w:r w:rsidR="002A6EE0" w:rsidRPr="000C60E1">
        <w:rPr>
          <w:rFonts w:cs="Arial"/>
        </w:rPr>
        <w:t>inistry</w:t>
      </w:r>
      <w:r w:rsidR="008B5573" w:rsidRPr="000C60E1">
        <w:rPr>
          <w:rFonts w:cs="Arial"/>
        </w:rPr>
        <w:t xml:space="preserve"> </w:t>
      </w:r>
      <w:r w:rsidR="002D3D77" w:rsidRPr="000C60E1">
        <w:rPr>
          <w:rFonts w:cs="Arial"/>
        </w:rPr>
        <w:t>respons</w:t>
      </w:r>
      <w:r w:rsidR="008B5573" w:rsidRPr="000C60E1">
        <w:rPr>
          <w:rFonts w:cs="Arial"/>
        </w:rPr>
        <w:t>e to the PSF may advise that the 22 week review timeline will not be required.</w:t>
      </w:r>
      <w:r w:rsidR="00AE0005" w:rsidRPr="000C60E1">
        <w:rPr>
          <w:rFonts w:cs="Arial"/>
        </w:rPr>
        <w:t xml:space="preserve"> </w:t>
      </w:r>
      <w:r w:rsidRPr="000C60E1">
        <w:rPr>
          <w:rFonts w:cs="Arial"/>
        </w:rPr>
        <w:t xml:space="preserve">Requirements for use of proprietary models in the development of property specific standards </w:t>
      </w:r>
      <w:r w:rsidR="00132EFA" w:rsidRPr="000C60E1">
        <w:rPr>
          <w:rFonts w:cs="Arial"/>
        </w:rPr>
        <w:t>as part of a</w:t>
      </w:r>
      <w:r w:rsidR="00261340" w:rsidRPr="000C60E1">
        <w:rPr>
          <w:rFonts w:cs="Arial"/>
        </w:rPr>
        <w:t xml:space="preserve"> new science </w:t>
      </w:r>
      <w:r w:rsidR="00744536" w:rsidRPr="000C60E1">
        <w:rPr>
          <w:rFonts w:cs="Arial"/>
        </w:rPr>
        <w:t>risk assessment</w:t>
      </w:r>
      <w:r w:rsidR="00C5594D" w:rsidRPr="000C60E1">
        <w:rPr>
          <w:rFonts w:cs="Arial"/>
        </w:rPr>
        <w:t xml:space="preserve"> </w:t>
      </w:r>
      <w:r w:rsidRPr="000C60E1">
        <w:rPr>
          <w:rFonts w:cs="Arial"/>
        </w:rPr>
        <w:t xml:space="preserve">are specified in </w:t>
      </w:r>
      <w:r w:rsidR="00C5594D" w:rsidRPr="000C60E1">
        <w:rPr>
          <w:rFonts w:cs="Arial"/>
        </w:rPr>
        <w:t xml:space="preserve">section 9 of </w:t>
      </w:r>
      <w:r w:rsidR="00C820F7" w:rsidRPr="000C60E1">
        <w:rPr>
          <w:rFonts w:cs="Arial"/>
          <w:highlight w:val="white"/>
        </w:rPr>
        <w:t>Schedule C</w:t>
      </w:r>
      <w:r w:rsidR="00C5594D" w:rsidRPr="000C60E1">
        <w:rPr>
          <w:rFonts w:cs="Arial"/>
        </w:rPr>
        <w:t xml:space="preserve"> of the Regulation.</w:t>
      </w:r>
    </w:p>
    <w:p w14:paraId="36C00767" w14:textId="77777777" w:rsidR="00B736F9" w:rsidRPr="000C60E1" w:rsidRDefault="00500629" w:rsidP="00617CB5">
      <w:pPr>
        <w:rPr>
          <w:rFonts w:cs="Arial"/>
        </w:rPr>
      </w:pPr>
      <w:r w:rsidRPr="000C60E1">
        <w:rPr>
          <w:rFonts w:cs="Arial"/>
        </w:rPr>
        <w:t xml:space="preserve"> </w:t>
      </w:r>
      <w:r w:rsidR="00B736F9" w:rsidRPr="000C60E1">
        <w:rPr>
          <w:rFonts w:cs="Arial"/>
        </w:rPr>
        <w:t>The following information should be provide</w:t>
      </w:r>
      <w:r w:rsidR="00B736F9" w:rsidRPr="002A75F2">
        <w:rPr>
          <w:rFonts w:cs="Arial"/>
        </w:rPr>
        <w:t xml:space="preserve">d in the </w:t>
      </w:r>
      <w:r w:rsidR="001A3E32" w:rsidRPr="002A75F2">
        <w:rPr>
          <w:rFonts w:cs="Arial"/>
        </w:rPr>
        <w:t xml:space="preserve">PSF and </w:t>
      </w:r>
      <w:r w:rsidR="0041572E" w:rsidRPr="002A75F2">
        <w:rPr>
          <w:rFonts w:cs="Arial"/>
        </w:rPr>
        <w:t>RA</w:t>
      </w:r>
      <w:r w:rsidR="0041572E" w:rsidRPr="000C60E1">
        <w:rPr>
          <w:rFonts w:cs="Arial"/>
        </w:rPr>
        <w:t xml:space="preserve"> report</w:t>
      </w:r>
      <w:r w:rsidR="00B736F9" w:rsidRPr="000C60E1">
        <w:rPr>
          <w:rFonts w:cs="Arial"/>
        </w:rPr>
        <w:t xml:space="preserve"> to support the selection and use of proprietary models in </w:t>
      </w:r>
      <w:r w:rsidR="00B736F9" w:rsidRPr="000C60E1">
        <w:rPr>
          <w:rFonts w:cs="Arial"/>
          <w:highlight w:val="white"/>
        </w:rPr>
        <w:t>risk assessments</w:t>
      </w:r>
      <w:r w:rsidR="00B736F9" w:rsidRPr="000C60E1">
        <w:rPr>
          <w:rFonts w:cs="Arial"/>
        </w:rPr>
        <w:t xml:space="preserve"> submitted for review:</w:t>
      </w:r>
    </w:p>
    <w:p w14:paraId="7FE8C498" w14:textId="37438DB6" w:rsidR="00B736F9" w:rsidRPr="000C60E1" w:rsidRDefault="00B736F9" w:rsidP="000E72E5">
      <w:pPr>
        <w:pStyle w:val="ListBullet2"/>
        <w:rPr>
          <w:rFonts w:cs="Arial"/>
        </w:rPr>
      </w:pPr>
      <w:r w:rsidRPr="000C60E1">
        <w:rPr>
          <w:rFonts w:cs="Arial"/>
        </w:rPr>
        <w:lastRenderedPageBreak/>
        <w:t>An accurate description of the model (i.e. the computational approach to solving a question, not the computer program within which the model is found) and the version of the model (including date of release), as well as a description of any changes to customize the application. The description does not have to be a lengthy, detailed discussion; however, it should provide a clear and concise summary of what the model does, how it functions (the mathematical expressions incorporated in the model) and what its limitations are (i.e. when it is and is not appropriate to use the model).</w:t>
      </w:r>
    </w:p>
    <w:p w14:paraId="1FCAF4AE" w14:textId="35A05775" w:rsidR="00B736F9" w:rsidRPr="000C60E1" w:rsidRDefault="00B736F9" w:rsidP="000E72E5">
      <w:pPr>
        <w:pStyle w:val="ListBullet2"/>
        <w:rPr>
          <w:rFonts w:cs="Arial"/>
        </w:rPr>
      </w:pPr>
      <w:r w:rsidRPr="000C60E1">
        <w:rPr>
          <w:rFonts w:cs="Arial"/>
        </w:rPr>
        <w:t>A list of assumptions used in the development of the model and a discussion of the validity of the assumptions for the property (including the effect invalid assumptions will have on model results). This is an essential component in defining the sensitivity and uncertainty associated with the model.</w:t>
      </w:r>
    </w:p>
    <w:p w14:paraId="48197B9F" w14:textId="63480343" w:rsidR="00B736F9" w:rsidRPr="000C60E1" w:rsidRDefault="00B736F9" w:rsidP="000E72E5">
      <w:pPr>
        <w:pStyle w:val="ListBullet2"/>
        <w:rPr>
          <w:rFonts w:cs="Arial"/>
        </w:rPr>
      </w:pPr>
      <w:r w:rsidRPr="000C60E1">
        <w:rPr>
          <w:rFonts w:cs="Arial"/>
        </w:rPr>
        <w:t>A description of all input parameters, including default parameters, together with the respective units of measure. If all the necessary units and references are provided, a list of parameters in tabular form will suffice.</w:t>
      </w:r>
    </w:p>
    <w:p w14:paraId="14A85662" w14:textId="7896AE56" w:rsidR="00B736F9" w:rsidRPr="000C60E1" w:rsidRDefault="00B736F9" w:rsidP="000E72E5">
      <w:pPr>
        <w:pStyle w:val="ListBullet2"/>
        <w:rPr>
          <w:rFonts w:cs="Arial"/>
        </w:rPr>
      </w:pPr>
      <w:r w:rsidRPr="000C60E1">
        <w:rPr>
          <w:rFonts w:cs="Arial"/>
        </w:rPr>
        <w:t>A sensitivity analysis which maintains the parameters at set values while each one of the parameters is individually varied to include at least the low range and high range of possible values for that parameter</w:t>
      </w:r>
      <w:r w:rsidR="00E44EB0" w:rsidRPr="000C60E1">
        <w:rPr>
          <w:rFonts w:cs="Arial"/>
        </w:rPr>
        <w:t xml:space="preserve"> (i.e. one-at-a-time sensitivity analysis)</w:t>
      </w:r>
      <w:r w:rsidRPr="000C60E1">
        <w:rPr>
          <w:rFonts w:cs="Arial"/>
        </w:rPr>
        <w:t xml:space="preserve">. The input values and the results for the sensitivity analysis of each parameter should be reported. For models with large numbers of inputs, a detailed sensitivity analysis may be impractical. In this case, the </w:t>
      </w:r>
      <w:r w:rsidR="000767FF" w:rsidRPr="000C60E1">
        <w:rPr>
          <w:rFonts w:cs="Arial"/>
        </w:rPr>
        <w:t>QP</w:t>
      </w:r>
      <w:r w:rsidR="000767FF" w:rsidRPr="000C60E1">
        <w:rPr>
          <w:rFonts w:cs="Arial"/>
          <w:vertAlign w:val="subscript"/>
        </w:rPr>
        <w:t>RA</w:t>
      </w:r>
      <w:r w:rsidRPr="000C60E1">
        <w:rPr>
          <w:rFonts w:cs="Arial"/>
        </w:rPr>
        <w:t xml:space="preserve"> should provide an analysis of the various parameters that have been changed from default values, which includes a brief rationale relating these changes to conditions at or expected at the property, sensitivity of the model to these changes conducted as described above and the likely effect this will have in terms of uncertainty associated with the results and conclusions.</w:t>
      </w:r>
    </w:p>
    <w:p w14:paraId="1906BC5B" w14:textId="00694E56" w:rsidR="00B736F9" w:rsidRPr="000C60E1" w:rsidRDefault="00B736F9" w:rsidP="000E72E5">
      <w:pPr>
        <w:pStyle w:val="ListBullet2"/>
        <w:rPr>
          <w:rFonts w:cs="Arial"/>
        </w:rPr>
      </w:pPr>
      <w:r w:rsidRPr="000C60E1">
        <w:rPr>
          <w:rFonts w:cs="Arial"/>
        </w:rPr>
        <w:t>For hydrogeological exposure pathways (</w:t>
      </w:r>
      <w:r w:rsidR="008A792B" w:rsidRPr="000C60E1">
        <w:rPr>
          <w:rFonts w:cs="Arial"/>
        </w:rPr>
        <w:t xml:space="preserve">e.g. </w:t>
      </w:r>
      <w:r w:rsidRPr="000C60E1">
        <w:rPr>
          <w:rFonts w:cs="Arial"/>
        </w:rPr>
        <w:t xml:space="preserve">soil/groundwater to indoor air), a validation of the model output should be provided, where possible, by using field results at the property, if the field data are representative of the property. </w:t>
      </w:r>
      <w:r w:rsidR="00617CB5" w:rsidRPr="000C60E1">
        <w:rPr>
          <w:rFonts w:cs="Arial"/>
        </w:rPr>
        <w:t xml:space="preserve">Fate and transport models are frequently used to predict the likely current extent of contamination as well as to assess the </w:t>
      </w:r>
      <w:proofErr w:type="spellStart"/>
      <w:r w:rsidR="00617CB5" w:rsidRPr="000C60E1">
        <w:rPr>
          <w:rFonts w:cs="Arial"/>
        </w:rPr>
        <w:t>behaviour</w:t>
      </w:r>
      <w:proofErr w:type="spellEnd"/>
      <w:r w:rsidR="00617CB5" w:rsidRPr="000C60E1">
        <w:rPr>
          <w:rFonts w:cs="Arial"/>
        </w:rPr>
        <w:t xml:space="preserve"> of contaminants under potential future scenarios. When a fate/transport model is utilized in the </w:t>
      </w:r>
      <w:r w:rsidR="00744536" w:rsidRPr="000C60E1">
        <w:rPr>
          <w:rFonts w:cs="Arial"/>
        </w:rPr>
        <w:t>risk assessment</w:t>
      </w:r>
      <w:r w:rsidR="00617CB5" w:rsidRPr="000C60E1">
        <w:rPr>
          <w:rFonts w:cs="Arial"/>
        </w:rPr>
        <w:t xml:space="preserve"> to predict contaminant concentrations in soil or groundwater, the predicted concentrations should be verified through field sampling wherever possible. For </w:t>
      </w:r>
      <w:r w:rsidR="00E44EB0" w:rsidRPr="000C60E1">
        <w:rPr>
          <w:rFonts w:cs="Arial"/>
        </w:rPr>
        <w:t xml:space="preserve">example, when </w:t>
      </w:r>
      <w:r w:rsidR="00617CB5" w:rsidRPr="000C60E1">
        <w:rPr>
          <w:rFonts w:cs="Arial"/>
        </w:rPr>
        <w:t>mode</w:t>
      </w:r>
      <w:r w:rsidR="00C0010F" w:rsidRPr="000C60E1">
        <w:rPr>
          <w:rFonts w:cs="Arial"/>
        </w:rPr>
        <w:t>l</w:t>
      </w:r>
      <w:r w:rsidR="00617CB5" w:rsidRPr="000C60E1">
        <w:rPr>
          <w:rFonts w:cs="Arial"/>
        </w:rPr>
        <w:t>ling indoor air concentrations, field sampling of soil gas</w:t>
      </w:r>
      <w:r w:rsidR="00E44EB0" w:rsidRPr="000C60E1">
        <w:rPr>
          <w:rFonts w:cs="Arial"/>
        </w:rPr>
        <w:t>, sub-slab</w:t>
      </w:r>
      <w:r w:rsidR="00617CB5" w:rsidRPr="000C60E1">
        <w:rPr>
          <w:rFonts w:cs="Arial"/>
        </w:rPr>
        <w:t xml:space="preserve"> and indoor air may be warranted. </w:t>
      </w:r>
      <w:r w:rsidRPr="000C60E1">
        <w:rPr>
          <w:rFonts w:cs="Arial"/>
        </w:rPr>
        <w:t>It is recognized that there are factors that can contribute to indoor air quality that may not be related to COCs in the groundwater or soil.</w:t>
      </w:r>
    </w:p>
    <w:p w14:paraId="32749EDD" w14:textId="17ACFD61" w:rsidR="00B736F9" w:rsidRPr="000C60E1" w:rsidRDefault="00B736F9" w:rsidP="000E72E5">
      <w:pPr>
        <w:pStyle w:val="ListBullet2"/>
        <w:rPr>
          <w:rFonts w:cs="Arial"/>
        </w:rPr>
      </w:pPr>
      <w:r w:rsidRPr="000C60E1">
        <w:rPr>
          <w:rFonts w:cs="Arial"/>
        </w:rPr>
        <w:t xml:space="preserve">On request, provide the </w:t>
      </w:r>
      <w:r w:rsidR="00575DA4" w:rsidRPr="000C60E1">
        <w:rPr>
          <w:rFonts w:cs="Arial"/>
        </w:rPr>
        <w:t>M</w:t>
      </w:r>
      <w:r w:rsidR="002A6EE0" w:rsidRPr="000C60E1">
        <w:rPr>
          <w:rFonts w:cs="Arial"/>
        </w:rPr>
        <w:t>inistry</w:t>
      </w:r>
      <w:r w:rsidRPr="000C60E1">
        <w:rPr>
          <w:rFonts w:cs="Arial"/>
        </w:rPr>
        <w:t xml:space="preserve"> with information used to generate the proprietary model inputs, including but not limited to field measurements/parameters and clear references to assumptions. Some computer software use public domain models in a proprietary package or interface. If a copy is requested by the </w:t>
      </w:r>
      <w:r w:rsidR="00575DA4" w:rsidRPr="000C60E1">
        <w:rPr>
          <w:rFonts w:cs="Arial"/>
        </w:rPr>
        <w:t>M</w:t>
      </w:r>
      <w:r w:rsidR="002A6EE0" w:rsidRPr="000C60E1">
        <w:rPr>
          <w:rFonts w:cs="Arial"/>
        </w:rPr>
        <w:t>inistry</w:t>
      </w:r>
      <w:r w:rsidRPr="000C60E1">
        <w:rPr>
          <w:rFonts w:cs="Arial"/>
        </w:rPr>
        <w:t xml:space="preserve">, such software must be provided to the </w:t>
      </w:r>
      <w:r w:rsidR="00575DA4" w:rsidRPr="000C60E1">
        <w:rPr>
          <w:rFonts w:cs="Arial"/>
        </w:rPr>
        <w:t>M</w:t>
      </w:r>
      <w:r w:rsidR="002A6EE0" w:rsidRPr="000C60E1">
        <w:rPr>
          <w:rFonts w:cs="Arial"/>
        </w:rPr>
        <w:t>inistry</w:t>
      </w:r>
      <w:r w:rsidRPr="000C60E1">
        <w:rPr>
          <w:rFonts w:cs="Arial"/>
        </w:rPr>
        <w:t xml:space="preserve"> in a manner which will not breach any person’s copyright or other intellectual property right.</w:t>
      </w:r>
    </w:p>
    <w:p w14:paraId="3EFF59C7" w14:textId="77777777" w:rsidR="00E44EB0" w:rsidRPr="000C60E1" w:rsidRDefault="00B736F9" w:rsidP="00E44EB0">
      <w:pPr>
        <w:rPr>
          <w:rFonts w:cs="Arial"/>
        </w:rPr>
      </w:pPr>
      <w:r w:rsidRPr="000C60E1">
        <w:rPr>
          <w:rFonts w:cs="Arial"/>
        </w:rPr>
        <w:lastRenderedPageBreak/>
        <w:t>If proprietary models and any supporting documentation are considered confidential, such material should be clearly marked as confidential.</w:t>
      </w:r>
    </w:p>
    <w:p w14:paraId="65240ACC" w14:textId="2D194220" w:rsidR="00B736F9" w:rsidRPr="000C60E1" w:rsidRDefault="000773EE" w:rsidP="00DE496B">
      <w:pPr>
        <w:pStyle w:val="Heading3"/>
        <w:rPr>
          <w:rFonts w:cs="Arial"/>
        </w:rPr>
      </w:pPr>
      <w:bookmarkStart w:id="374" w:name="_Toc91393598"/>
      <w:bookmarkStart w:id="375" w:name="_Toc112727461"/>
      <w:bookmarkStart w:id="376" w:name="_Toc41905739"/>
      <w:r w:rsidRPr="000C60E1">
        <w:rPr>
          <w:rFonts w:cs="Arial"/>
        </w:rPr>
        <w:t xml:space="preserve">Use of </w:t>
      </w:r>
      <w:r w:rsidR="00B736F9" w:rsidRPr="000C60E1">
        <w:rPr>
          <w:rFonts w:cs="Arial"/>
        </w:rPr>
        <w:t>Probabilistic Models</w:t>
      </w:r>
      <w:bookmarkEnd w:id="374"/>
      <w:bookmarkEnd w:id="375"/>
      <w:bookmarkEnd w:id="376"/>
    </w:p>
    <w:p w14:paraId="32BF1657" w14:textId="032B13FE" w:rsidR="00C5594D" w:rsidRPr="000C60E1" w:rsidRDefault="00C5594D" w:rsidP="00C5594D">
      <w:pPr>
        <w:rPr>
          <w:rFonts w:cs="Arial"/>
        </w:rPr>
      </w:pPr>
      <w:r w:rsidRPr="000C60E1">
        <w:rPr>
          <w:rFonts w:cs="Arial"/>
        </w:rPr>
        <w:t xml:space="preserve">Requirements for use of </w:t>
      </w:r>
      <w:r w:rsidR="00EF5F93" w:rsidRPr="000C60E1">
        <w:rPr>
          <w:rFonts w:cs="Arial"/>
        </w:rPr>
        <w:t>probabilistic</w:t>
      </w:r>
      <w:r w:rsidR="0028338C" w:rsidRPr="000C60E1">
        <w:rPr>
          <w:rFonts w:cs="Arial"/>
        </w:rPr>
        <w:t xml:space="preserve"> </w:t>
      </w:r>
      <w:r w:rsidRPr="000C60E1">
        <w:rPr>
          <w:rFonts w:cs="Arial"/>
        </w:rPr>
        <w:t xml:space="preserve">models as part of a new science </w:t>
      </w:r>
      <w:r w:rsidR="00744536" w:rsidRPr="000C60E1">
        <w:rPr>
          <w:rFonts w:cs="Arial"/>
        </w:rPr>
        <w:t>risk assessment</w:t>
      </w:r>
      <w:r w:rsidRPr="000C60E1">
        <w:rPr>
          <w:rFonts w:cs="Arial"/>
        </w:rPr>
        <w:t xml:space="preserve"> are specified in section 9 of </w:t>
      </w:r>
      <w:r w:rsidRPr="000C60E1">
        <w:rPr>
          <w:rFonts w:cs="Arial"/>
          <w:highlight w:val="white"/>
        </w:rPr>
        <w:t xml:space="preserve">Schedule C of the </w:t>
      </w:r>
      <w:r w:rsidRPr="000C60E1">
        <w:rPr>
          <w:rFonts w:cs="Arial"/>
        </w:rPr>
        <w:t>Regulation, specifically:</w:t>
      </w:r>
    </w:p>
    <w:p w14:paraId="67C8E676" w14:textId="77777777" w:rsidR="00C5594D" w:rsidRPr="000C60E1" w:rsidRDefault="001C1D66" w:rsidP="00A47B50">
      <w:pPr>
        <w:numPr>
          <w:ilvl w:val="0"/>
          <w:numId w:val="22"/>
        </w:numPr>
        <w:shd w:val="clear" w:color="auto" w:fill="D9D9D9"/>
        <w:rPr>
          <w:rFonts w:cs="Arial"/>
        </w:rPr>
      </w:pPr>
      <w:r w:rsidRPr="000C60E1">
        <w:rPr>
          <w:rFonts w:cs="Arial"/>
        </w:rPr>
        <w:t>S</w:t>
      </w:r>
      <w:r w:rsidR="00C5594D" w:rsidRPr="000C60E1">
        <w:rPr>
          <w:rFonts w:cs="Arial"/>
        </w:rPr>
        <w:t>ubsections 9 (7) and (8) of Schedule C</w:t>
      </w:r>
    </w:p>
    <w:p w14:paraId="213E3B6C" w14:textId="6CCD390E" w:rsidR="00E310B0" w:rsidRPr="000C60E1" w:rsidRDefault="00B736F9" w:rsidP="00840964">
      <w:pPr>
        <w:rPr>
          <w:rFonts w:cs="Arial"/>
        </w:rPr>
      </w:pPr>
      <w:r w:rsidRPr="000C60E1">
        <w:rPr>
          <w:rFonts w:cs="Arial"/>
        </w:rPr>
        <w:t xml:space="preserve">Probabilistic </w:t>
      </w:r>
      <w:r w:rsidR="009459A8" w:rsidRPr="000C60E1">
        <w:rPr>
          <w:rFonts w:cs="Arial"/>
        </w:rPr>
        <w:t xml:space="preserve">or stochastic </w:t>
      </w:r>
      <w:r w:rsidRPr="000C60E1">
        <w:rPr>
          <w:rFonts w:cs="Arial"/>
        </w:rPr>
        <w:t>analy</w:t>
      </w:r>
      <w:r w:rsidR="009459A8" w:rsidRPr="000C60E1">
        <w:rPr>
          <w:rFonts w:cs="Arial"/>
        </w:rPr>
        <w:t>tical</w:t>
      </w:r>
      <w:r w:rsidRPr="000C60E1">
        <w:rPr>
          <w:rFonts w:cs="Arial"/>
        </w:rPr>
        <w:t xml:space="preserve"> methods, such as Monte Carlo</w:t>
      </w:r>
      <w:r w:rsidR="009459A8" w:rsidRPr="000C60E1">
        <w:rPr>
          <w:rFonts w:cs="Arial"/>
        </w:rPr>
        <w:t xml:space="preserve"> or Latin-Hypercube sampling</w:t>
      </w:r>
      <w:r w:rsidRPr="000C60E1">
        <w:rPr>
          <w:rFonts w:cs="Arial"/>
        </w:rPr>
        <w:t xml:space="preserve">, use probability density functions in the </w:t>
      </w:r>
      <w:r w:rsidR="00542C47" w:rsidRPr="000C60E1">
        <w:rPr>
          <w:rFonts w:cs="Arial"/>
        </w:rPr>
        <w:t xml:space="preserve">risk assessment and to support the </w:t>
      </w:r>
      <w:r w:rsidRPr="000C60E1">
        <w:rPr>
          <w:rFonts w:cs="Arial"/>
        </w:rPr>
        <w:t xml:space="preserve">development of property specific standards. These methods are useful in analyzing </w:t>
      </w:r>
      <w:r w:rsidR="009459A8" w:rsidRPr="000C60E1">
        <w:rPr>
          <w:rFonts w:cs="Arial"/>
        </w:rPr>
        <w:t xml:space="preserve">the </w:t>
      </w:r>
      <w:r w:rsidRPr="000C60E1">
        <w:rPr>
          <w:rFonts w:cs="Arial"/>
        </w:rPr>
        <w:t>variability</w:t>
      </w:r>
      <w:r w:rsidR="009459A8" w:rsidRPr="000C60E1">
        <w:rPr>
          <w:rFonts w:cs="Arial"/>
        </w:rPr>
        <w:t xml:space="preserve"> and uncertainty</w:t>
      </w:r>
      <w:r w:rsidRPr="000C60E1">
        <w:rPr>
          <w:rFonts w:cs="Arial"/>
        </w:rPr>
        <w:t xml:space="preserve"> in risk assessments, provided that the analysis is supported by adequate data and sufficient technical documentation.</w:t>
      </w:r>
    </w:p>
    <w:p w14:paraId="6B7A700E" w14:textId="48CCEBB3" w:rsidR="00301E31" w:rsidRPr="000C60E1" w:rsidRDefault="00246CDE" w:rsidP="00840964">
      <w:pPr>
        <w:rPr>
          <w:rFonts w:cs="Arial"/>
        </w:rPr>
      </w:pPr>
      <w:r w:rsidRPr="000C60E1">
        <w:rPr>
          <w:rFonts w:cs="Arial"/>
        </w:rPr>
        <w:t xml:space="preserve">The </w:t>
      </w:r>
      <w:r w:rsidR="00855A6A" w:rsidRPr="000C60E1">
        <w:rPr>
          <w:rFonts w:cs="Arial"/>
        </w:rPr>
        <w:t>R</w:t>
      </w:r>
      <w:r w:rsidRPr="000C60E1">
        <w:rPr>
          <w:rFonts w:cs="Arial"/>
        </w:rPr>
        <w:t xml:space="preserve">egulation provides for the use of probabilistic methods in </w:t>
      </w:r>
      <w:r w:rsidR="00E44EB0" w:rsidRPr="000C60E1">
        <w:rPr>
          <w:rFonts w:cs="Arial"/>
        </w:rPr>
        <w:t>risk assessment</w:t>
      </w:r>
      <w:r w:rsidR="00C0010F" w:rsidRPr="000C60E1">
        <w:rPr>
          <w:rFonts w:cs="Arial"/>
        </w:rPr>
        <w:t>.</w:t>
      </w:r>
      <w:r w:rsidRPr="000C60E1">
        <w:rPr>
          <w:rFonts w:cs="Arial"/>
        </w:rPr>
        <w:t xml:space="preserve"> </w:t>
      </w:r>
      <w:r w:rsidR="00C0010F" w:rsidRPr="000C60E1">
        <w:rPr>
          <w:rFonts w:cs="Arial"/>
        </w:rPr>
        <w:t>It requires, however,</w:t>
      </w:r>
      <w:r w:rsidRPr="000C60E1">
        <w:rPr>
          <w:rFonts w:cs="Arial"/>
        </w:rPr>
        <w:t xml:space="preserve"> that probability density functions are applied only to the exposure assessment components of the risk assessment</w:t>
      </w:r>
      <w:r w:rsidR="004D2FC1" w:rsidRPr="000C60E1">
        <w:rPr>
          <w:rFonts w:cs="Arial"/>
        </w:rPr>
        <w:t xml:space="preserve"> as specified in the </w:t>
      </w:r>
      <w:r w:rsidR="00855A6A" w:rsidRPr="000C60E1">
        <w:rPr>
          <w:rFonts w:cs="Arial"/>
        </w:rPr>
        <w:t>R</w:t>
      </w:r>
      <w:r w:rsidR="004D2FC1" w:rsidRPr="000C60E1">
        <w:rPr>
          <w:rFonts w:cs="Arial"/>
        </w:rPr>
        <w:t xml:space="preserve">egulation. Additional review time </w:t>
      </w:r>
      <w:r w:rsidR="00C0010F" w:rsidRPr="000C60E1">
        <w:rPr>
          <w:rFonts w:cs="Arial"/>
        </w:rPr>
        <w:t>may be</w:t>
      </w:r>
      <w:r w:rsidR="004D2FC1" w:rsidRPr="000C60E1">
        <w:rPr>
          <w:rFonts w:cs="Arial"/>
        </w:rPr>
        <w:t xml:space="preserve"> required for the </w:t>
      </w:r>
      <w:r w:rsidR="00575DA4" w:rsidRPr="000C60E1">
        <w:rPr>
          <w:rFonts w:cs="Arial"/>
        </w:rPr>
        <w:t>M</w:t>
      </w:r>
      <w:r w:rsidR="002A6EE0" w:rsidRPr="000C60E1">
        <w:rPr>
          <w:rFonts w:cs="Arial"/>
        </w:rPr>
        <w:t>inistry</w:t>
      </w:r>
      <w:r w:rsidR="004D2FC1" w:rsidRPr="000C60E1">
        <w:rPr>
          <w:rFonts w:cs="Arial"/>
        </w:rPr>
        <w:t xml:space="preserve"> to determine if</w:t>
      </w:r>
      <w:r w:rsidRPr="000C60E1">
        <w:rPr>
          <w:rFonts w:cs="Arial"/>
        </w:rPr>
        <w:t xml:space="preserve"> the use of the proposed probability density functions </w:t>
      </w:r>
      <w:r w:rsidR="004D2FC1" w:rsidRPr="000C60E1">
        <w:rPr>
          <w:rFonts w:cs="Arial"/>
        </w:rPr>
        <w:t xml:space="preserve">is appropriate </w:t>
      </w:r>
      <w:r w:rsidRPr="000C60E1">
        <w:rPr>
          <w:rFonts w:cs="Arial"/>
        </w:rPr>
        <w:t>in the context of the proposed conceptual site model.</w:t>
      </w:r>
      <w:r w:rsidR="00301E31" w:rsidRPr="000C60E1">
        <w:rPr>
          <w:rFonts w:cs="Arial"/>
        </w:rPr>
        <w:t xml:space="preserve"> If the </w:t>
      </w:r>
      <w:r w:rsidR="00575DA4" w:rsidRPr="000C60E1">
        <w:rPr>
          <w:rFonts w:cs="Arial"/>
        </w:rPr>
        <w:t>M</w:t>
      </w:r>
      <w:r w:rsidR="002A6EE0" w:rsidRPr="000C60E1">
        <w:rPr>
          <w:rFonts w:cs="Arial"/>
        </w:rPr>
        <w:t>inistry</w:t>
      </w:r>
      <w:r w:rsidR="00301E31" w:rsidRPr="000C60E1">
        <w:rPr>
          <w:rFonts w:cs="Arial"/>
        </w:rPr>
        <w:t xml:space="preserve"> has already accepted the proposed probabilistic approach for the conditions specified in the conceptual site model, the use of this approach </w:t>
      </w:r>
      <w:r w:rsidR="00C0010F" w:rsidRPr="000C60E1">
        <w:rPr>
          <w:rFonts w:cs="Arial"/>
        </w:rPr>
        <w:t>may</w:t>
      </w:r>
      <w:r w:rsidR="00301E31" w:rsidRPr="000C60E1">
        <w:rPr>
          <w:rFonts w:cs="Arial"/>
        </w:rPr>
        <w:t xml:space="preserve"> not require a </w:t>
      </w:r>
      <w:r w:rsidR="008B5573" w:rsidRPr="000C60E1">
        <w:rPr>
          <w:rFonts w:cs="Arial"/>
        </w:rPr>
        <w:t>22 week review timeline</w:t>
      </w:r>
      <w:r w:rsidR="00301E31" w:rsidRPr="000C60E1">
        <w:rPr>
          <w:rFonts w:cs="Arial"/>
        </w:rPr>
        <w:t>.</w:t>
      </w:r>
    </w:p>
    <w:p w14:paraId="5329B069" w14:textId="236EF63A" w:rsidR="00B736F9" w:rsidRPr="000C60E1" w:rsidRDefault="00B736F9" w:rsidP="00840964">
      <w:pPr>
        <w:rPr>
          <w:rFonts w:cs="Arial"/>
        </w:rPr>
      </w:pPr>
      <w:r w:rsidRPr="000C60E1">
        <w:rPr>
          <w:rFonts w:cs="Arial"/>
        </w:rPr>
        <w:t>Probabilistic analysis may or may not support risk management decisions during a risk assessment with respect to the remediation of contaminated properties. The use of probabilistic methods may not reduce the uncertainty inherent in</w:t>
      </w:r>
      <w:r w:rsidRPr="000C60E1">
        <w:rPr>
          <w:rFonts w:cs="Arial"/>
          <w:highlight w:val="white"/>
        </w:rPr>
        <w:t xml:space="preserve"> risk assessments</w:t>
      </w:r>
      <w:r w:rsidRPr="000C60E1">
        <w:rPr>
          <w:rFonts w:cs="Arial"/>
        </w:rPr>
        <w:t>. However, when properly conducted, the use of these methods can better illuminate the range of risk mitigation associated with various property management options.</w:t>
      </w:r>
    </w:p>
    <w:p w14:paraId="01619892" w14:textId="72E8DF04" w:rsidR="00B736F9" w:rsidRPr="000C60E1" w:rsidRDefault="00B736F9" w:rsidP="00840964">
      <w:pPr>
        <w:rPr>
          <w:rFonts w:cs="Arial"/>
        </w:rPr>
      </w:pPr>
      <w:r w:rsidRPr="000C60E1">
        <w:rPr>
          <w:rFonts w:cs="Arial"/>
        </w:rPr>
        <w:t>In the conduct of human health risk assessments, application of the probabilistic method should be restricted to the exposure assessment, as the application of stochastic methods to the dose-response analysis is not considered acceptable practice at this time. A probabilistic approach should be sufficiently supported by data and should add value to the assessment.</w:t>
      </w:r>
      <w:bookmarkStart w:id="377" w:name="_Toc74119432"/>
      <w:bookmarkStart w:id="378" w:name="_Toc74450908"/>
    </w:p>
    <w:p w14:paraId="1826C626" w14:textId="7ECB9722" w:rsidR="00B736F9" w:rsidRPr="000C60E1" w:rsidRDefault="00B736F9" w:rsidP="00FC6D21">
      <w:pPr>
        <w:pStyle w:val="Heading2"/>
        <w:rPr>
          <w:rFonts w:cs="Arial"/>
        </w:rPr>
      </w:pPr>
      <w:bookmarkStart w:id="379" w:name="_Toc91393599"/>
      <w:bookmarkStart w:id="380" w:name="_Toc112727462"/>
      <w:bookmarkStart w:id="381" w:name="_Toc41905740"/>
      <w:bookmarkEnd w:id="377"/>
      <w:bookmarkEnd w:id="378"/>
      <w:r w:rsidRPr="000C60E1">
        <w:rPr>
          <w:rFonts w:cs="Arial"/>
        </w:rPr>
        <w:t>Wider Area of Abatement Risk Assessment</w:t>
      </w:r>
      <w:bookmarkEnd w:id="379"/>
      <w:bookmarkEnd w:id="380"/>
      <w:bookmarkEnd w:id="381"/>
    </w:p>
    <w:p w14:paraId="228C609F" w14:textId="5E628EF0" w:rsidR="00E5412F" w:rsidRPr="000C60E1" w:rsidRDefault="00E5412F" w:rsidP="00840964">
      <w:pPr>
        <w:rPr>
          <w:rFonts w:cs="Arial"/>
        </w:rPr>
      </w:pPr>
      <w:r w:rsidRPr="000C60E1">
        <w:rPr>
          <w:rFonts w:cs="Arial"/>
        </w:rPr>
        <w:t>A</w:t>
      </w:r>
      <w:r w:rsidR="00B736F9" w:rsidRPr="000C60E1">
        <w:rPr>
          <w:rFonts w:cs="Arial"/>
        </w:rPr>
        <w:t xml:space="preserve"> risk assessment is considered a wider area of abatement </w:t>
      </w:r>
      <w:r w:rsidR="00744536" w:rsidRPr="000C60E1">
        <w:rPr>
          <w:rFonts w:cs="Arial"/>
        </w:rPr>
        <w:t>risk assessment</w:t>
      </w:r>
      <w:r w:rsidR="005C6E90" w:rsidRPr="000C60E1">
        <w:rPr>
          <w:rFonts w:cs="Arial"/>
        </w:rPr>
        <w:t xml:space="preserve"> </w:t>
      </w:r>
      <w:r w:rsidR="00B736F9" w:rsidRPr="000C60E1">
        <w:rPr>
          <w:rFonts w:cs="Arial"/>
        </w:rPr>
        <w:t xml:space="preserve">if the </w:t>
      </w:r>
      <w:r w:rsidR="00575DA4" w:rsidRPr="000C60E1">
        <w:rPr>
          <w:rFonts w:cs="Arial"/>
        </w:rPr>
        <w:t>M</w:t>
      </w:r>
      <w:r w:rsidR="002A6EE0" w:rsidRPr="000C60E1">
        <w:rPr>
          <w:rFonts w:cs="Arial"/>
        </w:rPr>
        <w:t>inistry</w:t>
      </w:r>
      <w:r w:rsidR="00B736F9" w:rsidRPr="000C60E1">
        <w:rPr>
          <w:rFonts w:cs="Arial"/>
        </w:rPr>
        <w:t>, upon review of the PSF</w:t>
      </w:r>
      <w:r w:rsidR="005014B5" w:rsidRPr="000C60E1">
        <w:rPr>
          <w:rFonts w:cs="Arial"/>
        </w:rPr>
        <w:t xml:space="preserve"> (or at any time during the review of the </w:t>
      </w:r>
      <w:r w:rsidR="00744536" w:rsidRPr="000C60E1">
        <w:rPr>
          <w:rFonts w:cs="Arial"/>
        </w:rPr>
        <w:t>risk assessment</w:t>
      </w:r>
      <w:r w:rsidR="005014B5" w:rsidRPr="000C60E1">
        <w:rPr>
          <w:rFonts w:cs="Arial"/>
        </w:rPr>
        <w:t>)</w:t>
      </w:r>
      <w:r w:rsidR="00B736F9" w:rsidRPr="000C60E1">
        <w:rPr>
          <w:rFonts w:cs="Arial"/>
        </w:rPr>
        <w:t xml:space="preserve">, identifies </w:t>
      </w:r>
      <w:r w:rsidRPr="000C60E1">
        <w:rPr>
          <w:rFonts w:cs="Arial"/>
        </w:rPr>
        <w:t xml:space="preserve">the RA </w:t>
      </w:r>
      <w:r w:rsidR="00B736F9" w:rsidRPr="000C60E1">
        <w:rPr>
          <w:rFonts w:cs="Arial"/>
        </w:rPr>
        <w:t xml:space="preserve">property as being located within a wider area of abatement based on off-site regional information and considering the potential for additional responsible parties and multiple affected parties. </w:t>
      </w:r>
      <w:r w:rsidRPr="000C60E1">
        <w:rPr>
          <w:rFonts w:cs="Arial"/>
        </w:rPr>
        <w:t xml:space="preserve">Requirements specific to wider area of abatement </w:t>
      </w:r>
      <w:r w:rsidR="0011332E">
        <w:rPr>
          <w:rFonts w:cs="Arial"/>
        </w:rPr>
        <w:t>risk assessments</w:t>
      </w:r>
      <w:r w:rsidRPr="000C60E1">
        <w:rPr>
          <w:rFonts w:cs="Arial"/>
        </w:rPr>
        <w:t xml:space="preserve"> are specified in the Regulation:</w:t>
      </w:r>
      <w:r w:rsidR="00964445" w:rsidRPr="000C60E1">
        <w:rPr>
          <w:rFonts w:cs="Arial"/>
        </w:rPr>
        <w:t xml:space="preserve"> </w:t>
      </w:r>
    </w:p>
    <w:p w14:paraId="7E63774E" w14:textId="77777777" w:rsidR="00E5412F" w:rsidRPr="000C60E1" w:rsidRDefault="001C1D66" w:rsidP="00A47B50">
      <w:pPr>
        <w:numPr>
          <w:ilvl w:val="0"/>
          <w:numId w:val="22"/>
        </w:numPr>
        <w:shd w:val="clear" w:color="auto" w:fill="D9D9D9"/>
        <w:rPr>
          <w:rFonts w:cs="Arial"/>
        </w:rPr>
      </w:pPr>
      <w:r w:rsidRPr="000C60E1">
        <w:rPr>
          <w:rFonts w:cs="Arial"/>
        </w:rPr>
        <w:t>Section</w:t>
      </w:r>
      <w:r w:rsidR="00E5412F" w:rsidRPr="000C60E1">
        <w:rPr>
          <w:rFonts w:cs="Arial"/>
        </w:rPr>
        <w:t xml:space="preserve"> 10 of Schedule C</w:t>
      </w:r>
    </w:p>
    <w:p w14:paraId="48E4F517" w14:textId="77777777" w:rsidR="00E5412F" w:rsidRPr="000C60E1" w:rsidRDefault="00E5412F" w:rsidP="00A47B50">
      <w:pPr>
        <w:numPr>
          <w:ilvl w:val="0"/>
          <w:numId w:val="22"/>
        </w:numPr>
        <w:shd w:val="clear" w:color="auto" w:fill="D9D9D9"/>
        <w:rPr>
          <w:rFonts w:cs="Arial"/>
        </w:rPr>
      </w:pPr>
      <w:r w:rsidRPr="000C60E1">
        <w:rPr>
          <w:rFonts w:cs="Arial"/>
        </w:rPr>
        <w:t>Table 1 of Schedule C (Public Communication Plan)</w:t>
      </w:r>
    </w:p>
    <w:p w14:paraId="129B5E6E" w14:textId="33591FF6" w:rsidR="00B736F9" w:rsidRPr="000C60E1" w:rsidRDefault="00964445" w:rsidP="00840964">
      <w:pPr>
        <w:rPr>
          <w:rFonts w:cs="Arial"/>
        </w:rPr>
      </w:pPr>
      <w:r w:rsidRPr="000C60E1">
        <w:rPr>
          <w:rFonts w:cs="Arial"/>
        </w:rPr>
        <w:t xml:space="preserve">These risk assessments may require additional time for the involvement of </w:t>
      </w:r>
      <w:r w:rsidR="00E216E8" w:rsidRPr="000C60E1">
        <w:rPr>
          <w:rFonts w:cs="Arial"/>
        </w:rPr>
        <w:t>D</w:t>
      </w:r>
      <w:r w:rsidRPr="000C60E1">
        <w:rPr>
          <w:rFonts w:cs="Arial"/>
        </w:rPr>
        <w:t xml:space="preserve">istrict staff in the risk assessment review and for adequate consultation with the community and other </w:t>
      </w:r>
      <w:r w:rsidRPr="000C60E1">
        <w:rPr>
          <w:rFonts w:cs="Arial"/>
        </w:rPr>
        <w:lastRenderedPageBreak/>
        <w:t>interested parties.</w:t>
      </w:r>
      <w:r w:rsidR="00E5412F" w:rsidRPr="000C60E1">
        <w:rPr>
          <w:rFonts w:cs="Arial"/>
        </w:rPr>
        <w:t xml:space="preserve"> For this reason, the Ministry review timeline for wider area of abatement </w:t>
      </w:r>
      <w:r w:rsidR="0011332E" w:rsidRPr="0011332E">
        <w:rPr>
          <w:rFonts w:cs="Arial"/>
        </w:rPr>
        <w:t xml:space="preserve">risk assessments </w:t>
      </w:r>
      <w:r w:rsidR="00E5412F" w:rsidRPr="000C60E1">
        <w:rPr>
          <w:rFonts w:cs="Arial"/>
        </w:rPr>
        <w:t>is 22 weeks.</w:t>
      </w:r>
    </w:p>
    <w:p w14:paraId="6D826B17" w14:textId="6B570223" w:rsidR="00C07316" w:rsidRPr="002A75F2" w:rsidRDefault="00C07316" w:rsidP="00C07316">
      <w:pPr>
        <w:rPr>
          <w:rFonts w:cs="Arial"/>
        </w:rPr>
      </w:pPr>
      <w:r w:rsidRPr="002A75F2">
        <w:rPr>
          <w:rFonts w:cs="Arial"/>
        </w:rPr>
        <w:t xml:space="preserve">The </w:t>
      </w:r>
      <w:r w:rsidR="00E5412F" w:rsidRPr="002A75F2">
        <w:rPr>
          <w:rFonts w:cs="Arial"/>
        </w:rPr>
        <w:t xml:space="preserve">property owner </w:t>
      </w:r>
      <w:r w:rsidRPr="002A75F2">
        <w:rPr>
          <w:rFonts w:cs="Arial"/>
        </w:rPr>
        <w:t>is encouraged to consider public communication as early in the site assessment and redevelopment process as possible</w:t>
      </w:r>
      <w:r w:rsidR="00542C47" w:rsidRPr="002A75F2">
        <w:rPr>
          <w:rFonts w:cs="Arial"/>
        </w:rPr>
        <w:t>, re</w:t>
      </w:r>
      <w:r w:rsidR="00575DA4" w:rsidRPr="002A75F2">
        <w:rPr>
          <w:rFonts w:cs="Arial"/>
        </w:rPr>
        <w:t>gardless of whether the M</w:t>
      </w:r>
      <w:r w:rsidR="00542C47" w:rsidRPr="002A75F2">
        <w:rPr>
          <w:rFonts w:cs="Arial"/>
        </w:rPr>
        <w:t xml:space="preserve">inistry designates the </w:t>
      </w:r>
      <w:r w:rsidR="00744536" w:rsidRPr="002A75F2">
        <w:rPr>
          <w:rFonts w:cs="Arial"/>
        </w:rPr>
        <w:t>risk assessment</w:t>
      </w:r>
      <w:r w:rsidR="00542C47" w:rsidRPr="002A75F2">
        <w:rPr>
          <w:rFonts w:cs="Arial"/>
        </w:rPr>
        <w:t xml:space="preserve"> as part of a wider area of abatement</w:t>
      </w:r>
      <w:r w:rsidRPr="002A75F2">
        <w:rPr>
          <w:rFonts w:cs="Arial"/>
        </w:rPr>
        <w:t xml:space="preserve">. </w:t>
      </w:r>
      <w:r w:rsidR="00C0010F" w:rsidRPr="002A75F2">
        <w:rPr>
          <w:rFonts w:cs="Arial"/>
        </w:rPr>
        <w:t>In many cases</w:t>
      </w:r>
      <w:r w:rsidRPr="002A75F2">
        <w:rPr>
          <w:rFonts w:cs="Arial"/>
        </w:rPr>
        <w:t xml:space="preserve"> the interest </w:t>
      </w:r>
      <w:r w:rsidR="00EF1481" w:rsidRPr="002A75F2">
        <w:rPr>
          <w:rFonts w:cs="Arial"/>
        </w:rPr>
        <w:t xml:space="preserve">of the local community beyond the immediate </w:t>
      </w:r>
      <w:proofErr w:type="spellStart"/>
      <w:r w:rsidR="00EF1481" w:rsidRPr="002A75F2">
        <w:rPr>
          <w:rFonts w:cs="Arial"/>
        </w:rPr>
        <w:t>neighbours</w:t>
      </w:r>
      <w:proofErr w:type="spellEnd"/>
      <w:r w:rsidR="00EF1481" w:rsidRPr="002A75F2">
        <w:rPr>
          <w:rFonts w:cs="Arial"/>
        </w:rPr>
        <w:t xml:space="preserve"> of the RA property</w:t>
      </w:r>
      <w:r w:rsidR="00826270" w:rsidRPr="002A75F2">
        <w:rPr>
          <w:rFonts w:cs="Arial"/>
        </w:rPr>
        <w:t xml:space="preserve"> </w:t>
      </w:r>
      <w:r w:rsidRPr="002A75F2">
        <w:rPr>
          <w:rFonts w:cs="Arial"/>
        </w:rPr>
        <w:t xml:space="preserve">is </w:t>
      </w:r>
      <w:r w:rsidR="003D3D62" w:rsidRPr="002A75F2">
        <w:rPr>
          <w:rFonts w:cs="Arial"/>
        </w:rPr>
        <w:t>a factor the Director will consider in deciding whether</w:t>
      </w:r>
      <w:r w:rsidR="00C0010F" w:rsidRPr="002A75F2">
        <w:rPr>
          <w:rFonts w:cs="Arial"/>
        </w:rPr>
        <w:t xml:space="preserve"> </w:t>
      </w:r>
      <w:r w:rsidRPr="002A75F2">
        <w:rPr>
          <w:rFonts w:cs="Arial"/>
        </w:rPr>
        <w:t>to accept a risk assessment</w:t>
      </w:r>
      <w:r w:rsidR="00C0010F" w:rsidRPr="002A75F2">
        <w:rPr>
          <w:rFonts w:cs="Arial"/>
        </w:rPr>
        <w:t>. T</w:t>
      </w:r>
      <w:r w:rsidRPr="002A75F2">
        <w:rPr>
          <w:rFonts w:cs="Arial"/>
        </w:rPr>
        <w:t xml:space="preserve">he </w:t>
      </w:r>
      <w:r w:rsidR="00575DA4" w:rsidRPr="002A75F2">
        <w:rPr>
          <w:rFonts w:cs="Arial"/>
        </w:rPr>
        <w:t>M</w:t>
      </w:r>
      <w:r w:rsidRPr="002A75F2">
        <w:rPr>
          <w:rFonts w:cs="Arial"/>
        </w:rPr>
        <w:t xml:space="preserve">inistry </w:t>
      </w:r>
      <w:r w:rsidR="00C42147" w:rsidRPr="002A75F2">
        <w:rPr>
          <w:rFonts w:cs="Arial"/>
        </w:rPr>
        <w:t>can</w:t>
      </w:r>
      <w:r w:rsidRPr="002A75F2">
        <w:rPr>
          <w:rFonts w:cs="Arial"/>
        </w:rPr>
        <w:t xml:space="preserve"> require the development and implementation of a public communication plan as part of the risk assessment process through identification of the property within a </w:t>
      </w:r>
      <w:r w:rsidR="004A211D" w:rsidRPr="002A75F2">
        <w:rPr>
          <w:rFonts w:cs="Arial"/>
        </w:rPr>
        <w:t>wider area of abatement</w:t>
      </w:r>
      <w:r w:rsidRPr="002A75F2">
        <w:rPr>
          <w:rFonts w:cs="Arial"/>
        </w:rPr>
        <w:t>.</w:t>
      </w:r>
    </w:p>
    <w:p w14:paraId="3F5335FC" w14:textId="03F9F8FF" w:rsidR="00933FE4" w:rsidRPr="002A75F2" w:rsidRDefault="00964445" w:rsidP="00933FE4">
      <w:pPr>
        <w:rPr>
          <w:rFonts w:cs="Arial"/>
        </w:rPr>
      </w:pPr>
      <w:r w:rsidRPr="002A75F2">
        <w:rPr>
          <w:rFonts w:cs="Arial"/>
        </w:rPr>
        <w:t xml:space="preserve">Ministry District staff will review the potential for a </w:t>
      </w:r>
      <w:r w:rsidR="005C6E90" w:rsidRPr="002A75F2">
        <w:rPr>
          <w:rFonts w:cs="Arial"/>
        </w:rPr>
        <w:t xml:space="preserve">property to be located within a </w:t>
      </w:r>
      <w:r w:rsidR="004A211D" w:rsidRPr="002A75F2">
        <w:rPr>
          <w:rFonts w:cs="Arial"/>
        </w:rPr>
        <w:t xml:space="preserve">wider area of abatement </w:t>
      </w:r>
      <w:r w:rsidRPr="002A75F2">
        <w:rPr>
          <w:rFonts w:cs="Arial"/>
        </w:rPr>
        <w:t xml:space="preserve">at the time of PSF submission, based on the property location and any previous history of </w:t>
      </w:r>
      <w:r w:rsidR="00575DA4" w:rsidRPr="002A75F2">
        <w:rPr>
          <w:rFonts w:cs="Arial"/>
        </w:rPr>
        <w:t>M</w:t>
      </w:r>
      <w:r w:rsidR="00683E92" w:rsidRPr="002A75F2">
        <w:rPr>
          <w:rFonts w:cs="Arial"/>
        </w:rPr>
        <w:t>inistry</w:t>
      </w:r>
      <w:r w:rsidRPr="002A75F2">
        <w:rPr>
          <w:rFonts w:cs="Arial"/>
        </w:rPr>
        <w:t xml:space="preserve"> orders</w:t>
      </w:r>
      <w:r w:rsidR="00CF25B1" w:rsidRPr="002A75F2">
        <w:rPr>
          <w:rFonts w:cs="Arial"/>
        </w:rPr>
        <w:t xml:space="preserve"> and involvement in the area</w:t>
      </w:r>
      <w:r w:rsidR="00C07316" w:rsidRPr="002A75F2">
        <w:rPr>
          <w:rFonts w:cs="Arial"/>
        </w:rPr>
        <w:t>,</w:t>
      </w:r>
      <w:r w:rsidR="00933FE4" w:rsidRPr="002A75F2">
        <w:rPr>
          <w:rFonts w:cs="Arial"/>
        </w:rPr>
        <w:t xml:space="preserve"> off-site regional information</w:t>
      </w:r>
      <w:r w:rsidR="00826270" w:rsidRPr="002A75F2">
        <w:rPr>
          <w:rFonts w:cs="Arial"/>
        </w:rPr>
        <w:t xml:space="preserve">, </w:t>
      </w:r>
      <w:r w:rsidR="00933FE4" w:rsidRPr="002A75F2">
        <w:rPr>
          <w:rFonts w:cs="Arial"/>
        </w:rPr>
        <w:t xml:space="preserve">other risk assessments undertaken </w:t>
      </w:r>
      <w:r w:rsidR="005643E3" w:rsidRPr="002A75F2">
        <w:rPr>
          <w:rFonts w:cs="Arial"/>
        </w:rPr>
        <w:t xml:space="preserve">in </w:t>
      </w:r>
      <w:r w:rsidR="00933FE4" w:rsidRPr="002A75F2">
        <w:rPr>
          <w:rFonts w:cs="Arial"/>
        </w:rPr>
        <w:t>the area</w:t>
      </w:r>
      <w:r w:rsidR="00826270" w:rsidRPr="002A75F2">
        <w:rPr>
          <w:rFonts w:cs="Arial"/>
        </w:rPr>
        <w:t xml:space="preserve"> and any other information deemed to be relevant by the Ministry</w:t>
      </w:r>
      <w:r w:rsidR="00C6117C" w:rsidRPr="002A75F2">
        <w:rPr>
          <w:rFonts w:cs="Arial"/>
        </w:rPr>
        <w:t>.</w:t>
      </w:r>
      <w:r w:rsidRPr="002A75F2">
        <w:rPr>
          <w:rFonts w:cs="Arial"/>
        </w:rPr>
        <w:t xml:space="preserve"> </w:t>
      </w:r>
      <w:r w:rsidR="00933FE4" w:rsidRPr="002A75F2">
        <w:rPr>
          <w:rFonts w:cs="Arial"/>
        </w:rPr>
        <w:t xml:space="preserve">Contamination issues that may potentially involve off-site receptors may require the involvement of a wider scope of stakeholders. </w:t>
      </w:r>
    </w:p>
    <w:p w14:paraId="764ADC49" w14:textId="290A8DB4" w:rsidR="00CF25B1" w:rsidRPr="002A75F2" w:rsidRDefault="00CF25B1" w:rsidP="00840964">
      <w:pPr>
        <w:rPr>
          <w:rFonts w:cs="Arial"/>
        </w:rPr>
      </w:pPr>
      <w:r w:rsidRPr="002A75F2">
        <w:rPr>
          <w:rFonts w:cs="Arial"/>
        </w:rPr>
        <w:t xml:space="preserve">If additional issues are identified at the time of reviewing the </w:t>
      </w:r>
      <w:r w:rsidR="0041572E" w:rsidRPr="002A75F2">
        <w:rPr>
          <w:rFonts w:cs="Arial"/>
        </w:rPr>
        <w:t>RA report</w:t>
      </w:r>
      <w:r w:rsidRPr="002A75F2">
        <w:rPr>
          <w:rFonts w:cs="Arial"/>
        </w:rPr>
        <w:t xml:space="preserve">, the </w:t>
      </w:r>
      <w:r w:rsidR="005C6E90" w:rsidRPr="002A75F2">
        <w:rPr>
          <w:rFonts w:cs="Arial"/>
        </w:rPr>
        <w:t>Director</w:t>
      </w:r>
      <w:r w:rsidRPr="002A75F2">
        <w:rPr>
          <w:rFonts w:cs="Arial"/>
        </w:rPr>
        <w:t xml:space="preserve"> </w:t>
      </w:r>
      <w:r w:rsidR="002C0748" w:rsidRPr="002A75F2">
        <w:rPr>
          <w:rFonts w:cs="Arial"/>
        </w:rPr>
        <w:t>also has the ability to</w:t>
      </w:r>
      <w:r w:rsidRPr="002A75F2">
        <w:rPr>
          <w:rFonts w:cs="Arial"/>
        </w:rPr>
        <w:t xml:space="preserve"> advise the property owner that the risk assessment</w:t>
      </w:r>
      <w:r w:rsidR="005C6E90" w:rsidRPr="002A75F2">
        <w:rPr>
          <w:rFonts w:cs="Arial"/>
        </w:rPr>
        <w:t xml:space="preserve"> is in a </w:t>
      </w:r>
      <w:r w:rsidR="004A211D" w:rsidRPr="002A75F2">
        <w:rPr>
          <w:rFonts w:cs="Arial"/>
        </w:rPr>
        <w:t xml:space="preserve">wider area of abatement </w:t>
      </w:r>
      <w:r w:rsidR="00744536" w:rsidRPr="002A75F2">
        <w:rPr>
          <w:rFonts w:cs="Arial"/>
        </w:rPr>
        <w:t>risk assessment</w:t>
      </w:r>
      <w:r w:rsidR="004A211D" w:rsidRPr="002A75F2">
        <w:rPr>
          <w:rFonts w:cs="Arial"/>
        </w:rPr>
        <w:t xml:space="preserve"> </w:t>
      </w:r>
      <w:r w:rsidRPr="002A75F2">
        <w:rPr>
          <w:rFonts w:cs="Arial"/>
        </w:rPr>
        <w:t>through a notice issued under subsection 46</w:t>
      </w:r>
      <w:r w:rsidR="00E5412F" w:rsidRPr="002A75F2">
        <w:rPr>
          <w:rFonts w:cs="Arial"/>
        </w:rPr>
        <w:t xml:space="preserve"> </w:t>
      </w:r>
      <w:r w:rsidRPr="002A75F2">
        <w:rPr>
          <w:rFonts w:cs="Arial"/>
        </w:rPr>
        <w:t xml:space="preserve">(2) of the </w:t>
      </w:r>
      <w:r w:rsidR="00855A6A" w:rsidRPr="002A75F2">
        <w:rPr>
          <w:rFonts w:cs="Arial"/>
        </w:rPr>
        <w:t>R</w:t>
      </w:r>
      <w:r w:rsidRPr="002A75F2">
        <w:rPr>
          <w:rFonts w:cs="Arial"/>
        </w:rPr>
        <w:t>egulation.</w:t>
      </w:r>
    </w:p>
    <w:p w14:paraId="30F1D142" w14:textId="27D200EA" w:rsidR="00B31231" w:rsidRPr="002A75F2" w:rsidRDefault="00272C74" w:rsidP="00B31231">
      <w:pPr>
        <w:rPr>
          <w:rFonts w:cs="Arial"/>
        </w:rPr>
      </w:pPr>
      <w:r w:rsidRPr="002A75F2">
        <w:rPr>
          <w:rFonts w:cs="Arial"/>
        </w:rPr>
        <w:t xml:space="preserve">Planning for public communication is a benefit to the proponent as it </w:t>
      </w:r>
      <w:r w:rsidR="00C42147" w:rsidRPr="002A75F2">
        <w:rPr>
          <w:rFonts w:cs="Arial"/>
        </w:rPr>
        <w:t>may</w:t>
      </w:r>
      <w:r w:rsidRPr="002A75F2">
        <w:rPr>
          <w:rFonts w:cs="Arial"/>
        </w:rPr>
        <w:t xml:space="preserve"> reduce the likelihood of delays </w:t>
      </w:r>
      <w:r w:rsidR="00826270" w:rsidRPr="002A75F2">
        <w:rPr>
          <w:rFonts w:cs="Arial"/>
        </w:rPr>
        <w:t>in the redevelopment process.</w:t>
      </w:r>
      <w:r w:rsidRPr="002A75F2">
        <w:rPr>
          <w:rFonts w:cs="Arial"/>
        </w:rPr>
        <w:t xml:space="preserve"> </w:t>
      </w:r>
      <w:r w:rsidR="00B31231" w:rsidRPr="002A75F2">
        <w:rPr>
          <w:rFonts w:cs="Arial"/>
        </w:rPr>
        <w:t>Public communication provides the proponent the opportunity to gain the support of key stakeholders by</w:t>
      </w:r>
      <w:r w:rsidR="005643E3" w:rsidRPr="002A75F2">
        <w:rPr>
          <w:rFonts w:cs="Arial"/>
        </w:rPr>
        <w:t>:</w:t>
      </w:r>
      <w:r w:rsidR="00B31231" w:rsidRPr="002A75F2">
        <w:rPr>
          <w:rFonts w:cs="Arial"/>
        </w:rPr>
        <w:t xml:space="preserve"> </w:t>
      </w:r>
    </w:p>
    <w:p w14:paraId="47F5AAD1" w14:textId="77777777" w:rsidR="00B31231" w:rsidRPr="002A75F2" w:rsidRDefault="00DB533E" w:rsidP="000E72E5">
      <w:pPr>
        <w:pStyle w:val="ListBullet2"/>
        <w:rPr>
          <w:rFonts w:cs="Arial"/>
        </w:rPr>
      </w:pPr>
      <w:r w:rsidRPr="002A75F2">
        <w:rPr>
          <w:rFonts w:cs="Arial"/>
        </w:rPr>
        <w:t>E</w:t>
      </w:r>
      <w:r w:rsidR="00B31231" w:rsidRPr="002A75F2">
        <w:rPr>
          <w:rFonts w:cs="Arial"/>
        </w:rPr>
        <w:t xml:space="preserve">nsuring the affected stakeholders understand the process for site assessment, </w:t>
      </w:r>
      <w:r w:rsidR="007E1EF0" w:rsidRPr="002A75F2">
        <w:rPr>
          <w:rFonts w:cs="Arial"/>
        </w:rPr>
        <w:t xml:space="preserve">risk assessment, </w:t>
      </w:r>
      <w:r w:rsidR="00B31231" w:rsidRPr="002A75F2">
        <w:rPr>
          <w:rFonts w:cs="Arial"/>
        </w:rPr>
        <w:t xml:space="preserve">redevelopment and </w:t>
      </w:r>
      <w:r w:rsidR="00575DA4" w:rsidRPr="002A75F2">
        <w:rPr>
          <w:rFonts w:cs="Arial"/>
        </w:rPr>
        <w:t>M</w:t>
      </w:r>
      <w:r w:rsidR="00B31231" w:rsidRPr="002A75F2">
        <w:rPr>
          <w:rFonts w:cs="Arial"/>
        </w:rPr>
        <w:t>inistry approval,</w:t>
      </w:r>
    </w:p>
    <w:p w14:paraId="36A6E599" w14:textId="77777777" w:rsidR="00B31231" w:rsidRPr="002A75F2" w:rsidRDefault="00DB533E" w:rsidP="000E72E5">
      <w:pPr>
        <w:pStyle w:val="ListBullet2"/>
        <w:rPr>
          <w:rFonts w:cs="Arial"/>
        </w:rPr>
      </w:pPr>
      <w:r w:rsidRPr="002A75F2">
        <w:rPr>
          <w:rFonts w:cs="Arial"/>
        </w:rPr>
        <w:t>P</w:t>
      </w:r>
      <w:r w:rsidR="00B31231" w:rsidRPr="002A75F2">
        <w:rPr>
          <w:rFonts w:cs="Arial"/>
        </w:rPr>
        <w:t>roviding an opportunity for engagement of the public with clear rules and expectations for process and timing and,</w:t>
      </w:r>
    </w:p>
    <w:p w14:paraId="3BC2F7F9" w14:textId="77777777" w:rsidR="00B31231" w:rsidRPr="002A75F2" w:rsidRDefault="00DB533E" w:rsidP="000E72E5">
      <w:pPr>
        <w:pStyle w:val="ListBullet2"/>
        <w:rPr>
          <w:rFonts w:cs="Arial"/>
        </w:rPr>
      </w:pPr>
      <w:r w:rsidRPr="002A75F2">
        <w:rPr>
          <w:rFonts w:cs="Arial"/>
        </w:rPr>
        <w:t>A</w:t>
      </w:r>
      <w:r w:rsidR="00B31231" w:rsidRPr="002A75F2">
        <w:rPr>
          <w:rFonts w:cs="Arial"/>
        </w:rPr>
        <w:t>ddressing stakeholder concerns</w:t>
      </w:r>
      <w:r w:rsidR="007D69CE" w:rsidRPr="002A75F2">
        <w:rPr>
          <w:rFonts w:cs="Arial"/>
        </w:rPr>
        <w:t xml:space="preserve">, if any, </w:t>
      </w:r>
      <w:r w:rsidR="00B31231" w:rsidRPr="002A75F2">
        <w:rPr>
          <w:rFonts w:cs="Arial"/>
        </w:rPr>
        <w:t>b</w:t>
      </w:r>
      <w:r w:rsidR="00BE0145" w:rsidRPr="002A75F2">
        <w:rPr>
          <w:rFonts w:cs="Arial"/>
        </w:rPr>
        <w:t xml:space="preserve">efore plans are </w:t>
      </w:r>
      <w:r w:rsidR="00FA1E00" w:rsidRPr="002A75F2">
        <w:rPr>
          <w:rFonts w:cs="Arial"/>
        </w:rPr>
        <w:t>finalized</w:t>
      </w:r>
      <w:r w:rsidR="00BE0145" w:rsidRPr="002A75F2">
        <w:rPr>
          <w:rFonts w:cs="Arial"/>
        </w:rPr>
        <w:t>.</w:t>
      </w:r>
    </w:p>
    <w:p w14:paraId="41AFD9AF" w14:textId="5D1A3575" w:rsidR="00B31231" w:rsidRPr="002A75F2" w:rsidRDefault="00B31231" w:rsidP="00B31231">
      <w:pPr>
        <w:rPr>
          <w:rFonts w:cs="Arial"/>
        </w:rPr>
      </w:pPr>
      <w:r w:rsidRPr="002A75F2">
        <w:rPr>
          <w:rFonts w:cs="Arial"/>
        </w:rPr>
        <w:t>Where multiple properties are affected, public communication may lead to negotiation of joint remedia</w:t>
      </w:r>
      <w:r w:rsidR="00B37D4F" w:rsidRPr="002A75F2">
        <w:rPr>
          <w:rFonts w:cs="Arial"/>
        </w:rPr>
        <w:t>tion activities</w:t>
      </w:r>
      <w:r w:rsidR="007D69CE" w:rsidRPr="002A75F2">
        <w:rPr>
          <w:rFonts w:cs="Arial"/>
        </w:rPr>
        <w:t xml:space="preserve"> at the RA property or in the area</w:t>
      </w:r>
      <w:r w:rsidR="00B37D4F" w:rsidRPr="002A75F2">
        <w:rPr>
          <w:rFonts w:cs="Arial"/>
        </w:rPr>
        <w:t>.</w:t>
      </w:r>
    </w:p>
    <w:p w14:paraId="123EDA54" w14:textId="3E79E647" w:rsidR="006002BB" w:rsidRPr="002A75F2" w:rsidRDefault="006002BB" w:rsidP="006002BB">
      <w:pPr>
        <w:rPr>
          <w:rFonts w:cs="Arial"/>
        </w:rPr>
      </w:pPr>
      <w:r w:rsidRPr="002A75F2">
        <w:rPr>
          <w:rFonts w:cs="Arial"/>
        </w:rPr>
        <w:t xml:space="preserve">Where the </w:t>
      </w:r>
      <w:r w:rsidR="00575DA4" w:rsidRPr="002A75F2">
        <w:rPr>
          <w:rFonts w:cs="Arial"/>
        </w:rPr>
        <w:t>M</w:t>
      </w:r>
      <w:r w:rsidR="002A6EE0" w:rsidRPr="002A75F2">
        <w:rPr>
          <w:rFonts w:cs="Arial"/>
        </w:rPr>
        <w:t>inistry</w:t>
      </w:r>
      <w:r w:rsidRPr="002A75F2">
        <w:rPr>
          <w:rFonts w:cs="Arial"/>
        </w:rPr>
        <w:t xml:space="preserve"> has identified the property to be within a </w:t>
      </w:r>
      <w:r w:rsidR="004A211D" w:rsidRPr="002A75F2">
        <w:rPr>
          <w:rFonts w:cs="Arial"/>
        </w:rPr>
        <w:t>wider area of abatement</w:t>
      </w:r>
      <w:r w:rsidRPr="002A75F2">
        <w:rPr>
          <w:rFonts w:cs="Arial"/>
        </w:rPr>
        <w:t xml:space="preserve">, public communication required by the </w:t>
      </w:r>
      <w:r w:rsidR="005643E3" w:rsidRPr="002A75F2">
        <w:rPr>
          <w:rFonts w:cs="Arial"/>
        </w:rPr>
        <w:t>R</w:t>
      </w:r>
      <w:r w:rsidRPr="002A75F2">
        <w:rPr>
          <w:rFonts w:cs="Arial"/>
        </w:rPr>
        <w:t xml:space="preserve">egulation should be at a level and of a type determined </w:t>
      </w:r>
      <w:r w:rsidR="00430E19" w:rsidRPr="002A75F2">
        <w:rPr>
          <w:rFonts w:cs="Arial"/>
        </w:rPr>
        <w:t>in</w:t>
      </w:r>
      <w:r w:rsidRPr="002A75F2">
        <w:rPr>
          <w:rFonts w:cs="Arial"/>
        </w:rPr>
        <w:t xml:space="preserve"> consultation with </w:t>
      </w:r>
      <w:r w:rsidR="00575DA4" w:rsidRPr="002A75F2">
        <w:rPr>
          <w:rFonts w:cs="Arial"/>
        </w:rPr>
        <w:t>M</w:t>
      </w:r>
      <w:r w:rsidR="002A6EE0" w:rsidRPr="002A75F2">
        <w:rPr>
          <w:rFonts w:cs="Arial"/>
        </w:rPr>
        <w:t>inistry</w:t>
      </w:r>
      <w:r w:rsidRPr="002A75F2">
        <w:rPr>
          <w:rFonts w:cs="Arial"/>
        </w:rPr>
        <w:t xml:space="preserve"> staff. Communication with District staff may begin before submission of the PSF and a proposed communication plan may be provided with the PSF for </w:t>
      </w:r>
      <w:r w:rsidR="00575DA4" w:rsidRPr="002A75F2">
        <w:rPr>
          <w:rFonts w:cs="Arial"/>
        </w:rPr>
        <w:t>M</w:t>
      </w:r>
      <w:r w:rsidR="002A6EE0" w:rsidRPr="002A75F2">
        <w:rPr>
          <w:rFonts w:cs="Arial"/>
        </w:rPr>
        <w:t>inistry</w:t>
      </w:r>
      <w:r w:rsidRPr="002A75F2">
        <w:rPr>
          <w:rFonts w:cs="Arial"/>
        </w:rPr>
        <w:t xml:space="preserve"> comment.</w:t>
      </w:r>
    </w:p>
    <w:p w14:paraId="104A947F" w14:textId="65840064" w:rsidR="006002BB" w:rsidRPr="002A75F2" w:rsidRDefault="006002BB" w:rsidP="006002BB">
      <w:pPr>
        <w:rPr>
          <w:rFonts w:cs="Arial"/>
        </w:rPr>
      </w:pPr>
      <w:r w:rsidRPr="002A75F2">
        <w:rPr>
          <w:rFonts w:cs="Arial"/>
        </w:rPr>
        <w:t xml:space="preserve">The </w:t>
      </w:r>
      <w:r w:rsidR="004A211D" w:rsidRPr="002A75F2">
        <w:rPr>
          <w:rFonts w:cs="Arial"/>
        </w:rPr>
        <w:t xml:space="preserve">wider area of abatement </w:t>
      </w:r>
      <w:r w:rsidRPr="002A75F2">
        <w:rPr>
          <w:rFonts w:cs="Arial"/>
        </w:rPr>
        <w:t xml:space="preserve">RA report must include documentation of the plan for communication with the </w:t>
      </w:r>
      <w:r w:rsidR="00575DA4" w:rsidRPr="002A75F2">
        <w:rPr>
          <w:rFonts w:cs="Arial"/>
        </w:rPr>
        <w:t>M</w:t>
      </w:r>
      <w:r w:rsidR="002A6EE0" w:rsidRPr="002A75F2">
        <w:rPr>
          <w:rFonts w:cs="Arial"/>
        </w:rPr>
        <w:t>inistry</w:t>
      </w:r>
      <w:r w:rsidRPr="002A75F2">
        <w:rPr>
          <w:rFonts w:cs="Arial"/>
        </w:rPr>
        <w:t xml:space="preserve"> and the public and the outcome of the communication plan as specified in the </w:t>
      </w:r>
      <w:r w:rsidR="00855A6A" w:rsidRPr="002A75F2">
        <w:rPr>
          <w:rFonts w:cs="Arial"/>
        </w:rPr>
        <w:t>R</w:t>
      </w:r>
      <w:r w:rsidRPr="002A75F2">
        <w:rPr>
          <w:rFonts w:cs="Arial"/>
        </w:rPr>
        <w:t xml:space="preserve">egulation. This </w:t>
      </w:r>
      <w:r w:rsidR="005643E3" w:rsidRPr="002A75F2">
        <w:rPr>
          <w:rFonts w:cs="Arial"/>
        </w:rPr>
        <w:t xml:space="preserve">must </w:t>
      </w:r>
      <w:r w:rsidRPr="002A75F2">
        <w:rPr>
          <w:rFonts w:cs="Arial"/>
        </w:rPr>
        <w:t>include a copy of any written public input.</w:t>
      </w:r>
    </w:p>
    <w:p w14:paraId="182F86A9" w14:textId="7A4F3FFE" w:rsidR="006002BB" w:rsidRPr="002A75F2" w:rsidRDefault="006002BB" w:rsidP="006002BB">
      <w:pPr>
        <w:rPr>
          <w:rFonts w:cs="Arial"/>
        </w:rPr>
      </w:pPr>
      <w:r w:rsidRPr="002A75F2">
        <w:rPr>
          <w:rFonts w:cs="Arial"/>
        </w:rPr>
        <w:t xml:space="preserve">Additional guidance </w:t>
      </w:r>
      <w:r w:rsidR="008E72B7" w:rsidRPr="002A75F2">
        <w:rPr>
          <w:rFonts w:cs="Arial"/>
        </w:rPr>
        <w:t xml:space="preserve">on public communication </w:t>
      </w:r>
      <w:r w:rsidRPr="002A75F2">
        <w:rPr>
          <w:rFonts w:cs="Arial"/>
        </w:rPr>
        <w:t>is provided in Section 2</w:t>
      </w:r>
      <w:r w:rsidR="008E72B7" w:rsidRPr="002A75F2">
        <w:rPr>
          <w:rFonts w:cs="Arial"/>
        </w:rPr>
        <w:t>.5</w:t>
      </w:r>
      <w:r w:rsidRPr="002A75F2">
        <w:rPr>
          <w:rFonts w:cs="Arial"/>
        </w:rPr>
        <w:t xml:space="preserve"> in this </w:t>
      </w:r>
      <w:r w:rsidR="00500629" w:rsidRPr="002A75F2">
        <w:rPr>
          <w:rFonts w:cs="Arial"/>
        </w:rPr>
        <w:t>P</w:t>
      </w:r>
      <w:r w:rsidRPr="002A75F2">
        <w:rPr>
          <w:rFonts w:cs="Arial"/>
        </w:rPr>
        <w:t>rocedure</w:t>
      </w:r>
      <w:r w:rsidR="00214E07" w:rsidRPr="002A75F2">
        <w:rPr>
          <w:rFonts w:cs="Arial"/>
        </w:rPr>
        <w:t>s</w:t>
      </w:r>
      <w:r w:rsidRPr="002A75F2">
        <w:rPr>
          <w:rFonts w:cs="Arial"/>
        </w:rPr>
        <w:t xml:space="preserve"> document.</w:t>
      </w:r>
    </w:p>
    <w:p w14:paraId="724DAF8C" w14:textId="77777777" w:rsidR="00B736F9" w:rsidRPr="002A75F2" w:rsidRDefault="00506501" w:rsidP="00FC6D21">
      <w:pPr>
        <w:pStyle w:val="Heading1"/>
      </w:pPr>
      <w:bookmarkStart w:id="382" w:name="_Toc74119434"/>
      <w:bookmarkStart w:id="383" w:name="_Toc74450910"/>
      <w:bookmarkStart w:id="384" w:name="_Toc79571594"/>
      <w:bookmarkStart w:id="385" w:name="_Toc91393600"/>
      <w:bookmarkStart w:id="386" w:name="_Toc112727463"/>
      <w:bookmarkStart w:id="387" w:name="_Toc41905741"/>
      <w:r w:rsidRPr="002A75F2">
        <w:lastRenderedPageBreak/>
        <w:t>Risk Assessment Submission a</w:t>
      </w:r>
      <w:r w:rsidR="00FC6D21" w:rsidRPr="002A75F2">
        <w:t>nd Review Process</w:t>
      </w:r>
      <w:bookmarkStart w:id="388" w:name="_Toc74119435"/>
      <w:bookmarkStart w:id="389" w:name="_Toc74450911"/>
      <w:bookmarkEnd w:id="382"/>
      <w:bookmarkEnd w:id="383"/>
      <w:bookmarkEnd w:id="384"/>
      <w:bookmarkEnd w:id="385"/>
      <w:bookmarkEnd w:id="386"/>
      <w:bookmarkEnd w:id="387"/>
    </w:p>
    <w:p w14:paraId="295489DE" w14:textId="31733787" w:rsidR="00B736F9" w:rsidRPr="002A75F2" w:rsidRDefault="00840964" w:rsidP="00FC6D21">
      <w:pPr>
        <w:pStyle w:val="Heading2"/>
        <w:rPr>
          <w:rFonts w:cs="Arial"/>
        </w:rPr>
      </w:pPr>
      <w:bookmarkStart w:id="390" w:name="_Review_Process"/>
      <w:bookmarkEnd w:id="390"/>
      <w:r w:rsidRPr="002A75F2">
        <w:rPr>
          <w:rFonts w:cs="Arial"/>
        </w:rPr>
        <w:t xml:space="preserve"> </w:t>
      </w:r>
      <w:bookmarkStart w:id="391" w:name="_Toc79571595"/>
      <w:bookmarkStart w:id="392" w:name="_Toc91393601"/>
      <w:bookmarkStart w:id="393" w:name="_Toc112727464"/>
      <w:bookmarkStart w:id="394" w:name="_Toc41905742"/>
      <w:r w:rsidR="004F26FA" w:rsidRPr="002A75F2">
        <w:rPr>
          <w:rFonts w:cs="Arial"/>
        </w:rPr>
        <w:t xml:space="preserve">Summary of </w:t>
      </w:r>
      <w:r w:rsidR="00E97AD4" w:rsidRPr="002A75F2">
        <w:rPr>
          <w:rFonts w:cs="Arial"/>
        </w:rPr>
        <w:t>Risk Assessment</w:t>
      </w:r>
      <w:r w:rsidR="00B736F9" w:rsidRPr="002A75F2">
        <w:rPr>
          <w:rFonts w:cs="Arial"/>
        </w:rPr>
        <w:t xml:space="preserve"> Process</w:t>
      </w:r>
      <w:bookmarkEnd w:id="388"/>
      <w:bookmarkEnd w:id="389"/>
      <w:bookmarkEnd w:id="391"/>
      <w:bookmarkEnd w:id="392"/>
      <w:bookmarkEnd w:id="393"/>
      <w:bookmarkEnd w:id="394"/>
    </w:p>
    <w:p w14:paraId="2B39D4CE" w14:textId="6C0DFE41" w:rsidR="004F26FA" w:rsidRPr="002A75F2" w:rsidRDefault="004F26FA" w:rsidP="004F26FA">
      <w:pPr>
        <w:rPr>
          <w:rFonts w:cs="Arial"/>
        </w:rPr>
      </w:pPr>
      <w:r w:rsidRPr="002A75F2">
        <w:rPr>
          <w:rFonts w:cs="Arial"/>
        </w:rPr>
        <w:t xml:space="preserve">In general, a simplified version of the </w:t>
      </w:r>
      <w:r w:rsidR="00744536" w:rsidRPr="002A75F2">
        <w:rPr>
          <w:rFonts w:cs="Arial"/>
        </w:rPr>
        <w:t>risk assessment</w:t>
      </w:r>
      <w:r w:rsidRPr="002A75F2">
        <w:rPr>
          <w:rFonts w:cs="Arial"/>
        </w:rPr>
        <w:t xml:space="preserve"> process under the Regulation can be summarized as follows: </w:t>
      </w:r>
    </w:p>
    <w:p w14:paraId="64A59D6E" w14:textId="77777777" w:rsidR="004F26FA" w:rsidRPr="002A75F2" w:rsidRDefault="004F26FA" w:rsidP="004F26FA">
      <w:pPr>
        <w:numPr>
          <w:ilvl w:val="0"/>
          <w:numId w:val="39"/>
        </w:numPr>
        <w:rPr>
          <w:rFonts w:cs="Arial"/>
        </w:rPr>
      </w:pPr>
      <w:r w:rsidRPr="002A75F2">
        <w:rPr>
          <w:rFonts w:cs="Arial"/>
        </w:rPr>
        <w:t>ESA phase one and phase two work is completed by QP</w:t>
      </w:r>
      <w:r w:rsidRPr="002A75F2">
        <w:rPr>
          <w:rFonts w:cs="Arial"/>
          <w:vertAlign w:val="subscript"/>
        </w:rPr>
        <w:t>ESA</w:t>
      </w:r>
      <w:r w:rsidRPr="002A75F2">
        <w:rPr>
          <w:rFonts w:cs="Arial"/>
        </w:rPr>
        <w:t>;</w:t>
      </w:r>
    </w:p>
    <w:p w14:paraId="40956073" w14:textId="4D56F114" w:rsidR="004F26FA" w:rsidRPr="002A75F2" w:rsidRDefault="004F26FA" w:rsidP="004F26FA">
      <w:pPr>
        <w:numPr>
          <w:ilvl w:val="0"/>
          <w:numId w:val="39"/>
        </w:numPr>
        <w:rPr>
          <w:rFonts w:cs="Arial"/>
        </w:rPr>
      </w:pPr>
      <w:r w:rsidRPr="002A75F2">
        <w:rPr>
          <w:rFonts w:cs="Arial"/>
        </w:rPr>
        <w:t>PSF is completed by the QP</w:t>
      </w:r>
      <w:r w:rsidRPr="002A75F2">
        <w:rPr>
          <w:rFonts w:cs="Arial"/>
          <w:vertAlign w:val="subscript"/>
        </w:rPr>
        <w:t>RA</w:t>
      </w:r>
      <w:r w:rsidRPr="002A75F2">
        <w:rPr>
          <w:rFonts w:cs="Arial"/>
        </w:rPr>
        <w:t xml:space="preserve"> and submitted to the Ministry. Note that for MGRAs, the PSF must be submitted to the Ministry at the same time as the MGRA report; </w:t>
      </w:r>
    </w:p>
    <w:p w14:paraId="3DA1ED4D" w14:textId="77777777" w:rsidR="004F26FA" w:rsidRPr="002A75F2" w:rsidRDefault="004F26FA" w:rsidP="004F26FA">
      <w:pPr>
        <w:numPr>
          <w:ilvl w:val="0"/>
          <w:numId w:val="39"/>
        </w:numPr>
        <w:rPr>
          <w:rFonts w:cs="Arial"/>
        </w:rPr>
      </w:pPr>
      <w:r w:rsidRPr="002A75F2">
        <w:rPr>
          <w:rFonts w:cs="Arial"/>
        </w:rPr>
        <w:t xml:space="preserve">Ministry provides feedback/comments on the ESA work and PSF; </w:t>
      </w:r>
    </w:p>
    <w:p w14:paraId="08196E6E" w14:textId="77777777" w:rsidR="004F26FA" w:rsidRPr="002A75F2" w:rsidRDefault="004F26FA" w:rsidP="004F26FA">
      <w:pPr>
        <w:numPr>
          <w:ilvl w:val="0"/>
          <w:numId w:val="39"/>
        </w:numPr>
        <w:rPr>
          <w:rFonts w:cs="Arial"/>
        </w:rPr>
      </w:pPr>
      <w:r w:rsidRPr="002A75F2">
        <w:rPr>
          <w:rFonts w:cs="Arial"/>
        </w:rPr>
        <w:t xml:space="preserve">RA report is completed and submitted to the Ministry; </w:t>
      </w:r>
    </w:p>
    <w:p w14:paraId="52AE2210" w14:textId="140FEAED" w:rsidR="004F26FA" w:rsidRPr="002A75F2" w:rsidRDefault="004F26FA" w:rsidP="004F26FA">
      <w:pPr>
        <w:numPr>
          <w:ilvl w:val="0"/>
          <w:numId w:val="39"/>
        </w:numPr>
        <w:rPr>
          <w:rFonts w:cs="Arial"/>
        </w:rPr>
      </w:pPr>
      <w:r w:rsidRPr="002A75F2">
        <w:rPr>
          <w:rFonts w:cs="Arial"/>
        </w:rPr>
        <w:t xml:space="preserve">Ministry reviews and </w:t>
      </w:r>
      <w:r w:rsidR="00430E19" w:rsidRPr="002A75F2">
        <w:rPr>
          <w:rFonts w:cs="Arial"/>
        </w:rPr>
        <w:t xml:space="preserve">Director decides </w:t>
      </w:r>
      <w:r w:rsidRPr="002A75F2">
        <w:rPr>
          <w:rFonts w:cs="Arial"/>
        </w:rPr>
        <w:t xml:space="preserve">whether to accept (if all requirements have been met) or to request for additional information/resubmission of the </w:t>
      </w:r>
      <w:r w:rsidR="00744536" w:rsidRPr="002A75F2">
        <w:rPr>
          <w:rFonts w:cs="Arial"/>
        </w:rPr>
        <w:t>risk assessment</w:t>
      </w:r>
      <w:r w:rsidRPr="002A75F2">
        <w:rPr>
          <w:rFonts w:cs="Arial"/>
        </w:rPr>
        <w:t xml:space="preserve"> (if requirements have not been met). Note that </w:t>
      </w:r>
      <w:r w:rsidR="00AF3C49" w:rsidRPr="002A75F2">
        <w:rPr>
          <w:rFonts w:cs="Arial"/>
        </w:rPr>
        <w:t xml:space="preserve">the </w:t>
      </w:r>
      <w:r w:rsidR="00401032" w:rsidRPr="002A75F2">
        <w:rPr>
          <w:rFonts w:cs="Arial"/>
        </w:rPr>
        <w:t>Ministry</w:t>
      </w:r>
      <w:r w:rsidR="00AF3C49" w:rsidRPr="002A75F2">
        <w:rPr>
          <w:rFonts w:cs="Arial"/>
        </w:rPr>
        <w:t xml:space="preserve"> review process is iterative and </w:t>
      </w:r>
      <w:r w:rsidR="00401032" w:rsidRPr="002A75F2">
        <w:rPr>
          <w:rFonts w:cs="Arial"/>
        </w:rPr>
        <w:t xml:space="preserve">that </w:t>
      </w:r>
      <w:r w:rsidRPr="002A75F2">
        <w:rPr>
          <w:rFonts w:cs="Arial"/>
        </w:rPr>
        <w:t>resubmission</w:t>
      </w:r>
      <w:r w:rsidR="00AF3C49" w:rsidRPr="002A75F2">
        <w:rPr>
          <w:rFonts w:cs="Arial"/>
        </w:rPr>
        <w:t xml:space="preserve">(s) of the </w:t>
      </w:r>
      <w:r w:rsidR="00744536" w:rsidRPr="002A75F2">
        <w:rPr>
          <w:rFonts w:cs="Arial"/>
        </w:rPr>
        <w:t>risk assessment</w:t>
      </w:r>
      <w:r w:rsidR="001A3E32" w:rsidRPr="002A75F2">
        <w:rPr>
          <w:rFonts w:cs="Arial"/>
        </w:rPr>
        <w:t xml:space="preserve"> </w:t>
      </w:r>
      <w:r w:rsidR="00AF3C49" w:rsidRPr="002A75F2">
        <w:rPr>
          <w:rFonts w:cs="Arial"/>
        </w:rPr>
        <w:t xml:space="preserve">may be required before </w:t>
      </w:r>
      <w:r w:rsidR="00D4507B" w:rsidRPr="002A75F2">
        <w:rPr>
          <w:rFonts w:cs="Arial"/>
        </w:rPr>
        <w:t xml:space="preserve">it can be accepted by </w:t>
      </w:r>
      <w:r w:rsidR="00AF3C49" w:rsidRPr="002A75F2">
        <w:rPr>
          <w:rFonts w:cs="Arial"/>
        </w:rPr>
        <w:t xml:space="preserve">the </w:t>
      </w:r>
      <w:r w:rsidR="00D336D3" w:rsidRPr="002A75F2">
        <w:rPr>
          <w:rFonts w:cs="Arial"/>
        </w:rPr>
        <w:t>Director</w:t>
      </w:r>
      <w:r w:rsidR="00AF3C49" w:rsidRPr="002A75F2">
        <w:rPr>
          <w:rFonts w:cs="Arial"/>
        </w:rPr>
        <w:t>.</w:t>
      </w:r>
      <w:r w:rsidRPr="002A75F2">
        <w:rPr>
          <w:rFonts w:cs="Arial"/>
        </w:rPr>
        <w:t xml:space="preserve"> </w:t>
      </w:r>
    </w:p>
    <w:p w14:paraId="7D5DB12D" w14:textId="02166D09" w:rsidR="004F26FA" w:rsidRPr="002A75F2" w:rsidRDefault="004F26FA" w:rsidP="004F26FA">
      <w:pPr>
        <w:rPr>
          <w:rFonts w:cs="Arial"/>
        </w:rPr>
      </w:pPr>
      <w:r w:rsidRPr="002A75F2">
        <w:rPr>
          <w:rFonts w:cs="Arial"/>
        </w:rPr>
        <w:t>Once a</w:t>
      </w:r>
      <w:r w:rsidR="00744536" w:rsidRPr="002A75F2">
        <w:rPr>
          <w:rFonts w:cs="Arial"/>
        </w:rPr>
        <w:t xml:space="preserve"> risk assessment </w:t>
      </w:r>
      <w:r w:rsidRPr="002A75F2">
        <w:rPr>
          <w:rFonts w:cs="Arial"/>
        </w:rPr>
        <w:t xml:space="preserve">has been accepted by the Ministry, a CPU may be issued by the </w:t>
      </w:r>
      <w:r w:rsidR="00D336D3" w:rsidRPr="002A75F2">
        <w:rPr>
          <w:rFonts w:cs="Arial"/>
        </w:rPr>
        <w:t>Director</w:t>
      </w:r>
      <w:r w:rsidRPr="002A75F2">
        <w:rPr>
          <w:rFonts w:cs="Arial"/>
        </w:rPr>
        <w:t>, if required (e.g. if risk management measures are required to support the property specific standards).</w:t>
      </w:r>
      <w:r w:rsidR="00AF3C49" w:rsidRPr="002A75F2">
        <w:rPr>
          <w:rFonts w:cs="Arial"/>
        </w:rPr>
        <w:t xml:space="preserve"> </w:t>
      </w:r>
      <w:r w:rsidRPr="002A75F2">
        <w:rPr>
          <w:rFonts w:cs="Arial"/>
        </w:rPr>
        <w:t>Property specific standards can then be used to</w:t>
      </w:r>
      <w:r w:rsidR="00D336D3" w:rsidRPr="002A75F2">
        <w:rPr>
          <w:rFonts w:cs="Arial"/>
        </w:rPr>
        <w:t xml:space="preserve"> submit an RSC for filing</w:t>
      </w:r>
      <w:r w:rsidRPr="002A75F2">
        <w:rPr>
          <w:rFonts w:cs="Arial"/>
        </w:rPr>
        <w:t>.</w:t>
      </w:r>
    </w:p>
    <w:p w14:paraId="0E6304BC" w14:textId="3AA7075A" w:rsidR="00741505" w:rsidRPr="002A75F2" w:rsidRDefault="00D336D3" w:rsidP="00741505">
      <w:pPr>
        <w:rPr>
          <w:rFonts w:cs="Arial"/>
        </w:rPr>
      </w:pPr>
      <w:r w:rsidRPr="002A75F2">
        <w:rPr>
          <w:rFonts w:cs="Arial"/>
        </w:rPr>
        <w:t xml:space="preserve">If </w:t>
      </w:r>
      <w:r w:rsidR="00741505" w:rsidRPr="002A75F2">
        <w:rPr>
          <w:rFonts w:cs="Arial"/>
        </w:rPr>
        <w:t xml:space="preserve">the risk assessment </w:t>
      </w:r>
      <w:r w:rsidRPr="002A75F2">
        <w:rPr>
          <w:rFonts w:cs="Arial"/>
        </w:rPr>
        <w:t xml:space="preserve">is accepted </w:t>
      </w:r>
      <w:r w:rsidR="00741505" w:rsidRPr="002A75F2">
        <w:rPr>
          <w:rFonts w:cs="Arial"/>
        </w:rPr>
        <w:t>by the Director</w:t>
      </w:r>
      <w:r w:rsidRPr="002A75F2">
        <w:rPr>
          <w:rFonts w:cs="Arial"/>
        </w:rPr>
        <w:t>,</w:t>
      </w:r>
      <w:r w:rsidR="00741505" w:rsidRPr="002A75F2">
        <w:rPr>
          <w:rFonts w:cs="Arial"/>
        </w:rPr>
        <w:t xml:space="preserve"> and if remediation is required to meet the property specific standards set out in the RA report, the owner of the RA property would retain the QP</w:t>
      </w:r>
      <w:r w:rsidR="00741505" w:rsidRPr="002A75F2">
        <w:rPr>
          <w:rFonts w:cs="Arial"/>
          <w:vertAlign w:val="subscript"/>
        </w:rPr>
        <w:t>ESA</w:t>
      </w:r>
      <w:r w:rsidR="00741505" w:rsidRPr="002A75F2">
        <w:rPr>
          <w:rFonts w:cs="Arial"/>
        </w:rPr>
        <w:t xml:space="preserve"> to undertake the remediation and/or verification sampling. Remediation activities must be completed in a manner consistent with the requirements of the Regulation and fully documented in the phase two ESA (including the </w:t>
      </w:r>
      <w:bookmarkStart w:id="395" w:name="_Hlk41048689"/>
      <w:r w:rsidR="00A149F1" w:rsidRPr="002A75F2">
        <w:rPr>
          <w:rFonts w:cs="Arial"/>
        </w:rPr>
        <w:t>phase two conceptual site model</w:t>
      </w:r>
      <w:bookmarkEnd w:id="395"/>
      <w:r w:rsidR="00741505" w:rsidRPr="002A75F2">
        <w:rPr>
          <w:rFonts w:cs="Arial"/>
        </w:rPr>
        <w:t>).</w:t>
      </w:r>
    </w:p>
    <w:p w14:paraId="07B95DAB" w14:textId="0BB88FB3" w:rsidR="00741505" w:rsidRPr="002A75F2" w:rsidRDefault="00741505" w:rsidP="00741505">
      <w:pPr>
        <w:rPr>
          <w:rFonts w:cs="Arial"/>
        </w:rPr>
      </w:pPr>
      <w:r w:rsidRPr="002A75F2">
        <w:rPr>
          <w:rFonts w:cs="Arial"/>
        </w:rPr>
        <w:t xml:space="preserve">If no further remediation is required, the phase two ESA (including the </w:t>
      </w:r>
      <w:r w:rsidR="00A149F1" w:rsidRPr="002A75F2">
        <w:rPr>
          <w:rFonts w:cs="Arial"/>
        </w:rPr>
        <w:t>phase two conceptual site model</w:t>
      </w:r>
      <w:r w:rsidRPr="002A75F2">
        <w:rPr>
          <w:rFonts w:cs="Arial"/>
        </w:rPr>
        <w:t>), together with the property specific standards included in the accepted RA report would serve as the basis for completion of a</w:t>
      </w:r>
      <w:r w:rsidR="00957636" w:rsidRPr="002A75F2">
        <w:rPr>
          <w:rFonts w:cs="Arial"/>
        </w:rPr>
        <w:t>n</w:t>
      </w:r>
      <w:r w:rsidRPr="002A75F2">
        <w:rPr>
          <w:rFonts w:cs="Arial"/>
        </w:rPr>
        <w:t xml:space="preserve"> </w:t>
      </w:r>
      <w:smartTag w:uri="urn:schemas-microsoft-com:office:smarttags" w:element="stockticker">
        <w:r w:rsidRPr="002A75F2">
          <w:rPr>
            <w:rFonts w:cs="Arial"/>
          </w:rPr>
          <w:t>RSC</w:t>
        </w:r>
      </w:smartTag>
      <w:r w:rsidRPr="002A75F2">
        <w:rPr>
          <w:rFonts w:cs="Arial"/>
        </w:rPr>
        <w:t xml:space="preserve">. The </w:t>
      </w:r>
      <w:smartTag w:uri="urn:schemas-microsoft-com:office:smarttags" w:element="stockticker">
        <w:r w:rsidRPr="002A75F2">
          <w:rPr>
            <w:rFonts w:cs="Arial"/>
          </w:rPr>
          <w:t>RSC</w:t>
        </w:r>
      </w:smartTag>
      <w:r w:rsidRPr="002A75F2">
        <w:rPr>
          <w:rFonts w:cs="Arial"/>
        </w:rPr>
        <w:t xml:space="preserve"> may then be submitted </w:t>
      </w:r>
      <w:r w:rsidR="00D336D3" w:rsidRPr="002A75F2">
        <w:rPr>
          <w:rFonts w:cs="Arial"/>
        </w:rPr>
        <w:t xml:space="preserve">to the Ministry </w:t>
      </w:r>
      <w:r w:rsidRPr="002A75F2">
        <w:rPr>
          <w:rFonts w:cs="Arial"/>
        </w:rPr>
        <w:t>for filing on the brownfields Environmental Site Registry.</w:t>
      </w:r>
    </w:p>
    <w:p w14:paraId="6D4B1387" w14:textId="642D33E5" w:rsidR="00741505" w:rsidRPr="002A75F2" w:rsidRDefault="00741505" w:rsidP="00741505">
      <w:pPr>
        <w:rPr>
          <w:rFonts w:cs="Arial"/>
        </w:rPr>
      </w:pPr>
      <w:r w:rsidRPr="002A75F2">
        <w:rPr>
          <w:rFonts w:cs="Arial"/>
        </w:rPr>
        <w:t xml:space="preserve">Note that the property owner may abandon the </w:t>
      </w:r>
      <w:r w:rsidR="00744536" w:rsidRPr="002A75F2">
        <w:rPr>
          <w:rFonts w:cs="Arial"/>
        </w:rPr>
        <w:t>risk assessment</w:t>
      </w:r>
      <w:r w:rsidRPr="002A75F2">
        <w:rPr>
          <w:rFonts w:cs="Arial"/>
        </w:rPr>
        <w:t xml:space="preserve"> process and remediate the property to the applicable generic site condition standard, at any time in the </w:t>
      </w:r>
      <w:r w:rsidR="00744536" w:rsidRPr="002A75F2">
        <w:rPr>
          <w:rFonts w:cs="Arial"/>
        </w:rPr>
        <w:t>risk assessment</w:t>
      </w:r>
      <w:r w:rsidRPr="002A75F2">
        <w:rPr>
          <w:rFonts w:cs="Arial"/>
        </w:rPr>
        <w:t xml:space="preserve"> </w:t>
      </w:r>
      <w:r w:rsidR="001F7F60" w:rsidRPr="002A75F2">
        <w:rPr>
          <w:rFonts w:cs="Arial"/>
        </w:rPr>
        <w:t>process</w:t>
      </w:r>
      <w:r w:rsidRPr="002A75F2">
        <w:rPr>
          <w:rFonts w:cs="Arial"/>
        </w:rPr>
        <w:t xml:space="preserve">. The owner may also choose not to remediate, provided they are not otherwise obligated to remediate, and abandon the RSC process altogether. In cases where the property owner elects to abandon the </w:t>
      </w:r>
      <w:r w:rsidR="00744536" w:rsidRPr="002A75F2">
        <w:rPr>
          <w:rFonts w:cs="Arial"/>
        </w:rPr>
        <w:t>risk assessment</w:t>
      </w:r>
      <w:r w:rsidRPr="002A75F2">
        <w:rPr>
          <w:rFonts w:cs="Arial"/>
        </w:rPr>
        <w:t xml:space="preserve">, the Ministry should be advised of this </w:t>
      </w:r>
      <w:r w:rsidR="001F7F60" w:rsidRPr="002A75F2">
        <w:rPr>
          <w:rFonts w:cs="Arial"/>
        </w:rPr>
        <w:t>decision</w:t>
      </w:r>
      <w:r w:rsidRPr="002A75F2">
        <w:rPr>
          <w:rFonts w:cs="Arial"/>
        </w:rPr>
        <w:t>.</w:t>
      </w:r>
    </w:p>
    <w:p w14:paraId="74391AE6" w14:textId="352CCD4E" w:rsidR="00741505" w:rsidRPr="000C60E1" w:rsidRDefault="00D000C8" w:rsidP="00741505">
      <w:pPr>
        <w:rPr>
          <w:rFonts w:cs="Arial"/>
        </w:rPr>
      </w:pPr>
      <w:r w:rsidRPr="002A75F2">
        <w:rPr>
          <w:rFonts w:cs="Arial"/>
        </w:rPr>
        <w:t xml:space="preserve">The </w:t>
      </w:r>
      <w:r w:rsidR="00013220" w:rsidRPr="002A75F2">
        <w:rPr>
          <w:rFonts w:cs="Arial"/>
        </w:rPr>
        <w:t xml:space="preserve">typical </w:t>
      </w:r>
      <w:r w:rsidR="00744536" w:rsidRPr="002A75F2">
        <w:rPr>
          <w:rFonts w:cs="Arial"/>
        </w:rPr>
        <w:t>risk assessment</w:t>
      </w:r>
      <w:r w:rsidRPr="002A75F2">
        <w:rPr>
          <w:rFonts w:cs="Arial"/>
        </w:rPr>
        <w:t xml:space="preserve"> submission and review process is summarized in Figure 10.1, included below. </w:t>
      </w:r>
      <w:r w:rsidR="00741505" w:rsidRPr="002A75F2">
        <w:rPr>
          <w:rFonts w:cs="Arial"/>
        </w:rPr>
        <w:t>For</w:t>
      </w:r>
      <w:r w:rsidR="00741505" w:rsidRPr="000C60E1">
        <w:rPr>
          <w:rFonts w:cs="Arial"/>
        </w:rPr>
        <w:t xml:space="preserve"> additional details regarding the RSC filing process and conducting phase two ESAs, property owners and QPs are referred to the following guidance Ministry document: </w:t>
      </w:r>
      <w:r w:rsidR="00741505" w:rsidRPr="000C60E1">
        <w:rPr>
          <w:rFonts w:cs="Arial"/>
          <w:highlight w:val="green"/>
        </w:rPr>
        <w:t>“Records of Site Condition - A Guide on Site Assessment, the Cleanup of Brownfield Sites and the Filing of Records of Site Condition”, dated xx 2020</w:t>
      </w:r>
      <w:r w:rsidR="00741505" w:rsidRPr="000C60E1">
        <w:rPr>
          <w:rFonts w:cs="Arial"/>
        </w:rPr>
        <w:t>.</w:t>
      </w:r>
    </w:p>
    <w:p w14:paraId="4DC9E94F" w14:textId="77777777" w:rsidR="00AD720C" w:rsidRPr="000C60E1" w:rsidRDefault="00AD720C" w:rsidP="00DF7397">
      <w:pPr>
        <w:rPr>
          <w:rFonts w:cs="Arial"/>
        </w:rPr>
      </w:pPr>
    </w:p>
    <w:p w14:paraId="56084A00" w14:textId="2BCADDC9" w:rsidR="00E30F42" w:rsidRPr="000C60E1" w:rsidRDefault="00B95ABF" w:rsidP="00840964">
      <w:pPr>
        <w:rPr>
          <w:rFonts w:cs="Arial"/>
        </w:rPr>
      </w:pPr>
      <w:r w:rsidRPr="000C60E1">
        <w:rPr>
          <w:rFonts w:cs="Arial"/>
          <w:noProof/>
        </w:rPr>
        <w:drawing>
          <wp:inline distT="0" distB="0" distL="0" distR="0" wp14:anchorId="6FFD7BD0" wp14:editId="03814E23">
            <wp:extent cx="6000750" cy="7051040"/>
            <wp:effectExtent l="0" t="0" r="0" b="0"/>
            <wp:docPr id="1" name="Picture 1" descr="Figure 10.1: Typical Risk Assessment Submission and Review Process. This figure is a flowchart which generally describes the typical risk assessment submission and review process, the different types of risk assessment submissions and possible Ministry decisions following the review of a given type of submission. The different submission types identified in the flowchart are the PSF, the Tier 2 RA and the Tier 3 RA. For Tier 2 and Tier 3 RAs, the review process is iterative, more than one review may be needed before the Ministry can accept the risk assessment. The Ministry's review and decision making process is also described in detail in the following section (Section 10.2) of this Procedur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7051040"/>
                    </a:xfrm>
                    <a:prstGeom prst="rect">
                      <a:avLst/>
                    </a:prstGeom>
                    <a:noFill/>
                    <a:ln>
                      <a:noFill/>
                    </a:ln>
                  </pic:spPr>
                </pic:pic>
              </a:graphicData>
            </a:graphic>
          </wp:inline>
        </w:drawing>
      </w:r>
    </w:p>
    <w:p w14:paraId="170BB4B9" w14:textId="789AC9AA" w:rsidR="00E30F42" w:rsidRPr="002A75F2" w:rsidRDefault="00F70B07" w:rsidP="00840964">
      <w:pPr>
        <w:rPr>
          <w:rFonts w:cs="Arial"/>
        </w:rPr>
      </w:pPr>
      <w:r w:rsidRPr="002A75F2">
        <w:rPr>
          <w:rFonts w:cs="Arial"/>
        </w:rPr>
        <w:t xml:space="preserve">Figure </w:t>
      </w:r>
      <w:r w:rsidR="00007661" w:rsidRPr="002A75F2">
        <w:rPr>
          <w:rFonts w:cs="Arial"/>
        </w:rPr>
        <w:t>10.</w:t>
      </w:r>
      <w:r w:rsidR="00E30F42" w:rsidRPr="002A75F2">
        <w:rPr>
          <w:rFonts w:cs="Arial"/>
        </w:rPr>
        <w:t>1</w:t>
      </w:r>
      <w:r w:rsidRPr="002A75F2">
        <w:rPr>
          <w:rFonts w:cs="Arial"/>
        </w:rPr>
        <w:tab/>
      </w:r>
      <w:r w:rsidR="00013220" w:rsidRPr="002A75F2">
        <w:rPr>
          <w:rFonts w:cs="Arial"/>
        </w:rPr>
        <w:t xml:space="preserve">Typical </w:t>
      </w:r>
      <w:r w:rsidRPr="002A75F2">
        <w:rPr>
          <w:rFonts w:cs="Arial"/>
        </w:rPr>
        <w:t>Risk Assessment Submission and Review Process</w:t>
      </w:r>
    </w:p>
    <w:p w14:paraId="04007813" w14:textId="5CDAFC52" w:rsidR="00E30F42" w:rsidRPr="002A75F2" w:rsidRDefault="00E30F42" w:rsidP="00E30F42">
      <w:pPr>
        <w:pStyle w:val="Heading2"/>
        <w:rPr>
          <w:rFonts w:cs="Arial"/>
        </w:rPr>
      </w:pPr>
      <w:bookmarkStart w:id="396" w:name="_Toc41905743"/>
      <w:r w:rsidRPr="002A75F2">
        <w:rPr>
          <w:rFonts w:cs="Arial"/>
        </w:rPr>
        <w:t>Ministry Review and Decision</w:t>
      </w:r>
      <w:r w:rsidR="00E97AD4" w:rsidRPr="002A75F2">
        <w:rPr>
          <w:rFonts w:cs="Arial"/>
        </w:rPr>
        <w:t xml:space="preserve"> Making</w:t>
      </w:r>
      <w:bookmarkEnd w:id="396"/>
    </w:p>
    <w:p w14:paraId="210B1B8A" w14:textId="12CCFF82" w:rsidR="00E30F42" w:rsidRPr="002A75F2" w:rsidRDefault="00E30F42" w:rsidP="000E72E5">
      <w:pPr>
        <w:pStyle w:val="ListBullet2"/>
        <w:numPr>
          <w:ilvl w:val="0"/>
          <w:numId w:val="0"/>
        </w:numPr>
        <w:rPr>
          <w:rFonts w:cs="Arial"/>
        </w:rPr>
      </w:pPr>
      <w:bookmarkStart w:id="397" w:name="_Toc74119436"/>
      <w:bookmarkStart w:id="398" w:name="_Toc74450912"/>
      <w:r w:rsidRPr="002A75F2">
        <w:rPr>
          <w:rFonts w:cs="Arial"/>
        </w:rPr>
        <w:lastRenderedPageBreak/>
        <w:t xml:space="preserve">Ministry requests for information or RA report revision during the </w:t>
      </w:r>
      <w:r w:rsidR="00744536" w:rsidRPr="002A75F2">
        <w:rPr>
          <w:rFonts w:cs="Arial"/>
        </w:rPr>
        <w:t>risk assessment</w:t>
      </w:r>
      <w:r w:rsidRPr="002A75F2">
        <w:rPr>
          <w:rFonts w:cs="Arial"/>
        </w:rPr>
        <w:t xml:space="preserve"> review </w:t>
      </w:r>
      <w:r w:rsidR="003A7366" w:rsidRPr="002A75F2">
        <w:rPr>
          <w:rFonts w:cs="Arial"/>
        </w:rPr>
        <w:t xml:space="preserve">process </w:t>
      </w:r>
      <w:r w:rsidRPr="002A75F2">
        <w:rPr>
          <w:rFonts w:cs="Arial"/>
        </w:rPr>
        <w:t>are discussed in further details below.</w:t>
      </w:r>
      <w:r w:rsidR="002A60E1" w:rsidRPr="002A75F2">
        <w:rPr>
          <w:rFonts w:cs="Arial"/>
        </w:rPr>
        <w:t xml:space="preserve"> </w:t>
      </w:r>
      <w:r w:rsidRPr="002A75F2">
        <w:rPr>
          <w:rFonts w:cs="Arial"/>
        </w:rPr>
        <w:t xml:space="preserve">Note that for Tier 3 </w:t>
      </w:r>
      <w:r w:rsidR="008131C5" w:rsidRPr="002A75F2">
        <w:rPr>
          <w:rFonts w:cs="Arial"/>
        </w:rPr>
        <w:t>risk assessment</w:t>
      </w:r>
      <w:r w:rsidRPr="002A75F2">
        <w:rPr>
          <w:rFonts w:cs="Arial"/>
        </w:rPr>
        <w:t xml:space="preserve">s, the RA report can only be submitted once Ministry comments on the PSF have been </w:t>
      </w:r>
      <w:r w:rsidR="004B2DF5" w:rsidRPr="002A75F2">
        <w:rPr>
          <w:rFonts w:cs="Arial"/>
        </w:rPr>
        <w:t xml:space="preserve">provided to </w:t>
      </w:r>
      <w:r w:rsidR="00AF3C49" w:rsidRPr="002A75F2">
        <w:rPr>
          <w:rFonts w:cs="Arial"/>
        </w:rPr>
        <w:t xml:space="preserve">the property owner and </w:t>
      </w:r>
      <w:r w:rsidR="004B2DF5" w:rsidRPr="002A75F2">
        <w:rPr>
          <w:rFonts w:cs="Arial"/>
        </w:rPr>
        <w:t>QP</w:t>
      </w:r>
      <w:r w:rsidR="004B2DF5" w:rsidRPr="002A75F2">
        <w:rPr>
          <w:rFonts w:cs="Arial"/>
          <w:vertAlign w:val="subscript"/>
        </w:rPr>
        <w:t>RA</w:t>
      </w:r>
      <w:r w:rsidRPr="002A75F2">
        <w:rPr>
          <w:rFonts w:cs="Arial"/>
        </w:rPr>
        <w:t>.</w:t>
      </w:r>
    </w:p>
    <w:p w14:paraId="422C3E2C" w14:textId="77777777" w:rsidR="00E30F42" w:rsidRPr="002A75F2" w:rsidRDefault="00E30F42" w:rsidP="00DE496B">
      <w:pPr>
        <w:pStyle w:val="Heading3"/>
        <w:rPr>
          <w:rFonts w:cs="Arial"/>
        </w:rPr>
      </w:pPr>
      <w:bookmarkStart w:id="399" w:name="_Toc41905744"/>
      <w:r w:rsidRPr="002A75F2">
        <w:rPr>
          <w:rFonts w:cs="Arial"/>
        </w:rPr>
        <w:t>Notice of Circumstance</w:t>
      </w:r>
      <w:bookmarkEnd w:id="399"/>
    </w:p>
    <w:p w14:paraId="3659EAF0" w14:textId="7725198A" w:rsidR="00E30F42" w:rsidRPr="002A75F2" w:rsidRDefault="00E30F42" w:rsidP="00E30F42">
      <w:pPr>
        <w:rPr>
          <w:rFonts w:cs="Arial"/>
        </w:rPr>
      </w:pPr>
      <w:r w:rsidRPr="002A75F2">
        <w:rPr>
          <w:rFonts w:cs="Arial"/>
        </w:rPr>
        <w:t>On receiving the completed RA report, the Ministry will review the risk assessment. The time prescribed by the Regulation for the risk assessment review will not begin until all the risk assessment components listed in the Regulation have been received by the Director (i.e. RA report is considered complete).</w:t>
      </w:r>
    </w:p>
    <w:p w14:paraId="3296C192" w14:textId="0D802367" w:rsidR="00E30F42" w:rsidRPr="002A75F2" w:rsidRDefault="00E30F42" w:rsidP="00E30F42">
      <w:pPr>
        <w:rPr>
          <w:rFonts w:cs="Arial"/>
        </w:rPr>
      </w:pPr>
      <w:r w:rsidRPr="002A75F2">
        <w:rPr>
          <w:rFonts w:cs="Arial"/>
        </w:rPr>
        <w:t>The Ministry will advise the QP</w:t>
      </w:r>
      <w:r w:rsidRPr="002A75F2">
        <w:rPr>
          <w:rFonts w:cs="Arial"/>
          <w:vertAlign w:val="subscript"/>
        </w:rPr>
        <w:t>RA</w:t>
      </w:r>
      <w:r w:rsidRPr="002A75F2">
        <w:rPr>
          <w:rFonts w:cs="Arial"/>
        </w:rPr>
        <w:t xml:space="preserve"> and property owner as early as possible in the review process if either additional information or a full revision is needed </w:t>
      </w:r>
      <w:r w:rsidR="003A7366" w:rsidRPr="002A75F2">
        <w:rPr>
          <w:rFonts w:cs="Arial"/>
        </w:rPr>
        <w:t xml:space="preserve">before the Director makes a decision. </w:t>
      </w:r>
      <w:r w:rsidRPr="002A75F2">
        <w:rPr>
          <w:rFonts w:cs="Arial"/>
        </w:rPr>
        <w:t>The type of request (i.e. additional information or full revision) will have an impact on the time required for Ministry review. Provisions for the Ministry to request additional information and revisions to the RA report are set out in the Regulation:</w:t>
      </w:r>
    </w:p>
    <w:p w14:paraId="5C8CC359" w14:textId="77777777" w:rsidR="00E30F42" w:rsidRPr="002A75F2" w:rsidRDefault="00E30F42" w:rsidP="00E30F42">
      <w:pPr>
        <w:numPr>
          <w:ilvl w:val="0"/>
          <w:numId w:val="22"/>
        </w:numPr>
        <w:shd w:val="clear" w:color="auto" w:fill="D9D9D9"/>
        <w:rPr>
          <w:rFonts w:cs="Arial"/>
        </w:rPr>
      </w:pPr>
      <w:r w:rsidRPr="002A75F2">
        <w:rPr>
          <w:rFonts w:cs="Arial"/>
        </w:rPr>
        <w:t>Section 46 of the Regulation (Time to respond to risk assessment)</w:t>
      </w:r>
    </w:p>
    <w:p w14:paraId="1F2F07D9" w14:textId="07DADFD1" w:rsidR="00E30F42" w:rsidRPr="002A75F2" w:rsidRDefault="00E30F42" w:rsidP="00E30F42">
      <w:pPr>
        <w:rPr>
          <w:rFonts w:cs="Arial"/>
        </w:rPr>
      </w:pPr>
      <w:r w:rsidRPr="002A75F2">
        <w:rPr>
          <w:rFonts w:cs="Arial"/>
        </w:rPr>
        <w:t xml:space="preserve">At the Director’s discretion, proponents will have the opportunity to provide the requested information (addendum) </w:t>
      </w:r>
      <w:r w:rsidR="003A7366" w:rsidRPr="002A75F2">
        <w:rPr>
          <w:rFonts w:cs="Arial"/>
        </w:rPr>
        <w:t xml:space="preserve">within a certain time period </w:t>
      </w:r>
      <w:r w:rsidRPr="002A75F2">
        <w:rPr>
          <w:rFonts w:cs="Arial"/>
        </w:rPr>
        <w:t>or revise and resubmit the entire report. The Director will advise the QP</w:t>
      </w:r>
      <w:r w:rsidRPr="002A75F2">
        <w:rPr>
          <w:rFonts w:cs="Arial"/>
          <w:vertAlign w:val="subscript"/>
        </w:rPr>
        <w:t>RA</w:t>
      </w:r>
      <w:r w:rsidRPr="002A75F2">
        <w:rPr>
          <w:rFonts w:cs="Arial"/>
        </w:rPr>
        <w:t xml:space="preserve"> and property owner of the request to provide additional information (addendum) or to revise and resubmit the report by way of a notice (i.e. Director’s Notice of Circumstance).</w:t>
      </w:r>
    </w:p>
    <w:p w14:paraId="6A4CD37D" w14:textId="4FFA2517" w:rsidR="00E30F42" w:rsidRPr="002A75F2" w:rsidRDefault="00E30F42" w:rsidP="00E30F42">
      <w:pPr>
        <w:rPr>
          <w:rFonts w:cs="Arial"/>
        </w:rPr>
      </w:pPr>
      <w:r w:rsidRPr="002A75F2">
        <w:rPr>
          <w:rFonts w:cs="Arial"/>
        </w:rPr>
        <w:t>Alternatively, the property owner may choose to withdraw the submission at any time. Failure to respond to the Director’s notice to provide the requested revision (i.e. Director’s Notice of Circumstance) may prevent the risk assessment from being accepted by the Director.</w:t>
      </w:r>
    </w:p>
    <w:p w14:paraId="205A6370" w14:textId="77777777" w:rsidR="00E30F42" w:rsidRPr="002A75F2" w:rsidRDefault="00E30F42" w:rsidP="00DE496B">
      <w:pPr>
        <w:pStyle w:val="Heading3"/>
        <w:rPr>
          <w:rFonts w:cs="Arial"/>
        </w:rPr>
      </w:pPr>
      <w:bookmarkStart w:id="400" w:name="_Toc41905745"/>
      <w:r w:rsidRPr="002A75F2">
        <w:rPr>
          <w:rFonts w:cs="Arial"/>
        </w:rPr>
        <w:t xml:space="preserve">Decision to “Accept” or “Not Accept” the </w:t>
      </w:r>
      <w:r w:rsidR="00E80496" w:rsidRPr="002A75F2">
        <w:rPr>
          <w:rFonts w:cs="Arial"/>
        </w:rPr>
        <w:t>Risk Assessment</w:t>
      </w:r>
      <w:bookmarkEnd w:id="400"/>
    </w:p>
    <w:p w14:paraId="46A59149" w14:textId="77777777" w:rsidR="003A7366" w:rsidRPr="002A75F2" w:rsidRDefault="00E30F42" w:rsidP="00E30F42">
      <w:pPr>
        <w:rPr>
          <w:rFonts w:cs="Arial"/>
        </w:rPr>
      </w:pPr>
      <w:r w:rsidRPr="002A75F2">
        <w:rPr>
          <w:rFonts w:cs="Arial"/>
        </w:rPr>
        <w:t xml:space="preserve">Under the EPA, </w:t>
      </w:r>
      <w:r w:rsidR="003A7366" w:rsidRPr="002A75F2">
        <w:rPr>
          <w:rFonts w:cs="Arial"/>
        </w:rPr>
        <w:t xml:space="preserve">if a property owner submits a risk assessment to the Director, </w:t>
      </w:r>
      <w:r w:rsidRPr="002A75F2">
        <w:rPr>
          <w:rFonts w:cs="Arial"/>
        </w:rPr>
        <w:t xml:space="preserve">the Director </w:t>
      </w:r>
      <w:r w:rsidR="003A7366" w:rsidRPr="002A75F2">
        <w:rPr>
          <w:rFonts w:cs="Arial"/>
        </w:rPr>
        <w:t>shall either give a notice in writing to the property owner that the Director “accepts” the risk assessment, or that the Director “does not accept” the risk assessment for the reasons specified in the notice:</w:t>
      </w:r>
    </w:p>
    <w:p w14:paraId="58C36FF1" w14:textId="77777777" w:rsidR="00E30F42" w:rsidRPr="002A75F2" w:rsidRDefault="00E30F42" w:rsidP="00E30F42">
      <w:pPr>
        <w:numPr>
          <w:ilvl w:val="0"/>
          <w:numId w:val="22"/>
        </w:numPr>
        <w:shd w:val="clear" w:color="auto" w:fill="D9D9D9"/>
        <w:rPr>
          <w:rFonts w:cs="Arial"/>
        </w:rPr>
      </w:pPr>
      <w:r w:rsidRPr="002A75F2">
        <w:rPr>
          <w:rFonts w:cs="Arial"/>
        </w:rPr>
        <w:t>Section 168.5 of the EPA</w:t>
      </w:r>
    </w:p>
    <w:p w14:paraId="5CAA42E5" w14:textId="71307F9D" w:rsidR="00E30F42" w:rsidRPr="002A75F2" w:rsidRDefault="00E30F42" w:rsidP="00E30F42">
      <w:pPr>
        <w:rPr>
          <w:rFonts w:cs="Arial"/>
        </w:rPr>
      </w:pPr>
      <w:r w:rsidRPr="002A75F2">
        <w:rPr>
          <w:rFonts w:cs="Arial"/>
        </w:rPr>
        <w:t xml:space="preserve">Only </w:t>
      </w:r>
      <w:r w:rsidR="00145A73" w:rsidRPr="002A75F2">
        <w:rPr>
          <w:rFonts w:cs="Arial"/>
        </w:rPr>
        <w:t>property specific standards</w:t>
      </w:r>
      <w:r w:rsidRPr="002A75F2">
        <w:rPr>
          <w:rFonts w:cs="Arial"/>
        </w:rPr>
        <w:t xml:space="preserve"> developed in a</w:t>
      </w:r>
      <w:r w:rsidR="00744536" w:rsidRPr="002A75F2">
        <w:rPr>
          <w:rFonts w:cs="Arial"/>
        </w:rPr>
        <w:t xml:space="preserve"> risk assessment </w:t>
      </w:r>
      <w:r w:rsidRPr="002A75F2">
        <w:rPr>
          <w:rFonts w:cs="Arial"/>
        </w:rPr>
        <w:t xml:space="preserve">that has been accepted by the Director can be used to support RSC filing. In cases where the Director’s decision is to “not accept” (i.e. reject) the </w:t>
      </w:r>
      <w:r w:rsidR="00744536" w:rsidRPr="002A75F2">
        <w:rPr>
          <w:rFonts w:cs="Arial"/>
        </w:rPr>
        <w:t>risk assessment</w:t>
      </w:r>
      <w:r w:rsidRPr="002A75F2">
        <w:rPr>
          <w:rFonts w:cs="Arial"/>
        </w:rPr>
        <w:t>, the proponent may still choose to pursue the risk assessment option. However, in such cases, a new risk assessment, starting with a new PSF, will need to be provided to the Ministry.</w:t>
      </w:r>
    </w:p>
    <w:p w14:paraId="0AD53CF0" w14:textId="7D711130" w:rsidR="00E30F42" w:rsidRPr="002A75F2" w:rsidRDefault="00E30F42" w:rsidP="00E30F42">
      <w:pPr>
        <w:pStyle w:val="Heading2"/>
        <w:rPr>
          <w:rFonts w:cs="Arial"/>
        </w:rPr>
      </w:pPr>
      <w:bookmarkStart w:id="401" w:name="_Steps_in_the_Risk_Assessment_Prepar"/>
      <w:bookmarkStart w:id="402" w:name="_Toc78162218"/>
      <w:bookmarkEnd w:id="401"/>
      <w:r w:rsidRPr="002A75F2">
        <w:rPr>
          <w:rFonts w:cs="Arial"/>
        </w:rPr>
        <w:t xml:space="preserve"> </w:t>
      </w:r>
      <w:bookmarkStart w:id="403" w:name="_Toc41905746"/>
      <w:bookmarkEnd w:id="397"/>
      <w:bookmarkEnd w:id="398"/>
      <w:bookmarkEnd w:id="402"/>
      <w:r w:rsidR="00F97C8D" w:rsidRPr="002A75F2">
        <w:rPr>
          <w:rFonts w:cs="Arial"/>
        </w:rPr>
        <w:t>Additional</w:t>
      </w:r>
      <w:r w:rsidRPr="002A75F2">
        <w:rPr>
          <w:rFonts w:cs="Arial"/>
        </w:rPr>
        <w:t xml:space="preserve"> Considerations</w:t>
      </w:r>
      <w:bookmarkEnd w:id="403"/>
    </w:p>
    <w:p w14:paraId="318F6C53" w14:textId="77777777" w:rsidR="00E30F42" w:rsidRPr="002A75F2" w:rsidRDefault="00E30F42" w:rsidP="00E30F42">
      <w:pPr>
        <w:rPr>
          <w:rFonts w:cs="Arial"/>
        </w:rPr>
      </w:pPr>
      <w:r w:rsidRPr="002A75F2">
        <w:rPr>
          <w:rFonts w:cs="Arial"/>
          <w:lang w:val="en-CA"/>
        </w:rPr>
        <w:t>Other regulatory and compliance tools also may be required to address other aspects of redevelopment for many properties, including:</w:t>
      </w:r>
    </w:p>
    <w:p w14:paraId="663B7B46" w14:textId="6C9CABCF" w:rsidR="00E30F42" w:rsidRPr="002A75F2" w:rsidRDefault="00DB533E" w:rsidP="000E72E5">
      <w:pPr>
        <w:pStyle w:val="ListBullet2"/>
        <w:rPr>
          <w:rFonts w:cs="Arial"/>
        </w:rPr>
      </w:pPr>
      <w:r w:rsidRPr="002A75F2">
        <w:rPr>
          <w:rFonts w:cs="Arial"/>
          <w:lang w:val="en-CA"/>
        </w:rPr>
        <w:lastRenderedPageBreak/>
        <w:t>M</w:t>
      </w:r>
      <w:r w:rsidR="00E30F42" w:rsidRPr="002A75F2">
        <w:rPr>
          <w:rFonts w:cs="Arial"/>
          <w:lang w:val="en-CA"/>
        </w:rPr>
        <w:t>anagement of excess soil</w:t>
      </w:r>
      <w:r w:rsidR="007D36C6" w:rsidRPr="002A75F2">
        <w:rPr>
          <w:rFonts w:cs="Arial"/>
          <w:lang w:val="en-CA"/>
        </w:rPr>
        <w:t xml:space="preserve"> </w:t>
      </w:r>
      <w:r w:rsidR="00F97C8D" w:rsidRPr="002A75F2">
        <w:rPr>
          <w:rFonts w:cs="Arial"/>
          <w:lang w:val="en-CA"/>
        </w:rPr>
        <w:t>(e.g</w:t>
      </w:r>
      <w:r w:rsidR="00F67177" w:rsidRPr="002A75F2">
        <w:rPr>
          <w:rFonts w:cs="Arial"/>
          <w:lang w:val="en-CA"/>
        </w:rPr>
        <w:t>.</w:t>
      </w:r>
      <w:r w:rsidR="00F97C8D" w:rsidRPr="002A75F2">
        <w:rPr>
          <w:rFonts w:cs="Arial"/>
          <w:lang w:val="en-CA"/>
        </w:rPr>
        <w:t xml:space="preserve"> under O</w:t>
      </w:r>
      <w:r w:rsidR="000C34A8" w:rsidRPr="002A75F2">
        <w:rPr>
          <w:rFonts w:cs="Arial"/>
          <w:lang w:val="en-CA"/>
        </w:rPr>
        <w:t xml:space="preserve">ntario </w:t>
      </w:r>
      <w:r w:rsidR="00F97C8D" w:rsidRPr="002A75F2">
        <w:rPr>
          <w:rFonts w:cs="Arial"/>
          <w:lang w:val="en-CA"/>
        </w:rPr>
        <w:t>Reg</w:t>
      </w:r>
      <w:r w:rsidR="000C34A8" w:rsidRPr="002A75F2">
        <w:rPr>
          <w:rFonts w:cs="Arial"/>
          <w:lang w:val="en-CA"/>
        </w:rPr>
        <w:t xml:space="preserve">ulation </w:t>
      </w:r>
      <w:r w:rsidR="00F97C8D" w:rsidRPr="002A75F2">
        <w:rPr>
          <w:rFonts w:cs="Arial"/>
          <w:lang w:val="en-CA"/>
        </w:rPr>
        <w:t>406/19)</w:t>
      </w:r>
      <w:r w:rsidR="00F67177" w:rsidRPr="002A75F2">
        <w:rPr>
          <w:rFonts w:cs="Arial"/>
          <w:lang w:val="en-CA"/>
        </w:rPr>
        <w:t>. Note that there are specific requirements for phase one and two ESAs relating to excess soil under the Regulation;</w:t>
      </w:r>
      <w:r w:rsidR="00E30F42" w:rsidRPr="002A75F2">
        <w:rPr>
          <w:rFonts w:cs="Arial"/>
          <w:lang w:val="en-CA"/>
        </w:rPr>
        <w:t xml:space="preserve"> </w:t>
      </w:r>
    </w:p>
    <w:p w14:paraId="12F52571" w14:textId="77777777" w:rsidR="00E30F42" w:rsidRPr="002A75F2" w:rsidRDefault="00E30F42" w:rsidP="000E72E5">
      <w:pPr>
        <w:pStyle w:val="ListBullet2"/>
        <w:rPr>
          <w:rFonts w:cs="Arial"/>
        </w:rPr>
      </w:pPr>
      <w:r w:rsidRPr="002A75F2">
        <w:rPr>
          <w:rFonts w:cs="Arial"/>
          <w:lang w:val="en-CA"/>
        </w:rPr>
        <w:t>Minister’s approval for reuse of a former waste disposal site,</w:t>
      </w:r>
    </w:p>
    <w:p w14:paraId="61AA20F0" w14:textId="77777777" w:rsidR="00E30F42" w:rsidRPr="002A75F2" w:rsidRDefault="00DB533E" w:rsidP="000E72E5">
      <w:pPr>
        <w:pStyle w:val="ListBullet2"/>
        <w:rPr>
          <w:rFonts w:cs="Arial"/>
        </w:rPr>
      </w:pPr>
      <w:r w:rsidRPr="002A75F2">
        <w:rPr>
          <w:rFonts w:cs="Arial"/>
          <w:lang w:val="en-CA"/>
        </w:rPr>
        <w:t>P</w:t>
      </w:r>
      <w:r w:rsidR="00E30F42" w:rsidRPr="002A75F2">
        <w:rPr>
          <w:rFonts w:cs="Arial"/>
          <w:lang w:val="en-CA"/>
        </w:rPr>
        <w:t>otential for release of contaminants to the environment during remediation and construction,</w:t>
      </w:r>
    </w:p>
    <w:p w14:paraId="56BE7C90" w14:textId="77777777" w:rsidR="00E30F42" w:rsidRPr="002A75F2" w:rsidRDefault="00DB533E" w:rsidP="000E72E5">
      <w:pPr>
        <w:pStyle w:val="ListBullet2"/>
        <w:rPr>
          <w:rFonts w:cs="Arial"/>
        </w:rPr>
      </w:pPr>
      <w:r w:rsidRPr="002A75F2">
        <w:rPr>
          <w:rFonts w:cs="Arial"/>
        </w:rPr>
        <w:t>R</w:t>
      </w:r>
      <w:r w:rsidR="00E30F42" w:rsidRPr="002A75F2">
        <w:rPr>
          <w:rFonts w:cs="Arial"/>
        </w:rPr>
        <w:t>emediation activities which require Environmental Compliance Approvals (ECAs),</w:t>
      </w:r>
      <w:r w:rsidR="00E30F42" w:rsidRPr="002A75F2">
        <w:rPr>
          <w:rFonts w:cs="Arial"/>
          <w:lang w:val="en-CA"/>
        </w:rPr>
        <w:t xml:space="preserve"> and</w:t>
      </w:r>
    </w:p>
    <w:p w14:paraId="64BD974C" w14:textId="77777777" w:rsidR="00E30F42" w:rsidRPr="000C60E1" w:rsidRDefault="00DB533E" w:rsidP="000E72E5">
      <w:pPr>
        <w:pStyle w:val="ListBullet2"/>
        <w:rPr>
          <w:rFonts w:cs="Arial"/>
        </w:rPr>
      </w:pPr>
      <w:r w:rsidRPr="002A75F2">
        <w:rPr>
          <w:rFonts w:cs="Arial"/>
        </w:rPr>
        <w:t>A</w:t>
      </w:r>
      <w:r w:rsidR="00E30F42" w:rsidRPr="002A75F2">
        <w:rPr>
          <w:rFonts w:cs="Arial"/>
        </w:rPr>
        <w:t>batement and addressing off</w:t>
      </w:r>
      <w:r w:rsidR="002E188A" w:rsidRPr="002A75F2">
        <w:rPr>
          <w:rFonts w:cs="Arial"/>
        </w:rPr>
        <w:t>-</w:t>
      </w:r>
      <w:r w:rsidR="00E30F42" w:rsidRPr="002A75F2">
        <w:rPr>
          <w:rFonts w:cs="Arial"/>
        </w:rPr>
        <w:t>site impacts</w:t>
      </w:r>
      <w:r w:rsidR="00E30F42" w:rsidRPr="000C60E1">
        <w:rPr>
          <w:rFonts w:cs="Arial"/>
        </w:rPr>
        <w:t>.</w:t>
      </w:r>
    </w:p>
    <w:p w14:paraId="58622988" w14:textId="77777777" w:rsidR="00F70B07" w:rsidRPr="000C60E1" w:rsidRDefault="00F70B07" w:rsidP="00840964">
      <w:pPr>
        <w:rPr>
          <w:rFonts w:cs="Arial"/>
        </w:rPr>
      </w:pPr>
    </w:p>
    <w:p w14:paraId="48E027F6" w14:textId="11EEBE51" w:rsidR="00B736F9" w:rsidRPr="002A75F2" w:rsidRDefault="00AC0474" w:rsidP="00FC6D21">
      <w:pPr>
        <w:pStyle w:val="Heading1"/>
      </w:pPr>
      <w:bookmarkStart w:id="404" w:name="_SECTION_9.0:____PUBLICATIONS_ON_HUM"/>
      <w:bookmarkStart w:id="405" w:name="_Toc74119437"/>
      <w:bookmarkStart w:id="406" w:name="_Toc74450913"/>
      <w:bookmarkStart w:id="407" w:name="_Toc78162219"/>
      <w:bookmarkStart w:id="408" w:name="_Toc79571597"/>
      <w:bookmarkStart w:id="409" w:name="_Toc91393608"/>
      <w:bookmarkStart w:id="410" w:name="_Toc112727471"/>
      <w:bookmarkStart w:id="411" w:name="_Toc41905747"/>
      <w:bookmarkEnd w:id="404"/>
      <w:r w:rsidRPr="002A75F2">
        <w:lastRenderedPageBreak/>
        <w:t xml:space="preserve">Resources and </w:t>
      </w:r>
      <w:r w:rsidR="00BC5E06" w:rsidRPr="002A75F2">
        <w:t>References</w:t>
      </w:r>
      <w:r w:rsidR="005274BA" w:rsidRPr="002A75F2">
        <w:t xml:space="preserve"> </w:t>
      </w:r>
      <w:r w:rsidR="00BC5E06" w:rsidRPr="002A75F2">
        <w:t>for</w:t>
      </w:r>
      <w:r w:rsidR="00506501" w:rsidRPr="002A75F2">
        <w:t xml:space="preserve"> Risk Assessment</w:t>
      </w:r>
      <w:bookmarkEnd w:id="405"/>
      <w:bookmarkEnd w:id="406"/>
      <w:bookmarkEnd w:id="407"/>
      <w:bookmarkEnd w:id="408"/>
      <w:bookmarkEnd w:id="409"/>
      <w:bookmarkEnd w:id="410"/>
      <w:bookmarkEnd w:id="411"/>
    </w:p>
    <w:p w14:paraId="5A69F53D" w14:textId="77777777" w:rsidR="00AC0474" w:rsidRPr="002A75F2" w:rsidRDefault="00AC0474" w:rsidP="00AC0474">
      <w:pPr>
        <w:pStyle w:val="Heading2"/>
        <w:rPr>
          <w:rFonts w:cs="Arial"/>
        </w:rPr>
      </w:pPr>
      <w:bookmarkStart w:id="412" w:name="_9.1_Useful_References_for_Human_Hea"/>
      <w:bookmarkStart w:id="413" w:name="_Hlk35355778"/>
      <w:bookmarkStart w:id="414" w:name="_Toc41905748"/>
      <w:bookmarkStart w:id="415" w:name="_Toc74119438"/>
      <w:bookmarkStart w:id="416" w:name="_Toc74450914"/>
      <w:bookmarkStart w:id="417" w:name="_Toc78162220"/>
      <w:bookmarkStart w:id="418" w:name="_Toc79571598"/>
      <w:bookmarkStart w:id="419" w:name="_Toc91393609"/>
      <w:bookmarkStart w:id="420" w:name="_Toc112727472"/>
      <w:bookmarkEnd w:id="412"/>
      <w:r w:rsidRPr="002A75F2">
        <w:rPr>
          <w:rFonts w:cs="Arial"/>
        </w:rPr>
        <w:t xml:space="preserve">Ministry </w:t>
      </w:r>
      <w:r w:rsidR="00E80496" w:rsidRPr="002A75F2">
        <w:rPr>
          <w:rFonts w:cs="Arial"/>
        </w:rPr>
        <w:t xml:space="preserve">Guidance and </w:t>
      </w:r>
      <w:r w:rsidRPr="002A75F2">
        <w:rPr>
          <w:rFonts w:cs="Arial"/>
        </w:rPr>
        <w:t>Resources</w:t>
      </w:r>
      <w:bookmarkEnd w:id="413"/>
      <w:bookmarkEnd w:id="414"/>
    </w:p>
    <w:p w14:paraId="2DF1FC14" w14:textId="5178151E" w:rsidR="00AC0474" w:rsidRPr="002A75F2" w:rsidRDefault="00AC0474" w:rsidP="00AC0474">
      <w:pPr>
        <w:rPr>
          <w:rFonts w:cs="Arial"/>
        </w:rPr>
      </w:pPr>
      <w:r w:rsidRPr="002A75F2">
        <w:rPr>
          <w:rFonts w:cs="Arial"/>
        </w:rPr>
        <w:t xml:space="preserve">The following Ministry resources include useful information for risk assessment practitioners. Documents that are not available on the Ministry’s </w:t>
      </w:r>
      <w:r w:rsidR="009F59A9" w:rsidRPr="002A75F2">
        <w:rPr>
          <w:rFonts w:cs="Arial"/>
        </w:rPr>
        <w:t>b</w:t>
      </w:r>
      <w:r w:rsidRPr="002A75F2">
        <w:rPr>
          <w:rFonts w:cs="Arial"/>
        </w:rPr>
        <w:t>rownfields website can be provided upon request.</w:t>
      </w:r>
    </w:p>
    <w:p w14:paraId="376059B7" w14:textId="77777777" w:rsidR="00AC0474" w:rsidRPr="002A75F2" w:rsidRDefault="00AC0474" w:rsidP="00AC0474">
      <w:pPr>
        <w:rPr>
          <w:rFonts w:cs="Arial"/>
          <w:b/>
        </w:rPr>
      </w:pPr>
    </w:p>
    <w:p w14:paraId="065EA224" w14:textId="77777777" w:rsidR="00AC0474" w:rsidRPr="002A75F2" w:rsidRDefault="00AC0474" w:rsidP="00AC0474">
      <w:pPr>
        <w:rPr>
          <w:rFonts w:cs="Arial"/>
          <w:b/>
        </w:rPr>
      </w:pPr>
      <w:r w:rsidRPr="002A75F2">
        <w:rPr>
          <w:rFonts w:cs="Arial"/>
          <w:b/>
        </w:rPr>
        <w:t xml:space="preserve">Ministry’s Brownfields </w:t>
      </w:r>
      <w:r w:rsidR="00B11146" w:rsidRPr="002A75F2">
        <w:rPr>
          <w:rFonts w:cs="Arial"/>
          <w:b/>
        </w:rPr>
        <w:t>W</w:t>
      </w:r>
      <w:r w:rsidRPr="002A75F2">
        <w:rPr>
          <w:rFonts w:cs="Arial"/>
          <w:b/>
        </w:rPr>
        <w:t>ebsite</w:t>
      </w:r>
    </w:p>
    <w:p w14:paraId="777EFEB0" w14:textId="06CEEF8D" w:rsidR="00C75D1B" w:rsidRPr="002A75F2" w:rsidRDefault="00D02F63" w:rsidP="00757A5E">
      <w:pPr>
        <w:rPr>
          <w:rFonts w:cs="Arial"/>
        </w:rPr>
      </w:pPr>
      <w:r w:rsidRPr="002A75F2">
        <w:rPr>
          <w:rFonts w:cs="Arial"/>
        </w:rPr>
        <w:t xml:space="preserve">The Ministry’s </w:t>
      </w:r>
      <w:hyperlink r:id="rId19" w:history="1">
        <w:r w:rsidRPr="002A75F2">
          <w:rPr>
            <w:rStyle w:val="Hyperlink"/>
            <w:rFonts w:cs="Arial"/>
          </w:rPr>
          <w:t>brownfields website</w:t>
        </w:r>
      </w:hyperlink>
      <w:r w:rsidRPr="002A75F2">
        <w:rPr>
          <w:rFonts w:cs="Arial"/>
        </w:rPr>
        <w:t xml:space="preserve"> i</w:t>
      </w:r>
      <w:r w:rsidR="00804080" w:rsidRPr="002A75F2">
        <w:rPr>
          <w:rFonts w:cs="Arial"/>
        </w:rPr>
        <w:t>ncludes overview of the Regulation, link to the Environmental Site Registry, general brownfields guidance, guidance for the completion of phase one and two ESAs and Ministry guidance documents related to the development of generic site condition standards and risk assessment.</w:t>
      </w:r>
    </w:p>
    <w:p w14:paraId="6814D6A7" w14:textId="22AD111A" w:rsidR="00AC0474" w:rsidRPr="002A75F2" w:rsidRDefault="006A302A" w:rsidP="00AC0474">
      <w:pPr>
        <w:rPr>
          <w:rFonts w:cs="Arial"/>
        </w:rPr>
      </w:pPr>
      <w:r w:rsidRPr="002A75F2">
        <w:rPr>
          <w:rFonts w:cs="Arial"/>
        </w:rPr>
        <w:t>URL: https://www.ontario.ca/page/brownfields-redevelopment</w:t>
      </w:r>
    </w:p>
    <w:p w14:paraId="38BC3AA0" w14:textId="77777777" w:rsidR="006A302A" w:rsidRPr="002A75F2" w:rsidRDefault="006A302A" w:rsidP="00AC0474">
      <w:pPr>
        <w:rPr>
          <w:rFonts w:cs="Arial"/>
          <w:b/>
        </w:rPr>
      </w:pPr>
    </w:p>
    <w:p w14:paraId="027BA93A" w14:textId="77777777" w:rsidR="00AC0474" w:rsidRPr="002A75F2" w:rsidRDefault="00AC0474" w:rsidP="00AC0474">
      <w:pPr>
        <w:rPr>
          <w:rFonts w:cs="Arial"/>
          <w:b/>
        </w:rPr>
      </w:pPr>
      <w:r w:rsidRPr="002A75F2">
        <w:rPr>
          <w:rFonts w:cs="Arial"/>
          <w:b/>
        </w:rPr>
        <w:t>RSC Guide</w:t>
      </w:r>
    </w:p>
    <w:p w14:paraId="5D17C067" w14:textId="567D636F" w:rsidR="00AC0474" w:rsidRPr="000C60E1" w:rsidRDefault="00AC0474" w:rsidP="00AC0474">
      <w:pPr>
        <w:rPr>
          <w:rFonts w:cs="Arial"/>
          <w:highlight w:val="green"/>
        </w:rPr>
      </w:pPr>
      <w:r w:rsidRPr="000C60E1">
        <w:rPr>
          <w:rFonts w:cs="Arial"/>
          <w:highlight w:val="green"/>
        </w:rPr>
        <w:t>“Records of Site Condition - A Guide on Site Assessment, the Cleanup of Brownfield Sites and the Filing of Records of Site Condition” (MECP 2020).</w:t>
      </w:r>
    </w:p>
    <w:p w14:paraId="733D214F" w14:textId="6F8269B3" w:rsidR="00AC0474" w:rsidRPr="002A75F2" w:rsidRDefault="00AC0474" w:rsidP="00AC0474">
      <w:pPr>
        <w:rPr>
          <w:rFonts w:cs="Arial"/>
        </w:rPr>
      </w:pPr>
      <w:r w:rsidRPr="002A75F2">
        <w:rPr>
          <w:rFonts w:cs="Arial"/>
        </w:rPr>
        <w:t xml:space="preserve">Provides a general overview of the RSC process and includes a high level discussion of generic site condition standards and risk assessment under the Regulation. Available on the Ministry’s </w:t>
      </w:r>
      <w:r w:rsidR="009F59A9" w:rsidRPr="002A75F2">
        <w:rPr>
          <w:rFonts w:cs="Arial"/>
        </w:rPr>
        <w:t>b</w:t>
      </w:r>
      <w:r w:rsidRPr="002A75F2">
        <w:rPr>
          <w:rFonts w:cs="Arial"/>
        </w:rPr>
        <w:t>rownfields website.</w:t>
      </w:r>
    </w:p>
    <w:p w14:paraId="0B33C824" w14:textId="77777777" w:rsidR="00AC0474" w:rsidRPr="002A75F2" w:rsidRDefault="00AC0474" w:rsidP="00AC0474">
      <w:pPr>
        <w:rPr>
          <w:rFonts w:cs="Arial"/>
          <w:b/>
        </w:rPr>
      </w:pPr>
    </w:p>
    <w:p w14:paraId="5C91CB0B" w14:textId="77777777" w:rsidR="00AC0474" w:rsidRPr="002A75F2" w:rsidRDefault="00AC0474" w:rsidP="00AC0474">
      <w:pPr>
        <w:rPr>
          <w:rFonts w:cs="Arial"/>
          <w:b/>
        </w:rPr>
      </w:pPr>
      <w:r w:rsidRPr="002A75F2">
        <w:rPr>
          <w:rFonts w:cs="Arial"/>
          <w:b/>
        </w:rPr>
        <w:t xml:space="preserve">Rationale </w:t>
      </w:r>
      <w:r w:rsidR="00B11146" w:rsidRPr="002A75F2">
        <w:rPr>
          <w:rFonts w:cs="Arial"/>
          <w:b/>
        </w:rPr>
        <w:t>D</w:t>
      </w:r>
      <w:r w:rsidRPr="002A75F2">
        <w:rPr>
          <w:rFonts w:cs="Arial"/>
          <w:b/>
        </w:rPr>
        <w:t>ocument</w:t>
      </w:r>
    </w:p>
    <w:p w14:paraId="60274727" w14:textId="77777777" w:rsidR="00AC0474" w:rsidRPr="002A75F2" w:rsidRDefault="00AC0474" w:rsidP="00AC0474">
      <w:pPr>
        <w:rPr>
          <w:rFonts w:cs="Arial"/>
        </w:rPr>
      </w:pPr>
      <w:r w:rsidRPr="002A75F2">
        <w:rPr>
          <w:rFonts w:cs="Arial"/>
        </w:rPr>
        <w:t>“Rationale for the Development of Soil and Ground Water Standards for Use at Contaminated Sites in Ontario” (MOE 2011).</w:t>
      </w:r>
    </w:p>
    <w:p w14:paraId="5DE17B0F" w14:textId="2E8BABC5" w:rsidR="00AC0474" w:rsidRPr="002A75F2" w:rsidRDefault="00AC0474" w:rsidP="00AC0474">
      <w:pPr>
        <w:rPr>
          <w:rFonts w:cs="Arial"/>
        </w:rPr>
      </w:pPr>
      <w:r w:rsidRPr="002A75F2">
        <w:rPr>
          <w:rFonts w:cs="Arial"/>
        </w:rPr>
        <w:t>Details the development of Ministry’s generic site condition standards, includes generic conceptual model, assumptions and models</w:t>
      </w:r>
      <w:r w:rsidR="008C61FB" w:rsidRPr="002A75F2">
        <w:rPr>
          <w:rFonts w:cs="Arial"/>
        </w:rPr>
        <w:t xml:space="preserve"> used</w:t>
      </w:r>
      <w:r w:rsidRPr="002A75F2">
        <w:rPr>
          <w:rFonts w:cs="Arial"/>
        </w:rPr>
        <w:t xml:space="preserve">. </w:t>
      </w:r>
    </w:p>
    <w:p w14:paraId="2E3ACAC3" w14:textId="77777777" w:rsidR="00AC0474" w:rsidRPr="002A75F2" w:rsidRDefault="00AC0474" w:rsidP="00AC0474">
      <w:pPr>
        <w:rPr>
          <w:rFonts w:cs="Arial"/>
          <w:b/>
        </w:rPr>
      </w:pPr>
    </w:p>
    <w:p w14:paraId="20816C4A" w14:textId="77777777" w:rsidR="00AC0474" w:rsidRPr="002A75F2" w:rsidRDefault="00AC0474" w:rsidP="00AC0474">
      <w:pPr>
        <w:rPr>
          <w:rFonts w:cs="Arial"/>
          <w:b/>
        </w:rPr>
      </w:pPr>
      <w:r w:rsidRPr="002A75F2">
        <w:rPr>
          <w:rFonts w:cs="Arial"/>
          <w:b/>
        </w:rPr>
        <w:t>Approved Model</w:t>
      </w:r>
    </w:p>
    <w:p w14:paraId="2024175F" w14:textId="1D4B17BB" w:rsidR="00AC0474" w:rsidRPr="002A75F2" w:rsidRDefault="00AC0474" w:rsidP="00AC0474">
      <w:pPr>
        <w:rPr>
          <w:rFonts w:cs="Arial"/>
        </w:rPr>
      </w:pPr>
      <w:r w:rsidRPr="002A75F2">
        <w:rPr>
          <w:rFonts w:cs="Arial"/>
        </w:rPr>
        <w:t>Includes generic component values, assumptions and models.</w:t>
      </w:r>
      <w:r w:rsidR="00C87690" w:rsidRPr="002A75F2">
        <w:rPr>
          <w:rFonts w:cs="Arial"/>
        </w:rPr>
        <w:t xml:space="preserve"> </w:t>
      </w:r>
      <w:r w:rsidRPr="002A75F2">
        <w:rPr>
          <w:rFonts w:cs="Arial"/>
        </w:rPr>
        <w:t>The approved model can be used to generate site</w:t>
      </w:r>
      <w:r w:rsidR="00E07B06" w:rsidRPr="002A75F2">
        <w:rPr>
          <w:rFonts w:cs="Arial"/>
        </w:rPr>
        <w:t>-</w:t>
      </w:r>
      <w:r w:rsidRPr="002A75F2">
        <w:rPr>
          <w:rFonts w:cs="Arial"/>
        </w:rPr>
        <w:t xml:space="preserve">specific standards in a Tier 2 </w:t>
      </w:r>
      <w:r w:rsidR="002B4755" w:rsidRPr="002A75F2">
        <w:rPr>
          <w:rFonts w:cs="Arial"/>
        </w:rPr>
        <w:t>risk assessment</w:t>
      </w:r>
      <w:r w:rsidRPr="002A75F2">
        <w:rPr>
          <w:rFonts w:cs="Arial"/>
        </w:rPr>
        <w:t xml:space="preserve"> and can also be used in a Tier 3 </w:t>
      </w:r>
      <w:r w:rsidR="002B4755" w:rsidRPr="002A75F2">
        <w:rPr>
          <w:rFonts w:cs="Arial"/>
        </w:rPr>
        <w:t>risk assessment</w:t>
      </w:r>
      <w:r w:rsidRPr="002A75F2">
        <w:rPr>
          <w:rFonts w:cs="Arial"/>
        </w:rPr>
        <w:t xml:space="preserve"> (e.g. to generate site</w:t>
      </w:r>
      <w:r w:rsidR="00E07B06" w:rsidRPr="002A75F2">
        <w:rPr>
          <w:rFonts w:cs="Arial"/>
        </w:rPr>
        <w:t>-</w:t>
      </w:r>
      <w:r w:rsidRPr="002A75F2">
        <w:rPr>
          <w:rFonts w:cs="Arial"/>
        </w:rPr>
        <w:t xml:space="preserve">specific component values). The approved model and supporting guidance documents are available on the Ministry’s </w:t>
      </w:r>
      <w:r w:rsidR="009F59A9" w:rsidRPr="002A75F2">
        <w:rPr>
          <w:rFonts w:cs="Arial"/>
        </w:rPr>
        <w:t>b</w:t>
      </w:r>
      <w:r w:rsidRPr="002A75F2">
        <w:rPr>
          <w:rFonts w:cs="Arial"/>
        </w:rPr>
        <w:t xml:space="preserve">rownfields website. Note that the approved model may be updated from time to time and </w:t>
      </w:r>
      <w:r w:rsidR="00B721A0" w:rsidRPr="002A75F2">
        <w:rPr>
          <w:rFonts w:cs="Arial"/>
        </w:rPr>
        <w:t xml:space="preserve">only </w:t>
      </w:r>
      <w:r w:rsidRPr="002A75F2">
        <w:rPr>
          <w:rFonts w:cs="Arial"/>
        </w:rPr>
        <w:t xml:space="preserve">the most recent version </w:t>
      </w:r>
      <w:r w:rsidR="005D5288" w:rsidRPr="002A75F2">
        <w:rPr>
          <w:rFonts w:cs="Arial"/>
        </w:rPr>
        <w:t>may</w:t>
      </w:r>
      <w:r w:rsidRPr="002A75F2">
        <w:rPr>
          <w:rFonts w:cs="Arial"/>
        </w:rPr>
        <w:t xml:space="preserve"> be used when preparing a risk assessment.</w:t>
      </w:r>
    </w:p>
    <w:p w14:paraId="23A14BBD" w14:textId="77777777" w:rsidR="00AC0474" w:rsidRPr="002A75F2" w:rsidRDefault="00AC0474" w:rsidP="00AC0474">
      <w:pPr>
        <w:rPr>
          <w:rFonts w:cs="Arial"/>
        </w:rPr>
      </w:pPr>
    </w:p>
    <w:p w14:paraId="7DE35C49" w14:textId="77777777" w:rsidR="00AC0474" w:rsidRPr="002A75F2" w:rsidRDefault="00AC0474" w:rsidP="00AC0474">
      <w:pPr>
        <w:rPr>
          <w:rFonts w:cs="Arial"/>
          <w:b/>
        </w:rPr>
      </w:pPr>
      <w:r w:rsidRPr="002A75F2">
        <w:rPr>
          <w:rFonts w:cs="Arial"/>
          <w:b/>
        </w:rPr>
        <w:t>MGRA User Guide</w:t>
      </w:r>
    </w:p>
    <w:p w14:paraId="1658596E" w14:textId="1E44F526" w:rsidR="00AC0474" w:rsidRPr="002A75F2" w:rsidRDefault="00AC0474" w:rsidP="00AC0474">
      <w:pPr>
        <w:rPr>
          <w:rFonts w:cs="Arial"/>
        </w:rPr>
      </w:pPr>
      <w:r w:rsidRPr="002A75F2">
        <w:rPr>
          <w:rFonts w:cs="Arial"/>
        </w:rPr>
        <w:lastRenderedPageBreak/>
        <w:t>“MGRA User Guide: A Guide to Using the “Approved Model” (November 2016) When Submitting a Modified Generic Risk Assessment (MGRA)” (MOECC 2016).</w:t>
      </w:r>
    </w:p>
    <w:p w14:paraId="566B7CA5" w14:textId="77777777" w:rsidR="00AC0474" w:rsidRPr="002A75F2" w:rsidRDefault="00AC0474" w:rsidP="00AC0474">
      <w:pPr>
        <w:rPr>
          <w:rFonts w:cs="Arial"/>
        </w:rPr>
      </w:pPr>
      <w:r w:rsidRPr="002A75F2">
        <w:rPr>
          <w:rFonts w:cs="Arial"/>
        </w:rPr>
        <w:t>Provides guidance on the preparation and submission of MGRAs (including use of the approved model and limitations of MGRA).</w:t>
      </w:r>
    </w:p>
    <w:p w14:paraId="74999BCE" w14:textId="77777777" w:rsidR="00AC0474" w:rsidRPr="002A75F2" w:rsidRDefault="00AC0474" w:rsidP="00AC0474">
      <w:pPr>
        <w:rPr>
          <w:rFonts w:cs="Arial"/>
        </w:rPr>
      </w:pPr>
    </w:p>
    <w:p w14:paraId="43FB342F" w14:textId="77777777" w:rsidR="00AC0474" w:rsidRPr="002A75F2" w:rsidRDefault="00AC0474" w:rsidP="00AC0474">
      <w:pPr>
        <w:rPr>
          <w:rFonts w:cs="Arial"/>
          <w:b/>
        </w:rPr>
      </w:pPr>
      <w:proofErr w:type="spellStart"/>
      <w:r w:rsidRPr="002A75F2">
        <w:rPr>
          <w:rFonts w:cs="Arial"/>
          <w:b/>
        </w:rPr>
        <w:t>Vapour</w:t>
      </w:r>
      <w:proofErr w:type="spellEnd"/>
      <w:r w:rsidRPr="002A75F2">
        <w:rPr>
          <w:rFonts w:cs="Arial"/>
          <w:b/>
        </w:rPr>
        <w:t xml:space="preserve"> Intrusion Assessment Guidance</w:t>
      </w:r>
    </w:p>
    <w:p w14:paraId="0DB475F1" w14:textId="77777777" w:rsidR="00EF6A9F" w:rsidRPr="002A75F2" w:rsidRDefault="00EF6A9F" w:rsidP="00EF6A9F">
      <w:pPr>
        <w:rPr>
          <w:rFonts w:cs="Arial"/>
        </w:rPr>
      </w:pPr>
      <w:r w:rsidRPr="002A75F2">
        <w:rPr>
          <w:rFonts w:cs="Arial"/>
        </w:rPr>
        <w:t xml:space="preserve">“Technical Guidance: Soil </w:t>
      </w:r>
      <w:proofErr w:type="spellStart"/>
      <w:r w:rsidRPr="002A75F2">
        <w:rPr>
          <w:rFonts w:cs="Arial"/>
        </w:rPr>
        <w:t>Vapour</w:t>
      </w:r>
      <w:proofErr w:type="spellEnd"/>
      <w:r w:rsidRPr="002A75F2">
        <w:rPr>
          <w:rFonts w:cs="Arial"/>
        </w:rPr>
        <w:t xml:space="preserve"> Intrusion Assessment” (MECP 2020)</w:t>
      </w:r>
    </w:p>
    <w:p w14:paraId="170DBCC7" w14:textId="067E637B" w:rsidR="00AC0474" w:rsidRPr="002A75F2" w:rsidRDefault="00EF6A9F" w:rsidP="00AC0474">
      <w:pPr>
        <w:rPr>
          <w:rFonts w:cs="Arial"/>
        </w:rPr>
      </w:pPr>
      <w:r w:rsidRPr="002A75F2">
        <w:rPr>
          <w:rFonts w:cs="Arial"/>
        </w:rPr>
        <w:t xml:space="preserve">Provides technical guidance for assessing the </w:t>
      </w:r>
      <w:proofErr w:type="spellStart"/>
      <w:r w:rsidR="00AC0474" w:rsidRPr="002A75F2">
        <w:rPr>
          <w:rFonts w:cs="Arial"/>
        </w:rPr>
        <w:t>vapour</w:t>
      </w:r>
      <w:proofErr w:type="spellEnd"/>
      <w:r w:rsidR="00AC0474" w:rsidRPr="002A75F2">
        <w:rPr>
          <w:rFonts w:cs="Arial"/>
        </w:rPr>
        <w:t xml:space="preserve"> intrusion </w:t>
      </w:r>
      <w:r w:rsidRPr="002A75F2">
        <w:rPr>
          <w:rFonts w:cs="Arial"/>
        </w:rPr>
        <w:t>pathway at contaminated sites.</w:t>
      </w:r>
    </w:p>
    <w:p w14:paraId="4D030C50" w14:textId="77777777" w:rsidR="00AC0474" w:rsidRPr="002A75F2" w:rsidRDefault="00AC0474" w:rsidP="00AC0474">
      <w:pPr>
        <w:rPr>
          <w:rFonts w:cs="Arial"/>
          <w:b/>
          <w:lang w:val="fr-CA"/>
        </w:rPr>
      </w:pPr>
    </w:p>
    <w:p w14:paraId="08FC3753" w14:textId="77777777" w:rsidR="00AC0474" w:rsidRPr="002A75F2" w:rsidRDefault="00AC0474" w:rsidP="00AC0474">
      <w:pPr>
        <w:rPr>
          <w:rFonts w:cs="Arial"/>
          <w:b/>
        </w:rPr>
      </w:pPr>
      <w:r w:rsidRPr="002A75F2">
        <w:rPr>
          <w:rFonts w:cs="Arial"/>
          <w:b/>
        </w:rPr>
        <w:t>Sediment Assessment Guidance</w:t>
      </w:r>
    </w:p>
    <w:p w14:paraId="4EE331F6" w14:textId="6B4A58FE" w:rsidR="00AC0474" w:rsidRPr="002A75F2" w:rsidRDefault="00AC0474" w:rsidP="00AC0474">
      <w:pPr>
        <w:rPr>
          <w:rFonts w:cs="Arial"/>
        </w:rPr>
      </w:pPr>
      <w:r w:rsidRPr="002A75F2">
        <w:rPr>
          <w:rFonts w:cs="Arial"/>
        </w:rPr>
        <w:t>“Guidelines for Identifying, Assessing and Managing Contaminated Sediments in Ontario” (MOE 2008).</w:t>
      </w:r>
    </w:p>
    <w:p w14:paraId="7D0076CA" w14:textId="77777777" w:rsidR="00AC0474" w:rsidRPr="002A75F2" w:rsidRDefault="00AC0474" w:rsidP="00AC0474">
      <w:pPr>
        <w:rPr>
          <w:rFonts w:cs="Arial"/>
        </w:rPr>
      </w:pPr>
      <w:r w:rsidRPr="002A75F2">
        <w:rPr>
          <w:rFonts w:cs="Arial"/>
        </w:rPr>
        <w:t xml:space="preserve">Provides guidance for identifying, assessing and managing contaminated sediment. </w:t>
      </w:r>
    </w:p>
    <w:p w14:paraId="15DA2E14" w14:textId="77777777" w:rsidR="00AC0474" w:rsidRPr="002A75F2" w:rsidRDefault="00AC0474" w:rsidP="00AC0474">
      <w:pPr>
        <w:rPr>
          <w:rFonts w:cs="Arial"/>
        </w:rPr>
      </w:pPr>
    </w:p>
    <w:p w14:paraId="6E267121" w14:textId="77777777" w:rsidR="00AC0474" w:rsidRPr="002A75F2" w:rsidRDefault="00AC0474" w:rsidP="00AC0474">
      <w:pPr>
        <w:rPr>
          <w:rFonts w:cs="Arial"/>
          <w:b/>
        </w:rPr>
      </w:pPr>
      <w:r w:rsidRPr="002A75F2">
        <w:rPr>
          <w:rFonts w:cs="Arial"/>
          <w:b/>
        </w:rPr>
        <w:t>Ontario Typical Range - Background</w:t>
      </w:r>
    </w:p>
    <w:p w14:paraId="53CF0436" w14:textId="77777777" w:rsidR="00AC0474" w:rsidRPr="002A75F2" w:rsidRDefault="00AC0474" w:rsidP="00AC0474">
      <w:pPr>
        <w:rPr>
          <w:rFonts w:cs="Arial"/>
        </w:rPr>
      </w:pPr>
      <w:r w:rsidRPr="002A75F2">
        <w:rPr>
          <w:rFonts w:cs="Arial"/>
        </w:rPr>
        <w:t>“Ontario Typical Range of Chemical Parameters in Soil, Vegetation, Moss Bags and Snow”</w:t>
      </w:r>
      <w:r w:rsidRPr="002A75F2">
        <w:rPr>
          <w:rFonts w:cs="Arial"/>
          <w:i/>
        </w:rPr>
        <w:t xml:space="preserve"> </w:t>
      </w:r>
      <w:r w:rsidRPr="002A75F2">
        <w:rPr>
          <w:rFonts w:cs="Arial"/>
        </w:rPr>
        <w:t xml:space="preserve">(MOE 1993). </w:t>
      </w:r>
    </w:p>
    <w:p w14:paraId="47E163F5" w14:textId="77777777" w:rsidR="00AC0474" w:rsidRPr="002A75F2" w:rsidRDefault="00AC0474" w:rsidP="00AC0474">
      <w:pPr>
        <w:rPr>
          <w:rFonts w:cs="Arial"/>
        </w:rPr>
      </w:pPr>
      <w:r w:rsidRPr="002A75F2">
        <w:rPr>
          <w:rFonts w:cs="Arial"/>
        </w:rPr>
        <w:t xml:space="preserve">Includes Ontario Typical Range (OTR) data and provides additional guidance on sampling and analysis procedures used by the Ministry in the development of the OTR values. </w:t>
      </w:r>
    </w:p>
    <w:p w14:paraId="2CC48DC4" w14:textId="77777777" w:rsidR="00AC0474" w:rsidRPr="002A75F2" w:rsidRDefault="00AC0474" w:rsidP="00AC0474">
      <w:pPr>
        <w:rPr>
          <w:rFonts w:cs="Arial"/>
        </w:rPr>
      </w:pPr>
    </w:p>
    <w:p w14:paraId="0B7F50ED" w14:textId="77777777" w:rsidR="00AC0474" w:rsidRPr="002A75F2" w:rsidRDefault="00AC0474" w:rsidP="00AC0474">
      <w:pPr>
        <w:rPr>
          <w:rFonts w:cs="Arial"/>
          <w:b/>
          <w:lang w:val="fr-CA"/>
        </w:rPr>
      </w:pPr>
      <w:r w:rsidRPr="002A75F2">
        <w:rPr>
          <w:rFonts w:cs="Arial"/>
          <w:b/>
          <w:lang w:val="en-CA"/>
        </w:rPr>
        <w:t>Environmental</w:t>
      </w:r>
      <w:r w:rsidRPr="002A75F2">
        <w:rPr>
          <w:rFonts w:cs="Arial"/>
          <w:b/>
          <w:lang w:val="fr-CA"/>
        </w:rPr>
        <w:t xml:space="preserve"> </w:t>
      </w:r>
      <w:r w:rsidRPr="002A75F2">
        <w:rPr>
          <w:rFonts w:cs="Arial"/>
          <w:b/>
          <w:lang w:val="en-CA"/>
        </w:rPr>
        <w:t>Registry</w:t>
      </w:r>
    </w:p>
    <w:p w14:paraId="2E505AD5" w14:textId="64DA2711" w:rsidR="00AC0474" w:rsidRPr="002A75F2" w:rsidRDefault="00757A5E" w:rsidP="00757A5E">
      <w:pPr>
        <w:rPr>
          <w:rFonts w:cs="Arial"/>
        </w:rPr>
      </w:pPr>
      <w:r w:rsidRPr="002A75F2">
        <w:rPr>
          <w:rFonts w:cs="Arial"/>
        </w:rPr>
        <w:t xml:space="preserve">The </w:t>
      </w:r>
      <w:hyperlink r:id="rId20" w:history="1">
        <w:r w:rsidRPr="002A75F2">
          <w:rPr>
            <w:rStyle w:val="Hyperlink"/>
            <w:rFonts w:cs="Arial"/>
          </w:rPr>
          <w:t>Environmental Registry</w:t>
        </w:r>
      </w:hyperlink>
      <w:r w:rsidRPr="002A75F2">
        <w:rPr>
          <w:rFonts w:cs="Arial"/>
        </w:rPr>
        <w:t xml:space="preserve"> is a p</w:t>
      </w:r>
      <w:r w:rsidR="00804080" w:rsidRPr="002A75F2">
        <w:rPr>
          <w:rFonts w:cs="Arial"/>
        </w:rPr>
        <w:t xml:space="preserve">ublic registry under the </w:t>
      </w:r>
      <w:r w:rsidR="00804080" w:rsidRPr="002A75F2">
        <w:rPr>
          <w:rFonts w:cs="Arial"/>
          <w:i/>
        </w:rPr>
        <w:t>Environmental Bill of Rights, 1993</w:t>
      </w:r>
      <w:r w:rsidR="00804080" w:rsidRPr="002A75F2">
        <w:rPr>
          <w:rFonts w:cs="Arial"/>
        </w:rPr>
        <w:t>. CPUs for Tier 3 risk assessments are posted to the Environmental Registry in draft for public comment and in final version when issued to the property owner; registry listings are publicly viewable and searchable.</w:t>
      </w:r>
    </w:p>
    <w:p w14:paraId="57A7DE3C" w14:textId="03A3B0D0" w:rsidR="006A302A" w:rsidRPr="002A75F2" w:rsidRDefault="006A302A" w:rsidP="00757A5E">
      <w:pPr>
        <w:rPr>
          <w:rFonts w:cs="Arial"/>
          <w:lang w:val="fr-CA"/>
        </w:rPr>
      </w:pPr>
      <w:r w:rsidRPr="002A75F2">
        <w:rPr>
          <w:rFonts w:cs="Arial"/>
        </w:rPr>
        <w:t>URL: https://ero.ontario.ca/</w:t>
      </w:r>
    </w:p>
    <w:p w14:paraId="72119431" w14:textId="77777777" w:rsidR="00AC0474" w:rsidRPr="002A75F2" w:rsidRDefault="00AC0474" w:rsidP="00AC0474">
      <w:pPr>
        <w:rPr>
          <w:rFonts w:cs="Arial"/>
        </w:rPr>
      </w:pPr>
    </w:p>
    <w:p w14:paraId="276EFD96" w14:textId="77777777" w:rsidR="00AC0474" w:rsidRPr="002A75F2" w:rsidRDefault="00AC0474" w:rsidP="00AC0474">
      <w:pPr>
        <w:rPr>
          <w:rFonts w:cs="Arial"/>
          <w:b/>
        </w:rPr>
      </w:pPr>
      <w:r w:rsidRPr="002A75F2">
        <w:rPr>
          <w:rFonts w:cs="Arial"/>
          <w:b/>
        </w:rPr>
        <w:t>Ministry Contacts – Local District Offices</w:t>
      </w:r>
    </w:p>
    <w:p w14:paraId="6803189D" w14:textId="7EC61382" w:rsidR="00AC0474" w:rsidRPr="002A75F2" w:rsidRDefault="00757A5E" w:rsidP="00AC0474">
      <w:pPr>
        <w:rPr>
          <w:rFonts w:cs="Arial"/>
        </w:rPr>
      </w:pPr>
      <w:r w:rsidRPr="002A75F2">
        <w:rPr>
          <w:rFonts w:cs="Arial"/>
        </w:rPr>
        <w:t>The Min</w:t>
      </w:r>
      <w:r w:rsidR="00911C29" w:rsidRPr="002A75F2">
        <w:rPr>
          <w:rFonts w:cs="Arial"/>
        </w:rPr>
        <w:t>i</w:t>
      </w:r>
      <w:r w:rsidRPr="002A75F2">
        <w:rPr>
          <w:rFonts w:cs="Arial"/>
        </w:rPr>
        <w:t xml:space="preserve">stry’s </w:t>
      </w:r>
      <w:hyperlink r:id="rId21" w:history="1">
        <w:r w:rsidRPr="002A75F2">
          <w:rPr>
            <w:rStyle w:val="Hyperlink"/>
            <w:rFonts w:cs="Arial"/>
          </w:rPr>
          <w:t>local District locator</w:t>
        </w:r>
      </w:hyperlink>
      <w:r w:rsidRPr="002A75F2">
        <w:rPr>
          <w:rFonts w:cs="Arial"/>
        </w:rPr>
        <w:t xml:space="preserve"> can be consulted w</w:t>
      </w:r>
      <w:r w:rsidR="00AC0474" w:rsidRPr="002A75F2">
        <w:rPr>
          <w:rFonts w:cs="Arial"/>
        </w:rPr>
        <w:t xml:space="preserve">hen determining </w:t>
      </w:r>
      <w:r w:rsidR="00B11146" w:rsidRPr="002A75F2">
        <w:rPr>
          <w:rFonts w:cs="Arial"/>
        </w:rPr>
        <w:t xml:space="preserve">which </w:t>
      </w:r>
      <w:r w:rsidR="00AC0474" w:rsidRPr="002A75F2">
        <w:rPr>
          <w:rFonts w:cs="Arial"/>
        </w:rPr>
        <w:t xml:space="preserve">local Ministry District Office </w:t>
      </w:r>
      <w:r w:rsidR="00B11146" w:rsidRPr="002A75F2">
        <w:rPr>
          <w:rFonts w:cs="Arial"/>
        </w:rPr>
        <w:t>the RA property is located in</w:t>
      </w:r>
      <w:r w:rsidRPr="002A75F2">
        <w:rPr>
          <w:rFonts w:cs="Arial"/>
        </w:rPr>
        <w:t>.</w:t>
      </w:r>
    </w:p>
    <w:p w14:paraId="7F23801B" w14:textId="11DF49B6" w:rsidR="006A302A" w:rsidRPr="002A75F2" w:rsidRDefault="006A302A" w:rsidP="00AC0474">
      <w:pPr>
        <w:rPr>
          <w:rFonts w:cs="Arial"/>
        </w:rPr>
      </w:pPr>
      <w:r w:rsidRPr="002A75F2">
        <w:rPr>
          <w:rFonts w:cs="Arial"/>
        </w:rPr>
        <w:t>URL: https://www.ontario.ca/environment-and-energy/ministry-environment-district-locator</w:t>
      </w:r>
    </w:p>
    <w:p w14:paraId="3D4BC730" w14:textId="77777777" w:rsidR="00232C9C" w:rsidRPr="000C60E1" w:rsidRDefault="00232C9C" w:rsidP="00AC0474">
      <w:pPr>
        <w:rPr>
          <w:rFonts w:cs="Arial"/>
        </w:rPr>
      </w:pPr>
    </w:p>
    <w:p w14:paraId="1F2552E8" w14:textId="55AE941D" w:rsidR="00B736F9" w:rsidRPr="000C60E1" w:rsidRDefault="00B736F9" w:rsidP="00FC6D21">
      <w:pPr>
        <w:pStyle w:val="Heading2"/>
        <w:rPr>
          <w:rFonts w:cs="Arial"/>
        </w:rPr>
      </w:pPr>
      <w:bookmarkStart w:id="421" w:name="_Toc41905749"/>
      <w:r w:rsidRPr="000C60E1">
        <w:rPr>
          <w:rFonts w:cs="Arial"/>
        </w:rPr>
        <w:t>Useful References for Human Health Risk Assessment</w:t>
      </w:r>
      <w:bookmarkEnd w:id="415"/>
      <w:bookmarkEnd w:id="416"/>
      <w:bookmarkEnd w:id="417"/>
      <w:bookmarkEnd w:id="418"/>
      <w:bookmarkEnd w:id="419"/>
      <w:bookmarkEnd w:id="420"/>
      <w:bookmarkEnd w:id="421"/>
    </w:p>
    <w:p w14:paraId="75EA5948" w14:textId="77777777" w:rsidR="00B736F9" w:rsidRPr="002A75F2" w:rsidRDefault="00B736F9" w:rsidP="00840964">
      <w:pPr>
        <w:rPr>
          <w:rFonts w:cs="Arial"/>
        </w:rPr>
      </w:pPr>
      <w:r w:rsidRPr="000C60E1">
        <w:rPr>
          <w:rFonts w:cs="Arial"/>
        </w:rPr>
        <w:lastRenderedPageBreak/>
        <w:t>For additional information the reader can refer to</w:t>
      </w:r>
      <w:r w:rsidR="00754326" w:rsidRPr="000C60E1">
        <w:rPr>
          <w:rFonts w:cs="Arial"/>
        </w:rPr>
        <w:t xml:space="preserve"> the </w:t>
      </w:r>
      <w:r w:rsidR="00184446" w:rsidRPr="000C60E1">
        <w:rPr>
          <w:rFonts w:cs="Arial"/>
        </w:rPr>
        <w:t xml:space="preserve">Ministry’s </w:t>
      </w:r>
      <w:r w:rsidR="00BA57DC" w:rsidRPr="000C60E1">
        <w:rPr>
          <w:rFonts w:cs="Arial"/>
        </w:rPr>
        <w:t>“</w:t>
      </w:r>
      <w:r w:rsidR="00754326" w:rsidRPr="000C60E1">
        <w:rPr>
          <w:rFonts w:cs="Arial"/>
        </w:rPr>
        <w:t>Rationale for the Development of Soil Ground Water Standards for Use at Contaminated Sites in Ontario</w:t>
      </w:r>
      <w:r w:rsidR="00BA57DC" w:rsidRPr="000C60E1">
        <w:rPr>
          <w:rFonts w:cs="Arial"/>
        </w:rPr>
        <w:t>”</w:t>
      </w:r>
      <w:r w:rsidR="00754326" w:rsidRPr="000C60E1">
        <w:rPr>
          <w:rFonts w:cs="Arial"/>
        </w:rPr>
        <w:t xml:space="preserve"> (MOE 2011)</w:t>
      </w:r>
      <w:r w:rsidRPr="000C60E1">
        <w:rPr>
          <w:rFonts w:cs="Arial"/>
        </w:rPr>
        <w:t xml:space="preserve"> and the United States Environmental Protection Agency document titled </w:t>
      </w:r>
      <w:r w:rsidR="00BA57DC" w:rsidRPr="000C60E1">
        <w:rPr>
          <w:rFonts w:cs="Arial"/>
        </w:rPr>
        <w:t>“</w:t>
      </w:r>
      <w:r w:rsidRPr="000C60E1">
        <w:rPr>
          <w:rFonts w:cs="Arial"/>
        </w:rPr>
        <w:t xml:space="preserve">Risk Assessment Guidance for </w:t>
      </w:r>
      <w:r w:rsidRPr="002A75F2">
        <w:rPr>
          <w:rFonts w:cs="Arial"/>
        </w:rPr>
        <w:t>Superfund, Volume I: Human Health Evaluation Manual (Part A)</w:t>
      </w:r>
      <w:r w:rsidR="00BA57DC" w:rsidRPr="002A75F2">
        <w:rPr>
          <w:rFonts w:cs="Arial"/>
        </w:rPr>
        <w:t>”</w:t>
      </w:r>
      <w:r w:rsidRPr="002A75F2">
        <w:rPr>
          <w:rFonts w:cs="Arial"/>
        </w:rPr>
        <w:t xml:space="preserve"> (US EPA, 1989b) for more detailed guidance on conducting human health risk assessment.</w:t>
      </w:r>
    </w:p>
    <w:p w14:paraId="3A70188A" w14:textId="73DF72DE" w:rsidR="00C43B9E" w:rsidRPr="002A75F2" w:rsidRDefault="00B736F9" w:rsidP="00840964">
      <w:pPr>
        <w:rPr>
          <w:rFonts w:cs="Arial"/>
        </w:rPr>
      </w:pPr>
      <w:r w:rsidRPr="002A75F2">
        <w:rPr>
          <w:rFonts w:cs="Arial"/>
        </w:rPr>
        <w:t xml:space="preserve">A list of other useful resource literature on various aspects of human health risk assessment is provided in this section. This </w:t>
      </w:r>
      <w:r w:rsidR="002F69E9" w:rsidRPr="002A75F2">
        <w:rPr>
          <w:rFonts w:cs="Arial"/>
        </w:rPr>
        <w:t xml:space="preserve">list </w:t>
      </w:r>
      <w:r w:rsidRPr="002A75F2">
        <w:rPr>
          <w:rFonts w:cs="Arial"/>
        </w:rPr>
        <w:t xml:space="preserve">is not meant to be exhaustive and does not represent endorsement by the </w:t>
      </w:r>
      <w:r w:rsidR="00575DA4" w:rsidRPr="002A75F2">
        <w:rPr>
          <w:rFonts w:cs="Arial"/>
        </w:rPr>
        <w:t>M</w:t>
      </w:r>
      <w:r w:rsidR="002A6EE0" w:rsidRPr="002A75F2">
        <w:rPr>
          <w:rFonts w:cs="Arial"/>
        </w:rPr>
        <w:t>inistry</w:t>
      </w:r>
      <w:r w:rsidRPr="002A75F2">
        <w:rPr>
          <w:rFonts w:cs="Arial"/>
        </w:rPr>
        <w:t xml:space="preserve">. These documents also contain specific jurisdictional policies and default values which may not be applicable to </w:t>
      </w:r>
      <w:smartTag w:uri="urn:schemas-microsoft-com:office:smarttags" w:element="State">
        <w:smartTag w:uri="urn:schemas-microsoft-com:office:smarttags" w:element="place">
          <w:r w:rsidRPr="002A75F2">
            <w:rPr>
              <w:rFonts w:cs="Arial"/>
            </w:rPr>
            <w:t>Ontario</w:t>
          </w:r>
        </w:smartTag>
      </w:smartTag>
      <w:r w:rsidRPr="002A75F2">
        <w:rPr>
          <w:rFonts w:cs="Arial"/>
        </w:rPr>
        <w:t>. Sound scientific judgment should be exercised in utilizing any of the documents.</w:t>
      </w:r>
      <w:r w:rsidR="00C43B9E" w:rsidRPr="002A75F2">
        <w:rPr>
          <w:rFonts w:cs="Arial"/>
        </w:rPr>
        <w:t xml:space="preserve"> </w:t>
      </w:r>
    </w:p>
    <w:p w14:paraId="796A49DC" w14:textId="5E46B61E" w:rsidR="00B736F9" w:rsidRPr="002A75F2" w:rsidRDefault="00CE432E" w:rsidP="00840964">
      <w:pPr>
        <w:rPr>
          <w:rFonts w:cs="Arial"/>
        </w:rPr>
      </w:pPr>
      <w:bookmarkStart w:id="422" w:name="_Hlk35356127"/>
      <w:r w:rsidRPr="002A75F2">
        <w:rPr>
          <w:rFonts w:cs="Arial"/>
        </w:rPr>
        <w:t>Note that t</w:t>
      </w:r>
      <w:r w:rsidR="00C43B9E" w:rsidRPr="002A75F2">
        <w:rPr>
          <w:rFonts w:cs="Arial"/>
        </w:rPr>
        <w:t>he following list of references for human health risk assessment was originally included in the 2005 version of the Procedures document</w:t>
      </w:r>
      <w:r w:rsidR="00CC5763" w:rsidRPr="002A75F2">
        <w:rPr>
          <w:rFonts w:cs="Arial"/>
        </w:rPr>
        <w:t xml:space="preserve">. Although </w:t>
      </w:r>
      <w:r w:rsidR="00C43B9E" w:rsidRPr="002A75F2">
        <w:rPr>
          <w:rFonts w:cs="Arial"/>
        </w:rPr>
        <w:t xml:space="preserve">the Ministry has </w:t>
      </w:r>
      <w:r w:rsidR="00CC5763" w:rsidRPr="002A75F2">
        <w:rPr>
          <w:rFonts w:cs="Arial"/>
        </w:rPr>
        <w:t xml:space="preserve">added a few additional references since 2005, </w:t>
      </w:r>
      <w:r w:rsidR="004F0FED" w:rsidRPr="002A75F2">
        <w:rPr>
          <w:rFonts w:cs="Arial"/>
        </w:rPr>
        <w:t xml:space="preserve">overall </w:t>
      </w:r>
      <w:r w:rsidR="00CC5763" w:rsidRPr="002A75F2">
        <w:rPr>
          <w:rFonts w:cs="Arial"/>
        </w:rPr>
        <w:t xml:space="preserve">this </w:t>
      </w:r>
      <w:r w:rsidR="00C43B9E" w:rsidRPr="002A75F2">
        <w:rPr>
          <w:rFonts w:cs="Arial"/>
        </w:rPr>
        <w:t xml:space="preserve">list </w:t>
      </w:r>
      <w:r w:rsidR="00CC5763" w:rsidRPr="002A75F2">
        <w:rPr>
          <w:rFonts w:cs="Arial"/>
        </w:rPr>
        <w:t xml:space="preserve">has not been formally reviewed or updated </w:t>
      </w:r>
      <w:r w:rsidR="00C43B9E" w:rsidRPr="002A75F2">
        <w:rPr>
          <w:rFonts w:cs="Arial"/>
        </w:rPr>
        <w:t xml:space="preserve">since </w:t>
      </w:r>
      <w:r w:rsidR="00CC5763" w:rsidRPr="002A75F2">
        <w:rPr>
          <w:rFonts w:cs="Arial"/>
        </w:rPr>
        <w:t>then</w:t>
      </w:r>
      <w:r w:rsidR="00C43B9E" w:rsidRPr="002A75F2">
        <w:rPr>
          <w:rFonts w:cs="Arial"/>
        </w:rPr>
        <w:t>.</w:t>
      </w:r>
    </w:p>
    <w:bookmarkEnd w:id="422"/>
    <w:p w14:paraId="7DA0740E" w14:textId="77777777" w:rsidR="00B736F9" w:rsidRPr="002A75F2" w:rsidRDefault="00B736F9" w:rsidP="00840964">
      <w:pPr>
        <w:rPr>
          <w:rFonts w:cs="Arial"/>
        </w:rPr>
      </w:pPr>
      <w:r w:rsidRPr="002A75F2">
        <w:rPr>
          <w:rFonts w:cs="Arial"/>
        </w:rPr>
        <w:t xml:space="preserve">Angus Environmental Ltd.  1991.  Review and Evaluation of Receptor Characteristics for Multi-media Assessments.  Final Report.  Prepared for Ministry of National Health and Welfare, Environmental Health Directorate, </w:t>
      </w:r>
      <w:smartTag w:uri="urn:schemas-microsoft-com:office:smarttags" w:element="City">
        <w:smartTag w:uri="urn:schemas-microsoft-com:office:smarttags" w:element="place">
          <w:r w:rsidRPr="002A75F2">
            <w:rPr>
              <w:rFonts w:cs="Arial"/>
            </w:rPr>
            <w:t>Ottawa</w:t>
          </w:r>
        </w:smartTag>
      </w:smartTag>
      <w:r w:rsidRPr="002A75F2">
        <w:rPr>
          <w:rFonts w:cs="Arial"/>
        </w:rPr>
        <w:t>.</w:t>
      </w:r>
    </w:p>
    <w:p w14:paraId="0F913619" w14:textId="77777777" w:rsidR="00B736F9" w:rsidRPr="002A75F2" w:rsidRDefault="00B736F9" w:rsidP="00840964">
      <w:pPr>
        <w:rPr>
          <w:rFonts w:cs="Arial"/>
        </w:rPr>
      </w:pPr>
      <w:proofErr w:type="spellStart"/>
      <w:r w:rsidRPr="002A75F2">
        <w:rPr>
          <w:rFonts w:cs="Arial"/>
        </w:rPr>
        <w:t>Burmaster</w:t>
      </w:r>
      <w:proofErr w:type="spellEnd"/>
      <w:r w:rsidRPr="002A75F2">
        <w:rPr>
          <w:rFonts w:cs="Arial"/>
        </w:rPr>
        <w:t>, D.E. and P.D. Anderson.  1994.  Principles of good practice for the use of Monte Carlo Techniques in Human Health and Ecological risk assessments.  Risk Analysis.  14: 477-481.</w:t>
      </w:r>
    </w:p>
    <w:p w14:paraId="50D51E0B" w14:textId="77777777" w:rsidR="00B736F9" w:rsidRPr="002A75F2" w:rsidRDefault="00B736F9" w:rsidP="00840964">
      <w:pPr>
        <w:rPr>
          <w:rFonts w:cs="Arial"/>
        </w:rPr>
      </w:pPr>
      <w:r w:rsidRPr="002A75F2">
        <w:rPr>
          <w:rFonts w:cs="Arial"/>
        </w:rPr>
        <w:t xml:space="preserve">Canadian Council of Ministers of Environment (CCME).  1996.  A Protocol for the Derivation of Environmental and Human Health Soil Quality Guidelines.  Subcommittee of the CCME on Environmental Quality Criteria for Contaminated Sites. CCME, </w:t>
      </w:r>
      <w:smartTag w:uri="urn:schemas-microsoft-com:office:smarttags" w:element="place">
        <w:smartTag w:uri="urn:schemas-microsoft-com:office:smarttags" w:element="City">
          <w:r w:rsidRPr="002A75F2">
            <w:rPr>
              <w:rFonts w:cs="Arial"/>
            </w:rPr>
            <w:t>Winnipeg</w:t>
          </w:r>
        </w:smartTag>
        <w:r w:rsidRPr="002A75F2">
          <w:rPr>
            <w:rFonts w:cs="Arial"/>
          </w:rPr>
          <w:t xml:space="preserve">, </w:t>
        </w:r>
        <w:smartTag w:uri="urn:schemas-microsoft-com:office:smarttags" w:element="State">
          <w:r w:rsidRPr="002A75F2">
            <w:rPr>
              <w:rFonts w:cs="Arial"/>
            </w:rPr>
            <w:t>Manitoba</w:t>
          </w:r>
        </w:smartTag>
      </w:smartTag>
      <w:r w:rsidRPr="002A75F2">
        <w:rPr>
          <w:rFonts w:cs="Arial"/>
        </w:rPr>
        <w:t>.</w:t>
      </w:r>
    </w:p>
    <w:p w14:paraId="1AEE7858" w14:textId="77777777" w:rsidR="00B736F9" w:rsidRPr="002A75F2" w:rsidRDefault="00B736F9" w:rsidP="00840964">
      <w:pPr>
        <w:rPr>
          <w:rFonts w:cs="Arial"/>
        </w:rPr>
      </w:pPr>
      <w:r w:rsidRPr="002A75F2">
        <w:rPr>
          <w:rFonts w:cs="Arial"/>
        </w:rPr>
        <w:t xml:space="preserve">CAPCOA.  1993.  Air Toxics "Hot Spots" Program.  Revised 1992 Risk Assessment Guidelines.  Toxics Committee of the </w:t>
      </w:r>
      <w:smartTag w:uri="urn:schemas-microsoft-com:office:smarttags" w:element="State">
        <w:smartTag w:uri="urn:schemas-microsoft-com:office:smarttags" w:element="place">
          <w:r w:rsidRPr="002A75F2">
            <w:rPr>
              <w:rFonts w:cs="Arial"/>
            </w:rPr>
            <w:t>California</w:t>
          </w:r>
        </w:smartTag>
      </w:smartTag>
      <w:r w:rsidRPr="002A75F2">
        <w:rPr>
          <w:rFonts w:cs="Arial"/>
        </w:rPr>
        <w:t xml:space="preserve"> Air Pollution Control Officers Association, </w:t>
      </w:r>
      <w:smartTag w:uri="urn:schemas-microsoft-com:office:smarttags" w:element="State">
        <w:smartTag w:uri="urn:schemas-microsoft-com:office:smarttags" w:element="place">
          <w:r w:rsidRPr="002A75F2">
            <w:rPr>
              <w:rFonts w:cs="Arial"/>
            </w:rPr>
            <w:t>California</w:t>
          </w:r>
        </w:smartTag>
      </w:smartTag>
      <w:r w:rsidRPr="002A75F2">
        <w:rPr>
          <w:rFonts w:cs="Arial"/>
        </w:rPr>
        <w:t>.  A Framework for Ecological Risk Assessment: General Guidance.</w:t>
      </w:r>
    </w:p>
    <w:p w14:paraId="498B9478" w14:textId="77777777" w:rsidR="00B736F9" w:rsidRPr="002A75F2" w:rsidRDefault="00B736F9" w:rsidP="00840964">
      <w:pPr>
        <w:rPr>
          <w:rFonts w:cs="Arial"/>
        </w:rPr>
      </w:pPr>
      <w:r w:rsidRPr="002A75F2">
        <w:rPr>
          <w:rFonts w:cs="Arial"/>
        </w:rPr>
        <w:t xml:space="preserve">CCME.  April, 1996  (c/o Manitoba Statutory Publications, </w:t>
      </w:r>
      <w:smartTag w:uri="urn:schemas-microsoft-com:office:smarttags" w:element="address">
        <w:smartTag w:uri="urn:schemas-microsoft-com:office:smarttags" w:element="Street">
          <w:r w:rsidRPr="002A75F2">
            <w:rPr>
              <w:rFonts w:cs="Arial"/>
            </w:rPr>
            <w:t>200 Vaughn St.</w:t>
          </w:r>
        </w:smartTag>
        <w:r w:rsidRPr="002A75F2">
          <w:rPr>
            <w:rFonts w:cs="Arial"/>
          </w:rPr>
          <w:t xml:space="preserve"> </w:t>
        </w:r>
        <w:smartTag w:uri="urn:schemas-microsoft-com:office:smarttags" w:element="City">
          <w:r w:rsidRPr="002A75F2">
            <w:rPr>
              <w:rFonts w:cs="Arial"/>
            </w:rPr>
            <w:t>Winnipeg</w:t>
          </w:r>
        </w:smartTag>
        <w:r w:rsidRPr="002A75F2">
          <w:rPr>
            <w:rFonts w:cs="Arial"/>
          </w:rPr>
          <w:t xml:space="preserve">, </w:t>
        </w:r>
        <w:smartTag w:uri="urn:schemas-microsoft-com:office:smarttags" w:element="State">
          <w:r w:rsidRPr="002A75F2">
            <w:rPr>
              <w:rFonts w:cs="Arial"/>
            </w:rPr>
            <w:t>Manitoba</w:t>
          </w:r>
        </w:smartTag>
      </w:smartTag>
      <w:r w:rsidRPr="002A75F2">
        <w:rPr>
          <w:rFonts w:cs="Arial"/>
        </w:rPr>
        <w:t xml:space="preserve">, R3C-1T5, phone 204-945-4664). A Technical Appendix to this document is also available from Health &amp; Welfare Canada.  1990.  Health Risk Determination: The Challenge of Protection.  Ministry of National Health and Welfare, Health Protection </w:t>
      </w:r>
      <w:smartTag w:uri="urn:schemas-microsoft-com:office:smarttags" w:element="place">
        <w:smartTag w:uri="urn:schemas-microsoft-com:office:smarttags" w:element="City">
          <w:r w:rsidRPr="002A75F2">
            <w:rPr>
              <w:rFonts w:cs="Arial"/>
            </w:rPr>
            <w:t>Branch</w:t>
          </w:r>
        </w:smartTag>
        <w:r w:rsidRPr="002A75F2">
          <w:rPr>
            <w:rFonts w:cs="Arial"/>
          </w:rPr>
          <w:t xml:space="preserve">, </w:t>
        </w:r>
        <w:smartTag w:uri="urn:schemas-microsoft-com:office:smarttags" w:element="country-region">
          <w:r w:rsidRPr="002A75F2">
            <w:rPr>
              <w:rFonts w:cs="Arial"/>
            </w:rPr>
            <w:t>Canada</w:t>
          </w:r>
        </w:smartTag>
      </w:smartTag>
      <w:r w:rsidRPr="002A75F2">
        <w:rPr>
          <w:rFonts w:cs="Arial"/>
        </w:rPr>
        <w:t>.</w:t>
      </w:r>
    </w:p>
    <w:p w14:paraId="0ACBAAE5" w14:textId="77777777" w:rsidR="00B736F9" w:rsidRPr="002A75F2" w:rsidRDefault="00B736F9" w:rsidP="00840964">
      <w:pPr>
        <w:rPr>
          <w:rFonts w:cs="Arial"/>
        </w:rPr>
      </w:pPr>
      <w:r w:rsidRPr="002A75F2">
        <w:rPr>
          <w:rFonts w:cs="Arial"/>
        </w:rPr>
        <w:t xml:space="preserve">Health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1994a.  Canadian Environmental Protection Act.  Human Health Risk Assessment for Priority Substances.  Environmental Health Directorate, </w:t>
      </w:r>
      <w:smartTag w:uri="urn:schemas-microsoft-com:office:smarttags" w:element="place">
        <w:smartTag w:uri="urn:schemas-microsoft-com:office:smarttags" w:element="City">
          <w:r w:rsidRPr="002A75F2">
            <w:rPr>
              <w:rFonts w:cs="Arial"/>
            </w:rPr>
            <w:t>Ottawa</w:t>
          </w:r>
        </w:smartTag>
        <w:r w:rsidRPr="002A75F2">
          <w:rPr>
            <w:rFonts w:cs="Arial"/>
          </w:rPr>
          <w:t xml:space="preserve">, </w:t>
        </w:r>
        <w:smartTag w:uri="urn:schemas-microsoft-com:office:smarttags" w:element="country-region">
          <w:r w:rsidRPr="002A75F2">
            <w:rPr>
              <w:rFonts w:cs="Arial"/>
            </w:rPr>
            <w:t>Canada</w:t>
          </w:r>
        </w:smartTag>
      </w:smartTag>
      <w:r w:rsidRPr="002A75F2">
        <w:rPr>
          <w:rFonts w:cs="Arial"/>
        </w:rPr>
        <w:t>.</w:t>
      </w:r>
    </w:p>
    <w:p w14:paraId="4267CADD" w14:textId="77777777" w:rsidR="00B736F9" w:rsidRPr="002A75F2" w:rsidRDefault="00B736F9" w:rsidP="00840964">
      <w:pPr>
        <w:rPr>
          <w:rFonts w:cs="Arial"/>
        </w:rPr>
      </w:pPr>
      <w:r w:rsidRPr="002A75F2">
        <w:rPr>
          <w:rFonts w:cs="Arial"/>
        </w:rPr>
        <w:t xml:space="preserve">Health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1994b.  Human Health Risk Assessment of Contaminants from Contaminated Sites. Volume 1. Risk Assessment Guidance Manual.  Draft.  Environmental Health Directorate, </w:t>
      </w:r>
      <w:smartTag w:uri="urn:schemas-microsoft-com:office:smarttags" w:element="place">
        <w:smartTag w:uri="urn:schemas-microsoft-com:office:smarttags" w:element="City">
          <w:r w:rsidRPr="002A75F2">
            <w:rPr>
              <w:rFonts w:cs="Arial"/>
            </w:rPr>
            <w:t>Ottawa</w:t>
          </w:r>
        </w:smartTag>
        <w:r w:rsidRPr="002A75F2">
          <w:rPr>
            <w:rFonts w:cs="Arial"/>
          </w:rPr>
          <w:t xml:space="preserve">, </w:t>
        </w:r>
        <w:smartTag w:uri="urn:schemas-microsoft-com:office:smarttags" w:element="country-region">
          <w:r w:rsidRPr="002A75F2">
            <w:rPr>
              <w:rFonts w:cs="Arial"/>
            </w:rPr>
            <w:t>Canada</w:t>
          </w:r>
        </w:smartTag>
      </w:smartTag>
      <w:r w:rsidRPr="002A75F2">
        <w:rPr>
          <w:rFonts w:cs="Arial"/>
        </w:rPr>
        <w:t>.</w:t>
      </w:r>
    </w:p>
    <w:p w14:paraId="22DE588E" w14:textId="77777777" w:rsidR="00B736F9" w:rsidRPr="002A75F2" w:rsidRDefault="00B736F9" w:rsidP="00840964">
      <w:pPr>
        <w:rPr>
          <w:rFonts w:cs="Arial"/>
        </w:rPr>
      </w:pPr>
      <w:r w:rsidRPr="002A75F2">
        <w:rPr>
          <w:rFonts w:cs="Arial"/>
        </w:rPr>
        <w:t xml:space="preserve">Health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1994c.  Human Health Risk Assessment of Contaminants from Contaminated Sites.  Volume 2. Risk Assessment Application Manual.  Draft.  Health and Welfare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Environmental Health Directorate, </w:t>
      </w:r>
      <w:smartTag w:uri="urn:schemas-microsoft-com:office:smarttags" w:element="place">
        <w:smartTag w:uri="urn:schemas-microsoft-com:office:smarttags" w:element="City">
          <w:r w:rsidRPr="002A75F2">
            <w:rPr>
              <w:rFonts w:cs="Arial"/>
            </w:rPr>
            <w:t>Ottawa</w:t>
          </w:r>
        </w:smartTag>
        <w:r w:rsidRPr="002A75F2">
          <w:rPr>
            <w:rFonts w:cs="Arial"/>
          </w:rPr>
          <w:t xml:space="preserve">, </w:t>
        </w:r>
        <w:smartTag w:uri="urn:schemas-microsoft-com:office:smarttags" w:element="country-region">
          <w:r w:rsidRPr="002A75F2">
            <w:rPr>
              <w:rFonts w:cs="Arial"/>
            </w:rPr>
            <w:t>Canada</w:t>
          </w:r>
        </w:smartTag>
      </w:smartTag>
      <w:r w:rsidRPr="002A75F2">
        <w:rPr>
          <w:rFonts w:cs="Arial"/>
        </w:rPr>
        <w:t>.</w:t>
      </w:r>
    </w:p>
    <w:p w14:paraId="46F7F203" w14:textId="77777777" w:rsidR="00B736F9" w:rsidRPr="002A75F2" w:rsidRDefault="00B736F9" w:rsidP="00840964">
      <w:pPr>
        <w:rPr>
          <w:rFonts w:cs="Arial"/>
        </w:rPr>
      </w:pPr>
      <w:r w:rsidRPr="002A75F2">
        <w:rPr>
          <w:rFonts w:cs="Arial"/>
        </w:rPr>
        <w:lastRenderedPageBreak/>
        <w:t xml:space="preserve">Health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1995.  Investigating Human Health Exposure to Contaminants in the Environment: A handbook for exposure calculations.  Health </w:t>
      </w:r>
      <w:smartTag w:uri="urn:schemas-microsoft-com:office:smarttags" w:element="country-region">
        <w:smartTag w:uri="urn:schemas-microsoft-com:office:smarttags" w:element="place">
          <w:r w:rsidRPr="002A75F2">
            <w:rPr>
              <w:rFonts w:cs="Arial"/>
            </w:rPr>
            <w:t>Canada</w:t>
          </w:r>
        </w:smartTag>
      </w:smartTag>
      <w:r w:rsidRPr="002A75F2">
        <w:rPr>
          <w:rFonts w:cs="Arial"/>
        </w:rPr>
        <w:t xml:space="preserve">, </w:t>
      </w:r>
      <w:smartTag w:uri="urn:schemas-microsoft-com:office:smarttags" w:element="place">
        <w:smartTag w:uri="urn:schemas-microsoft-com:office:smarttags" w:element="City">
          <w:r w:rsidRPr="002A75F2">
            <w:rPr>
              <w:rFonts w:cs="Arial"/>
            </w:rPr>
            <w:t>Ottawa</w:t>
          </w:r>
        </w:smartTag>
        <w:r w:rsidRPr="002A75F2">
          <w:rPr>
            <w:rFonts w:cs="Arial"/>
          </w:rPr>
          <w:t xml:space="preserve">, </w:t>
        </w:r>
        <w:smartTag w:uri="urn:schemas-microsoft-com:office:smarttags" w:element="country-region">
          <w:r w:rsidRPr="002A75F2">
            <w:rPr>
              <w:rFonts w:cs="Arial"/>
            </w:rPr>
            <w:t>Canada</w:t>
          </w:r>
        </w:smartTag>
      </w:smartTag>
      <w:r w:rsidRPr="002A75F2">
        <w:rPr>
          <w:rFonts w:cs="Arial"/>
        </w:rPr>
        <w:t>, Cat. No. H49-96/1-1995E.</w:t>
      </w:r>
    </w:p>
    <w:p w14:paraId="310C404C" w14:textId="77777777" w:rsidR="00CC5763" w:rsidRPr="002A75F2" w:rsidRDefault="00CC5763" w:rsidP="00840964">
      <w:pPr>
        <w:rPr>
          <w:rFonts w:cs="Arial"/>
        </w:rPr>
      </w:pPr>
      <w:r w:rsidRPr="002A75F2">
        <w:rPr>
          <w:rFonts w:cs="Arial"/>
        </w:rPr>
        <w:t xml:space="preserve">Health Canada. </w:t>
      </w:r>
      <w:r w:rsidR="00270BC6" w:rsidRPr="002A75F2">
        <w:rPr>
          <w:rFonts w:cs="Arial"/>
        </w:rPr>
        <w:t xml:space="preserve"> </w:t>
      </w:r>
      <w:r w:rsidRPr="002A75F2">
        <w:rPr>
          <w:rFonts w:cs="Arial"/>
        </w:rPr>
        <w:t xml:space="preserve">2017. </w:t>
      </w:r>
      <w:r w:rsidR="00270BC6" w:rsidRPr="002A75F2">
        <w:rPr>
          <w:rFonts w:cs="Arial"/>
        </w:rPr>
        <w:t xml:space="preserve"> </w:t>
      </w:r>
      <w:r w:rsidRPr="002A75F2">
        <w:rPr>
          <w:rFonts w:cs="Arial"/>
        </w:rPr>
        <w:t>Supplemental Guidance on Human Health Risk Assessment for Oral Bioavailability of Substances in Soil and Soil-Like Media.</w:t>
      </w:r>
      <w:r w:rsidR="00270BC6" w:rsidRPr="002A75F2">
        <w:rPr>
          <w:rFonts w:cs="Arial"/>
        </w:rPr>
        <w:t xml:space="preserve"> </w:t>
      </w:r>
      <w:r w:rsidRPr="002A75F2">
        <w:rPr>
          <w:rFonts w:cs="Arial"/>
        </w:rPr>
        <w:t xml:space="preserve"> Federal Contaminated Site Risk Assessment in Canada.</w:t>
      </w:r>
      <w:r w:rsidR="00270BC6" w:rsidRPr="002A75F2">
        <w:rPr>
          <w:rFonts w:cs="Arial"/>
        </w:rPr>
        <w:t xml:space="preserve"> </w:t>
      </w:r>
      <w:r w:rsidRPr="002A75F2">
        <w:rPr>
          <w:rFonts w:cs="Arial"/>
        </w:rPr>
        <w:t xml:space="preserve"> Prepared by Contaminated Sites Division, Safe Environments Directorate, Health Canada. </w:t>
      </w:r>
      <w:r w:rsidR="00270BC6" w:rsidRPr="002A75F2">
        <w:rPr>
          <w:rFonts w:cs="Arial"/>
        </w:rPr>
        <w:t xml:space="preserve"> </w:t>
      </w:r>
      <w:r w:rsidRPr="002A75F2">
        <w:rPr>
          <w:rFonts w:cs="Arial"/>
        </w:rPr>
        <w:t>August 2017.</w:t>
      </w:r>
    </w:p>
    <w:p w14:paraId="3E0B69F8" w14:textId="77777777" w:rsidR="00B736F9" w:rsidRPr="002A75F2" w:rsidRDefault="00B736F9" w:rsidP="00840964">
      <w:pPr>
        <w:rPr>
          <w:rFonts w:cs="Arial"/>
        </w:rPr>
      </w:pPr>
      <w:r w:rsidRPr="002A75F2">
        <w:rPr>
          <w:rFonts w:cs="Arial"/>
        </w:rPr>
        <w:t xml:space="preserve">MDEP.  April, 1994.  Background Documentation for the Development of the MPC Numerical Standards.  Massachusetts Department of Environmental Protection, Bureau of Waste Site Clean-up and Office of Research and Standards. </w:t>
      </w:r>
    </w:p>
    <w:p w14:paraId="56ED1813" w14:textId="77777777" w:rsidR="00B736F9" w:rsidRPr="002A75F2" w:rsidRDefault="00B736F9" w:rsidP="00840964">
      <w:pPr>
        <w:rPr>
          <w:rFonts w:cs="Arial"/>
        </w:rPr>
      </w:pPr>
      <w:r w:rsidRPr="002A75F2">
        <w:rPr>
          <w:rFonts w:cs="Arial"/>
        </w:rPr>
        <w:t xml:space="preserve">MOE. 1996a.  Guidance on Sampling and Analytical Methods for Use at Contaminated Sites in </w:t>
      </w:r>
      <w:smartTag w:uri="urn:schemas-microsoft-com:office:smarttags" w:element="State">
        <w:smartTag w:uri="urn:schemas-microsoft-com:office:smarttags" w:element="place">
          <w:r w:rsidRPr="002A75F2">
            <w:rPr>
              <w:rFonts w:cs="Arial"/>
            </w:rPr>
            <w:t>Ontario</w:t>
          </w:r>
        </w:smartTag>
      </w:smartTag>
      <w:r w:rsidRPr="002A75F2">
        <w:rPr>
          <w:rFonts w:cs="Arial"/>
        </w:rPr>
        <w:t xml:space="preserve">. (Marsh, M., R. </w:t>
      </w:r>
      <w:proofErr w:type="spellStart"/>
      <w:r w:rsidRPr="002A75F2">
        <w:rPr>
          <w:rFonts w:cs="Arial"/>
        </w:rPr>
        <w:t>Lall</w:t>
      </w:r>
      <w:proofErr w:type="spellEnd"/>
      <w:r w:rsidRPr="002A75F2">
        <w:rPr>
          <w:rFonts w:cs="Arial"/>
        </w:rPr>
        <w:t xml:space="preserve">, S. </w:t>
      </w:r>
      <w:proofErr w:type="spellStart"/>
      <w:r w:rsidRPr="002A75F2">
        <w:rPr>
          <w:rFonts w:cs="Arial"/>
        </w:rPr>
        <w:t>Capstick</w:t>
      </w:r>
      <w:proofErr w:type="spellEnd"/>
      <w:r w:rsidRPr="002A75F2">
        <w:rPr>
          <w:rFonts w:cs="Arial"/>
        </w:rPr>
        <w:t xml:space="preserve">, A. Lewis, E. </w:t>
      </w:r>
      <w:proofErr w:type="spellStart"/>
      <w:r w:rsidRPr="002A75F2">
        <w:rPr>
          <w:rFonts w:cs="Arial"/>
        </w:rPr>
        <w:t>Pastorek</w:t>
      </w:r>
      <w:proofErr w:type="spellEnd"/>
      <w:r w:rsidRPr="002A75F2">
        <w:rPr>
          <w:rFonts w:cs="Arial"/>
        </w:rPr>
        <w:t xml:space="preserve"> and A. </w:t>
      </w:r>
      <w:proofErr w:type="spellStart"/>
      <w:r w:rsidRPr="002A75F2">
        <w:rPr>
          <w:rFonts w:cs="Arial"/>
        </w:rPr>
        <w:t>Kuja</w:t>
      </w:r>
      <w:proofErr w:type="spellEnd"/>
      <w:r w:rsidRPr="002A75F2">
        <w:rPr>
          <w:rFonts w:cs="Arial"/>
        </w:rPr>
        <w:t>) Ontario Ministry of the Environment, Standards Development Branch. December, 1996.</w:t>
      </w:r>
    </w:p>
    <w:p w14:paraId="60C16798" w14:textId="77777777" w:rsidR="008524F3" w:rsidRPr="002A75F2" w:rsidRDefault="008524F3" w:rsidP="00840964">
      <w:pPr>
        <w:rPr>
          <w:rFonts w:cs="Arial"/>
        </w:rPr>
      </w:pPr>
      <w:r w:rsidRPr="002A75F2">
        <w:rPr>
          <w:rFonts w:cs="Arial"/>
        </w:rPr>
        <w:t xml:space="preserve">MOE. 2005. </w:t>
      </w:r>
      <w:r w:rsidR="00D36D04" w:rsidRPr="002A75F2">
        <w:rPr>
          <w:rFonts w:cs="Arial"/>
        </w:rPr>
        <w:t xml:space="preserve">Guidance on </w:t>
      </w:r>
      <w:r w:rsidRPr="002A75F2">
        <w:rPr>
          <w:rFonts w:cs="Arial"/>
        </w:rPr>
        <w:t xml:space="preserve">Oral Bioavailability </w:t>
      </w:r>
      <w:r w:rsidR="00D36D04" w:rsidRPr="002A75F2">
        <w:rPr>
          <w:rFonts w:cs="Arial"/>
        </w:rPr>
        <w:t xml:space="preserve">Adjustments </w:t>
      </w:r>
      <w:r w:rsidRPr="002A75F2">
        <w:rPr>
          <w:rFonts w:cs="Arial"/>
        </w:rPr>
        <w:t>in Huma</w:t>
      </w:r>
      <w:r w:rsidR="00D36D04" w:rsidRPr="002A75F2">
        <w:rPr>
          <w:rFonts w:cs="Arial"/>
        </w:rPr>
        <w:t>n</w:t>
      </w:r>
      <w:r w:rsidRPr="002A75F2">
        <w:rPr>
          <w:rFonts w:cs="Arial"/>
        </w:rPr>
        <w:t xml:space="preserve"> Health Risk Assessment</w:t>
      </w:r>
      <w:r w:rsidR="00F15466" w:rsidRPr="002A75F2">
        <w:rPr>
          <w:rFonts w:cs="Arial"/>
        </w:rPr>
        <w:t>.</w:t>
      </w:r>
      <w:r w:rsidRPr="002A75F2">
        <w:rPr>
          <w:rFonts w:cs="Arial"/>
        </w:rPr>
        <w:t xml:space="preserve"> Standards Development Branch</w:t>
      </w:r>
      <w:r w:rsidR="00F15466" w:rsidRPr="002A75F2">
        <w:rPr>
          <w:rFonts w:cs="Arial"/>
        </w:rPr>
        <w:t>, Position Paper</w:t>
      </w:r>
      <w:r w:rsidRPr="002A75F2">
        <w:rPr>
          <w:rFonts w:cs="Arial"/>
        </w:rPr>
        <w:t xml:space="preserve">. Final draft </w:t>
      </w:r>
      <w:r w:rsidR="00D36D04" w:rsidRPr="002A75F2">
        <w:rPr>
          <w:rFonts w:cs="Arial"/>
        </w:rPr>
        <w:t xml:space="preserve">Sept </w:t>
      </w:r>
      <w:r w:rsidRPr="002A75F2">
        <w:rPr>
          <w:rFonts w:cs="Arial"/>
        </w:rPr>
        <w:t>2005.</w:t>
      </w:r>
    </w:p>
    <w:p w14:paraId="76B01220" w14:textId="77777777" w:rsidR="00B736F9" w:rsidRPr="002A75F2" w:rsidRDefault="00B736F9" w:rsidP="00840964">
      <w:pPr>
        <w:rPr>
          <w:rFonts w:cs="Arial"/>
        </w:rPr>
      </w:pPr>
      <w:r w:rsidRPr="002A75F2">
        <w:rPr>
          <w:rFonts w:cs="Arial"/>
        </w:rPr>
        <w:t xml:space="preserve">National Research Council (U.S.).  1983.  Risk Assessment in the Federal Government: Managing the Process.  </w:t>
      </w:r>
      <w:smartTag w:uri="urn:schemas-microsoft-com:office:smarttags" w:element="place">
        <w:smartTag w:uri="urn:schemas-microsoft-com:office:smarttags" w:element="PlaceName">
          <w:r w:rsidRPr="002A75F2">
            <w:rPr>
              <w:rFonts w:cs="Arial"/>
            </w:rPr>
            <w:t>National</w:t>
          </w:r>
        </w:smartTag>
        <w:r w:rsidRPr="002A75F2">
          <w:rPr>
            <w:rFonts w:cs="Arial"/>
          </w:rPr>
          <w:t xml:space="preserve"> </w:t>
        </w:r>
        <w:smartTag w:uri="urn:schemas-microsoft-com:office:smarttags" w:element="PlaceType">
          <w:r w:rsidRPr="002A75F2">
            <w:rPr>
              <w:rFonts w:cs="Arial"/>
            </w:rPr>
            <w:t>Academy</w:t>
          </w:r>
        </w:smartTag>
      </w:smartTag>
      <w:r w:rsidRPr="002A75F2">
        <w:rPr>
          <w:rFonts w:cs="Arial"/>
        </w:rPr>
        <w:t xml:space="preserve"> Press,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p>
    <w:p w14:paraId="5BB442A5" w14:textId="77777777" w:rsidR="00B736F9" w:rsidRPr="002A75F2" w:rsidRDefault="00B736F9" w:rsidP="00840964">
      <w:pPr>
        <w:rPr>
          <w:rFonts w:cs="Arial"/>
        </w:rPr>
      </w:pPr>
      <w:r w:rsidRPr="002A75F2">
        <w:rPr>
          <w:rFonts w:cs="Arial"/>
        </w:rPr>
        <w:t>National Research Council (</w:t>
      </w:r>
      <w:smartTag w:uri="urn:schemas-microsoft-com:office:smarttags" w:element="country-region">
        <w:smartTag w:uri="urn:schemas-microsoft-com:office:smarttags" w:element="place">
          <w:r w:rsidRPr="002A75F2">
            <w:rPr>
              <w:rFonts w:cs="Arial"/>
            </w:rPr>
            <w:t>U.S.</w:t>
          </w:r>
        </w:smartTag>
      </w:smartTag>
      <w:r w:rsidRPr="002A75F2">
        <w:rPr>
          <w:rFonts w:cs="Arial"/>
        </w:rPr>
        <w:t xml:space="preserve">).  1993.  Issues in Risk Assessment.  </w:t>
      </w:r>
      <w:smartTag w:uri="urn:schemas-microsoft-com:office:smarttags" w:element="place">
        <w:smartTag w:uri="urn:schemas-microsoft-com:office:smarttags" w:element="PlaceName">
          <w:r w:rsidRPr="002A75F2">
            <w:rPr>
              <w:rFonts w:cs="Arial"/>
            </w:rPr>
            <w:t>National</w:t>
          </w:r>
        </w:smartTag>
        <w:r w:rsidRPr="002A75F2">
          <w:rPr>
            <w:rFonts w:cs="Arial"/>
          </w:rPr>
          <w:t xml:space="preserve"> </w:t>
        </w:r>
        <w:smartTag w:uri="urn:schemas-microsoft-com:office:smarttags" w:element="PlaceType">
          <w:r w:rsidRPr="002A75F2">
            <w:rPr>
              <w:rFonts w:cs="Arial"/>
            </w:rPr>
            <w:t>Academy</w:t>
          </w:r>
        </w:smartTag>
      </w:smartTag>
      <w:r w:rsidRPr="002A75F2">
        <w:rPr>
          <w:rFonts w:cs="Arial"/>
        </w:rPr>
        <w:t xml:space="preserve"> Press,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p>
    <w:p w14:paraId="2D6D98DF" w14:textId="77777777" w:rsidR="00B736F9" w:rsidRPr="002A75F2" w:rsidRDefault="00B736F9" w:rsidP="00840964">
      <w:pPr>
        <w:rPr>
          <w:rFonts w:cs="Arial"/>
        </w:rPr>
      </w:pPr>
      <w:r w:rsidRPr="002A75F2">
        <w:rPr>
          <w:rFonts w:cs="Arial"/>
        </w:rPr>
        <w:t>National Research Council (</w:t>
      </w:r>
      <w:smartTag w:uri="urn:schemas-microsoft-com:office:smarttags" w:element="country-region">
        <w:smartTag w:uri="urn:schemas-microsoft-com:office:smarttags" w:element="place">
          <w:r w:rsidRPr="002A75F2">
            <w:rPr>
              <w:rFonts w:cs="Arial"/>
            </w:rPr>
            <w:t>U.S.</w:t>
          </w:r>
        </w:smartTag>
      </w:smartTag>
      <w:r w:rsidRPr="002A75F2">
        <w:rPr>
          <w:rFonts w:cs="Arial"/>
        </w:rPr>
        <w:t xml:space="preserve">).  1994.  Science and Judgment in Risk Assessment.  </w:t>
      </w:r>
      <w:smartTag w:uri="urn:schemas-microsoft-com:office:smarttags" w:element="place">
        <w:smartTag w:uri="urn:schemas-microsoft-com:office:smarttags" w:element="PlaceName">
          <w:r w:rsidRPr="002A75F2">
            <w:rPr>
              <w:rFonts w:cs="Arial"/>
            </w:rPr>
            <w:t>National</w:t>
          </w:r>
        </w:smartTag>
        <w:r w:rsidRPr="002A75F2">
          <w:rPr>
            <w:rFonts w:cs="Arial"/>
          </w:rPr>
          <w:t xml:space="preserve"> </w:t>
        </w:r>
        <w:smartTag w:uri="urn:schemas-microsoft-com:office:smarttags" w:element="PlaceType">
          <w:r w:rsidRPr="002A75F2">
            <w:rPr>
              <w:rFonts w:cs="Arial"/>
            </w:rPr>
            <w:t>Academy</w:t>
          </w:r>
        </w:smartTag>
      </w:smartTag>
      <w:r w:rsidRPr="002A75F2">
        <w:rPr>
          <w:rFonts w:cs="Arial"/>
        </w:rPr>
        <w:t xml:space="preserve"> Press,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p>
    <w:p w14:paraId="608E7030" w14:textId="77777777" w:rsidR="00B736F9" w:rsidRPr="002A75F2" w:rsidRDefault="00B736F9" w:rsidP="00840964">
      <w:pPr>
        <w:rPr>
          <w:rFonts w:cs="Arial"/>
        </w:rPr>
      </w:pPr>
      <w:r w:rsidRPr="002A75F2">
        <w:rPr>
          <w:rFonts w:cs="Arial"/>
        </w:rPr>
        <w:t xml:space="preserve">Quebec Ministry of the Environment.  1991.  Guidelines for Toxicological Risk Assessment: Summary and Supporting Documents.  Preliminary.  Risk Assessment Service, </w:t>
      </w:r>
      <w:smartTag w:uri="urn:schemas-microsoft-com:office:smarttags" w:element="City">
        <w:smartTag w:uri="urn:schemas-microsoft-com:office:smarttags" w:element="place">
          <w:r w:rsidRPr="002A75F2">
            <w:rPr>
              <w:rFonts w:cs="Arial"/>
            </w:rPr>
            <w:t>Montreal</w:t>
          </w:r>
        </w:smartTag>
      </w:smartTag>
      <w:r w:rsidRPr="002A75F2">
        <w:rPr>
          <w:rFonts w:cs="Arial"/>
        </w:rPr>
        <w:t>.</w:t>
      </w:r>
    </w:p>
    <w:p w14:paraId="5372BEB9" w14:textId="77777777" w:rsidR="00B736F9" w:rsidRPr="002A75F2" w:rsidRDefault="00B736F9" w:rsidP="00840964">
      <w:pPr>
        <w:rPr>
          <w:rFonts w:cs="Arial"/>
        </w:rPr>
      </w:pPr>
      <w:r w:rsidRPr="002A75F2">
        <w:rPr>
          <w:rFonts w:cs="Arial"/>
        </w:rPr>
        <w:t xml:space="preserve">Richardson, G.M.  1997.  Compendium of Canadian Human Exposure Factors for Risk Assessment.  O’Connor and Associates Environmental Inc., </w:t>
      </w:r>
      <w:smartTag w:uri="urn:schemas-microsoft-com:office:smarttags" w:element="place">
        <w:smartTag w:uri="urn:schemas-microsoft-com:office:smarttags" w:element="City">
          <w:r w:rsidRPr="002A75F2">
            <w:rPr>
              <w:rFonts w:cs="Arial"/>
            </w:rPr>
            <w:t>Ottawa</w:t>
          </w:r>
        </w:smartTag>
        <w:r w:rsidRPr="002A75F2">
          <w:rPr>
            <w:rFonts w:cs="Arial"/>
          </w:rPr>
          <w:t xml:space="preserve">, </w:t>
        </w:r>
        <w:smartTag w:uri="urn:schemas-microsoft-com:office:smarttags" w:element="State">
          <w:r w:rsidRPr="002A75F2">
            <w:rPr>
              <w:rFonts w:cs="Arial"/>
            </w:rPr>
            <w:t>Ontario</w:t>
          </w:r>
        </w:smartTag>
      </w:smartTag>
      <w:r w:rsidRPr="002A75F2">
        <w:rPr>
          <w:rFonts w:cs="Arial"/>
        </w:rPr>
        <w:t xml:space="preserve">. </w:t>
      </w:r>
    </w:p>
    <w:p w14:paraId="740B9E83" w14:textId="77777777" w:rsidR="00CC5763" w:rsidRPr="002A75F2" w:rsidRDefault="00CC5763" w:rsidP="00840964">
      <w:pPr>
        <w:rPr>
          <w:rFonts w:cs="Arial"/>
        </w:rPr>
      </w:pPr>
      <w:r w:rsidRPr="002A75F2">
        <w:rPr>
          <w:rFonts w:cs="Arial"/>
        </w:rPr>
        <w:t xml:space="preserve">Richardson, G.M. and Stantec Consulting Ltd. </w:t>
      </w:r>
      <w:r w:rsidR="00270BC6" w:rsidRPr="002A75F2">
        <w:rPr>
          <w:rFonts w:cs="Arial"/>
        </w:rPr>
        <w:t xml:space="preserve"> </w:t>
      </w:r>
      <w:r w:rsidRPr="002A75F2">
        <w:rPr>
          <w:rFonts w:cs="Arial"/>
        </w:rPr>
        <w:t xml:space="preserve">2013. </w:t>
      </w:r>
      <w:r w:rsidR="00270BC6" w:rsidRPr="002A75F2">
        <w:rPr>
          <w:rFonts w:cs="Arial"/>
        </w:rPr>
        <w:t xml:space="preserve"> </w:t>
      </w:r>
      <w:r w:rsidRPr="002A75F2">
        <w:rPr>
          <w:rFonts w:cs="Arial"/>
        </w:rPr>
        <w:t>2013 Canadian Exposure Factors Handbook.</w:t>
      </w:r>
      <w:r w:rsidR="00270BC6" w:rsidRPr="002A75F2">
        <w:rPr>
          <w:rFonts w:cs="Arial"/>
        </w:rPr>
        <w:t xml:space="preserve"> </w:t>
      </w:r>
      <w:r w:rsidRPr="002A75F2">
        <w:rPr>
          <w:rFonts w:cs="Arial"/>
        </w:rPr>
        <w:t xml:space="preserve"> Toxicology Centre, University of Saskatchewan, Saskatoon, SK, CANADA.</w:t>
      </w:r>
    </w:p>
    <w:p w14:paraId="7CCD0996" w14:textId="77777777" w:rsidR="00B736F9" w:rsidRPr="002A75F2" w:rsidRDefault="00B736F9" w:rsidP="00840964">
      <w:pPr>
        <w:rPr>
          <w:rFonts w:cs="Arial"/>
        </w:rPr>
      </w:pPr>
      <w:r w:rsidRPr="002A75F2">
        <w:rPr>
          <w:rFonts w:cs="Arial"/>
        </w:rPr>
        <w:t>US Environmental Protection Agency.  1986a.  Guidelines for Mutagenicity Risk Assessment.  Federal Register.  Vol. 51, No. 185, September 24, pp. 34006-34012.</w:t>
      </w:r>
    </w:p>
    <w:p w14:paraId="60F5C563" w14:textId="77777777" w:rsidR="00B736F9" w:rsidRPr="002A75F2" w:rsidRDefault="00B736F9" w:rsidP="00840964">
      <w:pPr>
        <w:rPr>
          <w:rFonts w:cs="Arial"/>
        </w:rPr>
      </w:pPr>
      <w:r w:rsidRPr="002A75F2">
        <w:rPr>
          <w:rFonts w:cs="Arial"/>
        </w:rPr>
        <w:t xml:space="preserve">US Environmental Protection Agency.  1986b.  Guidelines for the Health Risk Assessment of </w:t>
      </w:r>
      <w:r w:rsidR="00840964" w:rsidRPr="002A75F2">
        <w:rPr>
          <w:rFonts w:cs="Arial"/>
        </w:rPr>
        <w:t xml:space="preserve"> </w:t>
      </w:r>
      <w:r w:rsidRPr="002A75F2">
        <w:rPr>
          <w:rFonts w:cs="Arial"/>
        </w:rPr>
        <w:t xml:space="preserve">Contaminant Mixtures.  Risk Assessment Forum, US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EPA/630/</w:t>
      </w:r>
      <w:r w:rsidR="00840964" w:rsidRPr="002A75F2">
        <w:rPr>
          <w:rFonts w:cs="Arial"/>
        </w:rPr>
        <w:t xml:space="preserve"> </w:t>
      </w:r>
      <w:r w:rsidRPr="002A75F2">
        <w:rPr>
          <w:rFonts w:cs="Arial"/>
        </w:rPr>
        <w:t>R-98/002.</w:t>
      </w:r>
    </w:p>
    <w:p w14:paraId="4FA25795" w14:textId="77777777" w:rsidR="00B736F9" w:rsidRPr="002A75F2" w:rsidRDefault="00840964" w:rsidP="00840964">
      <w:pPr>
        <w:rPr>
          <w:rFonts w:cs="Arial"/>
        </w:rPr>
      </w:pPr>
      <w:r w:rsidRPr="002A75F2">
        <w:rPr>
          <w:rFonts w:cs="Arial"/>
        </w:rPr>
        <w:t xml:space="preserve"> </w:t>
      </w:r>
      <w:r w:rsidR="00B736F9" w:rsidRPr="002A75F2">
        <w:rPr>
          <w:rFonts w:cs="Arial"/>
        </w:rPr>
        <w:t>US. Environmental Protection Agency.  1986c.  Guidelines for Carcinogen Risk Assessment.  Federal Register.  Vol. 51, No. 185, September 24, pp. 33992-34003.</w:t>
      </w:r>
    </w:p>
    <w:p w14:paraId="2206C932" w14:textId="77777777" w:rsidR="00B736F9" w:rsidRPr="002A75F2" w:rsidRDefault="00B736F9" w:rsidP="00840964">
      <w:pPr>
        <w:rPr>
          <w:rFonts w:cs="Arial"/>
        </w:rPr>
      </w:pPr>
      <w:r w:rsidRPr="002A75F2">
        <w:rPr>
          <w:rFonts w:cs="Arial"/>
        </w:rPr>
        <w:t xml:space="preserve">US. Environmental Protection Agency.  1988.  Superfund Exposure Assessment Manual.  Office of Remedial Response,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xml:space="preserve">  EPA/540/1-88/001.</w:t>
      </w:r>
    </w:p>
    <w:p w14:paraId="79614360" w14:textId="77777777" w:rsidR="00B736F9" w:rsidRPr="002A75F2" w:rsidRDefault="00B736F9" w:rsidP="00840964">
      <w:pPr>
        <w:rPr>
          <w:rFonts w:cs="Arial"/>
        </w:rPr>
      </w:pPr>
      <w:r w:rsidRPr="002A75F2">
        <w:rPr>
          <w:rFonts w:cs="Arial"/>
        </w:rPr>
        <w:lastRenderedPageBreak/>
        <w:t xml:space="preserve">US Environmental Protection Agency.  1989.  Risk Assessment Guidance for Superfund.  Volume I: Human Health Evaluation Manual (Part A); Interim Final.  Office of Emergency and Remedial </w:t>
      </w:r>
      <w:smartTag w:uri="urn:schemas-microsoft-com:office:smarttags" w:element="place">
        <w:smartTag w:uri="urn:schemas-microsoft-com:office:smarttags" w:element="City">
          <w:r w:rsidRPr="002A75F2">
            <w:rPr>
              <w:rFonts w:cs="Arial"/>
            </w:rPr>
            <w:t>Response</w:t>
          </w:r>
        </w:smartTag>
        <w:r w:rsidRPr="002A75F2">
          <w:rPr>
            <w:rFonts w:cs="Arial"/>
          </w:rPr>
          <w:t xml:space="preserve">, </w:t>
        </w:r>
        <w:smartTag w:uri="urn:schemas-microsoft-com:office:smarttags" w:element="country-region">
          <w:r w:rsidRPr="002A75F2">
            <w:rPr>
              <w:rFonts w:cs="Arial"/>
            </w:rPr>
            <w:t>US</w:t>
          </w:r>
        </w:smartTag>
      </w:smartTag>
      <w:r w:rsidRPr="002A75F2">
        <w:rPr>
          <w:rFonts w:cs="Arial"/>
        </w:rPr>
        <w:t xml:space="preserve">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xml:space="preserve">  EPA/540/1-89/002.</w:t>
      </w:r>
    </w:p>
    <w:p w14:paraId="2362AD44" w14:textId="77777777" w:rsidR="00B736F9" w:rsidRPr="002A75F2" w:rsidRDefault="00B736F9" w:rsidP="00840964">
      <w:pPr>
        <w:rPr>
          <w:rFonts w:cs="Arial"/>
        </w:rPr>
      </w:pPr>
      <w:r w:rsidRPr="002A75F2">
        <w:rPr>
          <w:rFonts w:cs="Arial"/>
        </w:rPr>
        <w:t>US Environmental Protection Agency.  1991a.  Guidelines for Developmental Toxicity Risk Assessment. Federal Register.  Vol. 56, No. 234, December 5, pp. 63798-63828.</w:t>
      </w:r>
    </w:p>
    <w:p w14:paraId="1B9DD90E" w14:textId="77777777" w:rsidR="00B736F9" w:rsidRPr="002A75F2" w:rsidRDefault="00B736F9" w:rsidP="00840964">
      <w:pPr>
        <w:rPr>
          <w:rFonts w:cs="Arial"/>
        </w:rPr>
      </w:pPr>
      <w:r w:rsidRPr="002A75F2">
        <w:rPr>
          <w:rFonts w:cs="Arial"/>
        </w:rPr>
        <w:t xml:space="preserve">US Environmental Protection Agency.  1991b.  Risk Assessment Guidance for Superfund. Volume I: Human Health Evaluation Manual (Part B): Development of Risk-based Preliminary Remediation Goals; Interim.  Office of Emergency and Remedial Response,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xml:space="preserve">  Publication 9285.7-01B.</w:t>
      </w:r>
    </w:p>
    <w:p w14:paraId="119CAF47" w14:textId="77777777" w:rsidR="00B736F9" w:rsidRPr="002A75F2" w:rsidRDefault="00B736F9" w:rsidP="00840964">
      <w:pPr>
        <w:rPr>
          <w:rFonts w:cs="Arial"/>
        </w:rPr>
      </w:pPr>
      <w:r w:rsidRPr="002A75F2">
        <w:rPr>
          <w:rFonts w:cs="Arial"/>
        </w:rPr>
        <w:t xml:space="preserve">US Environmental Protection Agency.  1991c.  Risk Assessment Guidance for Superfund. Volume I: Human Health Evaluation Manual (Part C): Risk Evaluation of Remedial Alternatives; Interim.  Office of Emergency and Remedial Response,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xml:space="preserve"> Publication 9285.7-01C.</w:t>
      </w:r>
    </w:p>
    <w:p w14:paraId="42FCEB51" w14:textId="77777777" w:rsidR="00B736F9" w:rsidRPr="002A75F2" w:rsidRDefault="00B736F9" w:rsidP="00840964">
      <w:pPr>
        <w:rPr>
          <w:rFonts w:cs="Arial"/>
        </w:rPr>
      </w:pPr>
      <w:r w:rsidRPr="002A75F2">
        <w:rPr>
          <w:rFonts w:cs="Arial"/>
        </w:rPr>
        <w:t xml:space="preserve">US Environmental Protection Agency.  1991d.  Risk Assessment Guidance for Superfund.  Volume I: Human Health Evaluation Manual, Supplemental Guidance, Standard Default Exposure Factors.  Office of Emergency and Remedial Response,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w:t>
      </w:r>
    </w:p>
    <w:p w14:paraId="7BDC68ED" w14:textId="77777777" w:rsidR="00B736F9" w:rsidRPr="002A75F2" w:rsidRDefault="00B736F9" w:rsidP="00840964">
      <w:pPr>
        <w:rPr>
          <w:rFonts w:cs="Arial"/>
        </w:rPr>
      </w:pPr>
      <w:r w:rsidRPr="002A75F2">
        <w:rPr>
          <w:rFonts w:cs="Arial"/>
        </w:rPr>
        <w:t xml:space="preserve">US Environmental Protection Agency.  1992a.  Dermal Exposure Assessment:  Principles and Applications. Interim Report.  Office of Health and Environmental Assessment, Exposure Assessment Group,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xml:space="preserve">  EPA/600/8-91/011B.</w:t>
      </w:r>
    </w:p>
    <w:p w14:paraId="51B23885" w14:textId="77777777" w:rsidR="00B736F9" w:rsidRPr="002A75F2" w:rsidRDefault="00B736F9" w:rsidP="00840964">
      <w:pPr>
        <w:rPr>
          <w:rFonts w:cs="Arial"/>
        </w:rPr>
      </w:pPr>
      <w:r w:rsidRPr="002A75F2">
        <w:rPr>
          <w:rFonts w:cs="Arial"/>
        </w:rPr>
        <w:t>US Environmental Protection Agency.  1992b.  Guidelines for Exposure Assessment.  Federal Register. Vol. 57, May 29, pp. 22888-22938.</w:t>
      </w:r>
    </w:p>
    <w:p w14:paraId="3D2F19DD" w14:textId="77777777" w:rsidR="00B736F9" w:rsidRPr="002A75F2" w:rsidRDefault="00B736F9" w:rsidP="00840964">
      <w:pPr>
        <w:rPr>
          <w:rFonts w:cs="Arial"/>
        </w:rPr>
      </w:pPr>
      <w:r w:rsidRPr="002A75F2">
        <w:rPr>
          <w:rFonts w:cs="Arial"/>
        </w:rPr>
        <w:t>US Environmental Protection Agency.  1994.  Draft Revisions to Guidelines for Carcinogenic-</w:t>
      </w:r>
      <w:r w:rsidR="00840964" w:rsidRPr="002A75F2">
        <w:rPr>
          <w:rFonts w:cs="Arial"/>
        </w:rPr>
        <w:t xml:space="preserve"> </w:t>
      </w:r>
      <w:r w:rsidRPr="002A75F2">
        <w:rPr>
          <w:rFonts w:cs="Arial"/>
        </w:rPr>
        <w:t>Risk Assessment.  Contaminant Regulation Reporter.  August 12, pp. 556-600.</w:t>
      </w:r>
    </w:p>
    <w:p w14:paraId="52FFFB11" w14:textId="77777777" w:rsidR="00B736F9" w:rsidRPr="002A75F2" w:rsidRDefault="00B736F9" w:rsidP="00840964">
      <w:pPr>
        <w:rPr>
          <w:rFonts w:cs="Arial"/>
        </w:rPr>
      </w:pPr>
      <w:r w:rsidRPr="002A75F2">
        <w:rPr>
          <w:rFonts w:cs="Arial"/>
        </w:rPr>
        <w:t xml:space="preserve">US Environmental Protection Agency.  1994.  Methods for Development of Inhalation Reference Doses.  Environmental Criteria and Assessment Office, Office of Health and Environmental Assessment, US EPA, research </w:t>
      </w:r>
      <w:smartTag w:uri="urn:schemas-microsoft-com:office:smarttags" w:element="place">
        <w:smartTag w:uri="urn:schemas-microsoft-com:office:smarttags" w:element="City">
          <w:r w:rsidRPr="002A75F2">
            <w:rPr>
              <w:rFonts w:cs="Arial"/>
            </w:rPr>
            <w:t>Triangle Park</w:t>
          </w:r>
        </w:smartTag>
        <w:r w:rsidRPr="002A75F2">
          <w:rPr>
            <w:rFonts w:cs="Arial"/>
          </w:rPr>
          <w:t xml:space="preserve">, </w:t>
        </w:r>
        <w:smartTag w:uri="urn:schemas-microsoft-com:office:smarttags" w:element="State">
          <w:r w:rsidRPr="002A75F2">
            <w:rPr>
              <w:rFonts w:cs="Arial"/>
            </w:rPr>
            <w:t>N.C.</w:t>
          </w:r>
        </w:smartTag>
      </w:smartTag>
    </w:p>
    <w:p w14:paraId="414F9577" w14:textId="77777777" w:rsidR="00B736F9" w:rsidRPr="002A75F2" w:rsidRDefault="00B736F9" w:rsidP="00840964">
      <w:pPr>
        <w:rPr>
          <w:rFonts w:cs="Arial"/>
        </w:rPr>
      </w:pPr>
      <w:r w:rsidRPr="002A75F2">
        <w:rPr>
          <w:rFonts w:cs="Arial"/>
        </w:rPr>
        <w:t xml:space="preserve">US Environmental Protection Agency.  1996.  Proposed Guidelines for Carcinogen Risk Assessment.  Office of Research and Development, </w:t>
      </w:r>
      <w:smartTag w:uri="urn:schemas-microsoft-com:office:smarttags" w:element="country-region">
        <w:smartTag w:uri="urn:schemas-microsoft-com:office:smarttags" w:element="place">
          <w:r w:rsidRPr="002A75F2">
            <w:rPr>
              <w:rFonts w:cs="Arial"/>
            </w:rPr>
            <w:t>US</w:t>
          </w:r>
        </w:smartTag>
      </w:smartTag>
      <w:r w:rsidRPr="002A75F2">
        <w:rPr>
          <w:rFonts w:cs="Arial"/>
        </w:rPr>
        <w:t xml:space="preserve">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EPA/600/P-92/003C.</w:t>
      </w:r>
    </w:p>
    <w:p w14:paraId="2525CB5A" w14:textId="77777777" w:rsidR="00B736F9" w:rsidRPr="002A75F2" w:rsidRDefault="00B736F9" w:rsidP="00840964">
      <w:pPr>
        <w:rPr>
          <w:rFonts w:cs="Arial"/>
        </w:rPr>
      </w:pPr>
      <w:r w:rsidRPr="002A75F2">
        <w:rPr>
          <w:rFonts w:cs="Arial"/>
        </w:rPr>
        <w:t>US Environmental Protection Agency.  1996.  Reproductive Toxicity Risk Assessment, Federal Register 61(212):56274-56322.</w:t>
      </w:r>
    </w:p>
    <w:p w14:paraId="35F6FC5C" w14:textId="77777777" w:rsidR="00B736F9" w:rsidRPr="002A75F2" w:rsidRDefault="00B736F9" w:rsidP="00840964">
      <w:pPr>
        <w:rPr>
          <w:rFonts w:cs="Arial"/>
        </w:rPr>
      </w:pPr>
      <w:r w:rsidRPr="002A75F2">
        <w:rPr>
          <w:rFonts w:cs="Arial"/>
        </w:rPr>
        <w:t xml:space="preserve">US Environmental Protection Agency.  1998.  Guidelines for Neurotoxicity Risk Assessment, </w:t>
      </w:r>
      <w:smartTag w:uri="urn:schemas-microsoft-com:office:smarttags" w:element="country-region">
        <w:smartTag w:uri="urn:schemas-microsoft-com:office:smarttags" w:element="place">
          <w:r w:rsidRPr="002A75F2">
            <w:rPr>
              <w:rFonts w:cs="Arial"/>
            </w:rPr>
            <w:t>US</w:t>
          </w:r>
        </w:smartTag>
      </w:smartTag>
      <w:r w:rsidRPr="002A75F2">
        <w:rPr>
          <w:rFonts w:cs="Arial"/>
        </w:rPr>
        <w:t xml:space="preserve">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Federal Register 63(93): 26926-26954.</w:t>
      </w:r>
    </w:p>
    <w:p w14:paraId="5F3C25E5" w14:textId="77777777" w:rsidR="00B736F9" w:rsidRPr="002A75F2" w:rsidRDefault="00B736F9" w:rsidP="00840964">
      <w:pPr>
        <w:rPr>
          <w:rFonts w:cs="Arial"/>
        </w:rPr>
      </w:pPr>
      <w:r w:rsidRPr="002A75F2">
        <w:rPr>
          <w:rFonts w:cs="Arial"/>
        </w:rPr>
        <w:t xml:space="preserve">US Environmental Protection Agency.  2000.  Supplemental Guidance for Conducting Health Risk Assessment of Chemical Mixtures.  Risk Assessment </w:t>
      </w:r>
      <w:smartTag w:uri="urn:schemas-microsoft-com:office:smarttags" w:element="place">
        <w:smartTag w:uri="urn:schemas-microsoft-com:office:smarttags" w:element="City">
          <w:r w:rsidRPr="002A75F2">
            <w:rPr>
              <w:rFonts w:cs="Arial"/>
            </w:rPr>
            <w:t>Forum</w:t>
          </w:r>
        </w:smartTag>
        <w:r w:rsidRPr="002A75F2">
          <w:rPr>
            <w:rFonts w:cs="Arial"/>
          </w:rPr>
          <w:t xml:space="preserve">, </w:t>
        </w:r>
        <w:smartTag w:uri="urn:schemas-microsoft-com:office:smarttags" w:element="country-region">
          <w:r w:rsidRPr="002A75F2">
            <w:rPr>
              <w:rFonts w:cs="Arial"/>
            </w:rPr>
            <w:t>US</w:t>
          </w:r>
        </w:smartTag>
      </w:smartTag>
      <w:r w:rsidRPr="002A75F2">
        <w:rPr>
          <w:rFonts w:cs="Arial"/>
        </w:rPr>
        <w:t xml:space="preserve">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EPA/630/R-00/002.</w:t>
      </w:r>
    </w:p>
    <w:p w14:paraId="21869F2E" w14:textId="77777777" w:rsidR="00A558BD" w:rsidRPr="002A75F2" w:rsidRDefault="00B736F9" w:rsidP="00A558BD">
      <w:pPr>
        <w:rPr>
          <w:rFonts w:cs="Arial"/>
        </w:rPr>
      </w:pPr>
      <w:r w:rsidRPr="002A75F2">
        <w:rPr>
          <w:rFonts w:cs="Arial"/>
        </w:rPr>
        <w:t>US Environmental Protection Agency.  2002</w:t>
      </w:r>
      <w:r w:rsidR="00270BC6" w:rsidRPr="002A75F2">
        <w:rPr>
          <w:rFonts w:cs="Arial"/>
        </w:rPr>
        <w:t>.</w:t>
      </w:r>
      <w:r w:rsidRPr="002A75F2">
        <w:rPr>
          <w:rFonts w:cs="Arial"/>
        </w:rPr>
        <w:t xml:space="preserve"> </w:t>
      </w:r>
      <w:r w:rsidR="00270BC6" w:rsidRPr="002A75F2">
        <w:rPr>
          <w:rFonts w:cs="Arial"/>
        </w:rPr>
        <w:t xml:space="preserve"> </w:t>
      </w:r>
      <w:r w:rsidRPr="002A75F2">
        <w:rPr>
          <w:rFonts w:cs="Arial"/>
        </w:rPr>
        <w:t xml:space="preserve">Integrated Risk Information System (IRIS).  Online. National Centre for Environmental Assessment, US EPA, </w:t>
      </w:r>
      <w:smartTag w:uri="urn:schemas-microsoft-com:office:smarttags" w:element="place">
        <w:smartTag w:uri="urn:schemas-microsoft-com:office:smarttags" w:element="City">
          <w:r w:rsidRPr="002A75F2">
            <w:rPr>
              <w:rFonts w:cs="Arial"/>
            </w:rPr>
            <w:t>Washington</w:t>
          </w:r>
        </w:smartTag>
        <w:r w:rsidRPr="002A75F2">
          <w:rPr>
            <w:rFonts w:cs="Arial"/>
          </w:rPr>
          <w:t xml:space="preserve">, </w:t>
        </w:r>
        <w:smartTag w:uri="urn:schemas-microsoft-com:office:smarttags" w:element="State">
          <w:r w:rsidRPr="002A75F2">
            <w:rPr>
              <w:rFonts w:cs="Arial"/>
            </w:rPr>
            <w:t>DC</w:t>
          </w:r>
        </w:smartTag>
      </w:smartTag>
      <w:r w:rsidRPr="002A75F2">
        <w:rPr>
          <w:rFonts w:cs="Arial"/>
        </w:rPr>
        <w:t>, http:www.epa.gov/iris.</w:t>
      </w:r>
      <w:r w:rsidR="00A558BD" w:rsidRPr="002A75F2">
        <w:rPr>
          <w:rFonts w:cs="Arial"/>
        </w:rPr>
        <w:t xml:space="preserve"> </w:t>
      </w:r>
    </w:p>
    <w:p w14:paraId="44956B25" w14:textId="77777777" w:rsidR="00CC5763" w:rsidRPr="002A75F2" w:rsidRDefault="00CC5763" w:rsidP="00A558BD">
      <w:pPr>
        <w:rPr>
          <w:rFonts w:cs="Arial"/>
        </w:rPr>
      </w:pPr>
      <w:r w:rsidRPr="002A75F2">
        <w:rPr>
          <w:rFonts w:cs="Arial"/>
        </w:rPr>
        <w:lastRenderedPageBreak/>
        <w:t xml:space="preserve">US Environmental Protection Agency. </w:t>
      </w:r>
      <w:r w:rsidR="00270BC6" w:rsidRPr="002A75F2">
        <w:rPr>
          <w:rFonts w:cs="Arial"/>
        </w:rPr>
        <w:t xml:space="preserve"> </w:t>
      </w:r>
      <w:r w:rsidRPr="002A75F2">
        <w:rPr>
          <w:rFonts w:cs="Arial"/>
        </w:rPr>
        <w:t xml:space="preserve">2011. </w:t>
      </w:r>
      <w:r w:rsidR="00270BC6" w:rsidRPr="002A75F2">
        <w:rPr>
          <w:rFonts w:cs="Arial"/>
        </w:rPr>
        <w:t xml:space="preserve"> </w:t>
      </w:r>
      <w:r w:rsidRPr="002A75F2">
        <w:rPr>
          <w:rFonts w:cs="Arial"/>
        </w:rPr>
        <w:t xml:space="preserve">Exposure </w:t>
      </w:r>
      <w:r w:rsidR="00270BC6" w:rsidRPr="002A75F2">
        <w:rPr>
          <w:rFonts w:cs="Arial"/>
        </w:rPr>
        <w:t>F</w:t>
      </w:r>
      <w:r w:rsidRPr="002A75F2">
        <w:rPr>
          <w:rFonts w:cs="Arial"/>
        </w:rPr>
        <w:t xml:space="preserve">actors </w:t>
      </w:r>
      <w:r w:rsidR="00270BC6" w:rsidRPr="002A75F2">
        <w:rPr>
          <w:rFonts w:cs="Arial"/>
        </w:rPr>
        <w:t>H</w:t>
      </w:r>
      <w:r w:rsidRPr="002A75F2">
        <w:rPr>
          <w:rFonts w:cs="Arial"/>
        </w:rPr>
        <w:t xml:space="preserve">andbook: 2011 </w:t>
      </w:r>
      <w:r w:rsidR="00270BC6" w:rsidRPr="002A75F2">
        <w:rPr>
          <w:rFonts w:cs="Arial"/>
        </w:rPr>
        <w:t>E</w:t>
      </w:r>
      <w:r w:rsidRPr="002A75F2">
        <w:rPr>
          <w:rFonts w:cs="Arial"/>
        </w:rPr>
        <w:t xml:space="preserve">dition. </w:t>
      </w:r>
      <w:r w:rsidR="00270BC6" w:rsidRPr="002A75F2">
        <w:rPr>
          <w:rFonts w:cs="Arial"/>
        </w:rPr>
        <w:t xml:space="preserve"> </w:t>
      </w:r>
      <w:r w:rsidRPr="002A75F2">
        <w:rPr>
          <w:rFonts w:cs="Arial"/>
        </w:rPr>
        <w:t>National Center for Environmental Assessment, Washington, DC; EPA/600/R-09/052F.</w:t>
      </w:r>
    </w:p>
    <w:p w14:paraId="333C5690" w14:textId="5CBF22C8" w:rsidR="00B736F9" w:rsidRPr="002A75F2" w:rsidRDefault="00B736F9" w:rsidP="00FC6D21">
      <w:pPr>
        <w:pStyle w:val="Heading2"/>
        <w:rPr>
          <w:rFonts w:cs="Arial"/>
        </w:rPr>
      </w:pPr>
      <w:bookmarkStart w:id="423" w:name="_Useful_References_for_Conducting_ER"/>
      <w:bookmarkStart w:id="424" w:name="_Toc74119439"/>
      <w:bookmarkStart w:id="425" w:name="_Toc74450915"/>
      <w:bookmarkStart w:id="426" w:name="_Toc78162221"/>
      <w:bookmarkStart w:id="427" w:name="_Toc79571599"/>
      <w:bookmarkStart w:id="428" w:name="_Toc91393610"/>
      <w:bookmarkStart w:id="429" w:name="_Toc112727473"/>
      <w:bookmarkStart w:id="430" w:name="_Toc41905750"/>
      <w:bookmarkEnd w:id="423"/>
      <w:r w:rsidRPr="002A75F2">
        <w:rPr>
          <w:rFonts w:cs="Arial"/>
        </w:rPr>
        <w:t>Useful References for Conducting E</w:t>
      </w:r>
      <w:r w:rsidR="00402EE7" w:rsidRPr="002A75F2">
        <w:rPr>
          <w:rFonts w:cs="Arial"/>
        </w:rPr>
        <w:t xml:space="preserve">cological </w:t>
      </w:r>
      <w:r w:rsidRPr="002A75F2">
        <w:rPr>
          <w:rFonts w:cs="Arial"/>
        </w:rPr>
        <w:t>R</w:t>
      </w:r>
      <w:r w:rsidR="00402EE7" w:rsidRPr="002A75F2">
        <w:rPr>
          <w:rFonts w:cs="Arial"/>
        </w:rPr>
        <w:t xml:space="preserve">isk </w:t>
      </w:r>
      <w:r w:rsidRPr="002A75F2">
        <w:rPr>
          <w:rFonts w:cs="Arial"/>
        </w:rPr>
        <w:t>A</w:t>
      </w:r>
      <w:r w:rsidR="00402EE7" w:rsidRPr="002A75F2">
        <w:rPr>
          <w:rFonts w:cs="Arial"/>
        </w:rPr>
        <w:t>ssessment</w:t>
      </w:r>
      <w:r w:rsidRPr="002A75F2">
        <w:rPr>
          <w:rFonts w:cs="Arial"/>
        </w:rPr>
        <w:t>s</w:t>
      </w:r>
      <w:bookmarkEnd w:id="424"/>
      <w:bookmarkEnd w:id="425"/>
      <w:bookmarkEnd w:id="426"/>
      <w:bookmarkEnd w:id="427"/>
      <w:bookmarkEnd w:id="428"/>
      <w:bookmarkEnd w:id="429"/>
      <w:bookmarkEnd w:id="430"/>
    </w:p>
    <w:p w14:paraId="2CD1B046" w14:textId="77777777" w:rsidR="00754326" w:rsidRPr="002A75F2" w:rsidRDefault="00754326" w:rsidP="00D81723">
      <w:pPr>
        <w:rPr>
          <w:rFonts w:cs="Arial"/>
        </w:rPr>
      </w:pPr>
      <w:r w:rsidRPr="002A75F2">
        <w:rPr>
          <w:rFonts w:cs="Arial"/>
        </w:rPr>
        <w:t>For additional information on the</w:t>
      </w:r>
      <w:r w:rsidR="00575DA4" w:rsidRPr="002A75F2">
        <w:rPr>
          <w:rFonts w:cs="Arial"/>
        </w:rPr>
        <w:t xml:space="preserve"> M</w:t>
      </w:r>
      <w:r w:rsidRPr="002A75F2">
        <w:rPr>
          <w:rFonts w:cs="Arial"/>
        </w:rPr>
        <w:t xml:space="preserve">inistry’s approach to developing ecological component values, refer to the </w:t>
      </w:r>
      <w:r w:rsidR="00184446" w:rsidRPr="002A75F2">
        <w:rPr>
          <w:rFonts w:cs="Arial"/>
        </w:rPr>
        <w:t xml:space="preserve">Ministry’s </w:t>
      </w:r>
      <w:r w:rsidR="00BA57DC" w:rsidRPr="002A75F2">
        <w:rPr>
          <w:rFonts w:cs="Arial"/>
        </w:rPr>
        <w:t>“</w:t>
      </w:r>
      <w:r w:rsidRPr="002A75F2">
        <w:rPr>
          <w:rFonts w:cs="Arial"/>
        </w:rPr>
        <w:t>Rationale for the Development of Soil Ground Water Standards for Use at Contaminated Sites in Ontario</w:t>
      </w:r>
      <w:r w:rsidR="00BA57DC" w:rsidRPr="002A75F2">
        <w:rPr>
          <w:rFonts w:cs="Arial"/>
        </w:rPr>
        <w:t>”</w:t>
      </w:r>
      <w:r w:rsidRPr="002A75F2">
        <w:rPr>
          <w:rFonts w:cs="Arial"/>
        </w:rPr>
        <w:t xml:space="preserve"> (MOE 2011).</w:t>
      </w:r>
    </w:p>
    <w:p w14:paraId="03643EBB" w14:textId="7BC15986" w:rsidR="00B736F9" w:rsidRPr="002A75F2" w:rsidRDefault="00B736F9" w:rsidP="007529BF">
      <w:pPr>
        <w:rPr>
          <w:rFonts w:cs="Arial"/>
        </w:rPr>
      </w:pPr>
      <w:r w:rsidRPr="002A75F2">
        <w:rPr>
          <w:rFonts w:cs="Arial"/>
        </w:rPr>
        <w:t xml:space="preserve">A list of other useful resource literature on various aspects of ecological health risk assessment is provided in this section. This </w:t>
      </w:r>
      <w:r w:rsidR="002F69E9" w:rsidRPr="002A75F2">
        <w:rPr>
          <w:rFonts w:cs="Arial"/>
        </w:rPr>
        <w:t xml:space="preserve">list </w:t>
      </w:r>
      <w:r w:rsidRPr="002A75F2">
        <w:rPr>
          <w:rFonts w:cs="Arial"/>
        </w:rPr>
        <w:t>is not meant to be exhaustive and does not represent endorsement by</w:t>
      </w:r>
      <w:r w:rsidR="00575DA4" w:rsidRPr="002A75F2">
        <w:rPr>
          <w:rFonts w:cs="Arial"/>
        </w:rPr>
        <w:t xml:space="preserve"> the</w:t>
      </w:r>
      <w:r w:rsidRPr="002A75F2">
        <w:rPr>
          <w:rFonts w:cs="Arial"/>
        </w:rPr>
        <w:t xml:space="preserve"> Ministry. These documents also contain specific jurisdictional policies and default values which may not be applicable to Ontario. Sound scientific judgment should be exercised in utilizing any of the documents.</w:t>
      </w:r>
    </w:p>
    <w:p w14:paraId="37C7427B" w14:textId="26162384" w:rsidR="00C43B9E" w:rsidRPr="002A75F2" w:rsidRDefault="00BC173F" w:rsidP="00C43B9E">
      <w:pPr>
        <w:rPr>
          <w:rFonts w:cs="Arial"/>
        </w:rPr>
      </w:pPr>
      <w:r w:rsidRPr="002A75F2">
        <w:rPr>
          <w:rFonts w:cs="Arial"/>
        </w:rPr>
        <w:t>Note that t</w:t>
      </w:r>
      <w:r w:rsidR="00C43B9E" w:rsidRPr="002A75F2">
        <w:rPr>
          <w:rFonts w:cs="Arial"/>
        </w:rPr>
        <w:t>he following list of references for ecological risk assessment was originally included in the 2005 version of the Procedures document; the Ministry has not reviewed or updated this list since 2005.</w:t>
      </w:r>
    </w:p>
    <w:p w14:paraId="724E4B83" w14:textId="77777777" w:rsidR="00B736F9" w:rsidRPr="000C60E1" w:rsidRDefault="00B736F9" w:rsidP="00840964">
      <w:pPr>
        <w:rPr>
          <w:rFonts w:cs="Arial"/>
        </w:rPr>
      </w:pPr>
      <w:r w:rsidRPr="002A75F2">
        <w:rPr>
          <w:rFonts w:cs="Arial"/>
        </w:rPr>
        <w:t>Bartell, S.M., R.H. Gardner</w:t>
      </w:r>
      <w:r w:rsidRPr="000C60E1">
        <w:rPr>
          <w:rFonts w:cs="Arial"/>
        </w:rPr>
        <w:t>, and R.V. O</w:t>
      </w:r>
      <w:r w:rsidR="001B1250" w:rsidRPr="000C60E1">
        <w:rPr>
          <w:rFonts w:cs="Arial"/>
        </w:rPr>
        <w:t>’</w:t>
      </w:r>
      <w:r w:rsidRPr="000C60E1">
        <w:rPr>
          <w:rFonts w:cs="Arial"/>
        </w:rPr>
        <w:t xml:space="preserve">Neill. 1992.  Ecological Risk Estimation.  Lewis Publishers, </w:t>
      </w:r>
      <w:smartTag w:uri="urn:schemas-microsoft-com:office:smarttags" w:element="place">
        <w:smartTag w:uri="urn:schemas-microsoft-com:office:smarttags" w:element="City">
          <w:r w:rsidRPr="000C60E1">
            <w:rPr>
              <w:rFonts w:cs="Arial"/>
            </w:rPr>
            <w:t>Ann Arbor</w:t>
          </w:r>
        </w:smartTag>
        <w:r w:rsidRPr="000C60E1">
          <w:rPr>
            <w:rFonts w:cs="Arial"/>
          </w:rPr>
          <w:t xml:space="preserve">, </w:t>
        </w:r>
        <w:smartTag w:uri="urn:schemas-microsoft-com:office:smarttags" w:element="State">
          <w:r w:rsidRPr="000C60E1">
            <w:rPr>
              <w:rFonts w:cs="Arial"/>
            </w:rPr>
            <w:t>Michigan</w:t>
          </w:r>
        </w:smartTag>
      </w:smartTag>
      <w:r w:rsidRPr="000C60E1">
        <w:rPr>
          <w:rFonts w:cs="Arial"/>
        </w:rPr>
        <w:t>.</w:t>
      </w:r>
    </w:p>
    <w:p w14:paraId="40B3D0D5" w14:textId="77777777" w:rsidR="00B736F9" w:rsidRPr="000C60E1" w:rsidRDefault="00B736F9" w:rsidP="00840964">
      <w:pPr>
        <w:rPr>
          <w:rFonts w:cs="Arial"/>
        </w:rPr>
      </w:pPr>
      <w:r w:rsidRPr="000C60E1">
        <w:rPr>
          <w:rFonts w:cs="Arial"/>
        </w:rPr>
        <w:t xml:space="preserve">BC MELP.  1998.  Protocol for Contaminated Sites, Guidance and Checklist for Tier 1 Ecological Risk Assessment of Contaminated Sites in </w:t>
      </w:r>
      <w:smartTag w:uri="urn:schemas-microsoft-com:office:smarttags" w:element="State">
        <w:smartTag w:uri="urn:schemas-microsoft-com:office:smarttags" w:element="place">
          <w:r w:rsidRPr="000C60E1">
            <w:rPr>
              <w:rFonts w:cs="Arial"/>
            </w:rPr>
            <w:t>British Columbia</w:t>
          </w:r>
        </w:smartTag>
      </w:smartTag>
      <w:r w:rsidRPr="000C60E1">
        <w:rPr>
          <w:rFonts w:cs="Arial"/>
        </w:rPr>
        <w:t>.  British Columbia Ministry of Environment, Lands and Parks.</w:t>
      </w:r>
    </w:p>
    <w:p w14:paraId="4D5F591D" w14:textId="77777777" w:rsidR="00B736F9" w:rsidRPr="000C60E1" w:rsidRDefault="00B736F9" w:rsidP="00840964">
      <w:pPr>
        <w:rPr>
          <w:rFonts w:cs="Arial"/>
        </w:rPr>
      </w:pPr>
      <w:r w:rsidRPr="000C60E1">
        <w:rPr>
          <w:rFonts w:cs="Arial"/>
        </w:rPr>
        <w:t xml:space="preserve">BJC (Bechtel Jacobs Company).  1998a.  Empirical models for the uptake of inorganic chemicals from soil by plants.  BJC/OR-133.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http://www.esd.ornl.gov/programs/ecorisk/guidance_docs.html</w:t>
      </w:r>
    </w:p>
    <w:p w14:paraId="5DEA904A" w14:textId="77777777" w:rsidR="00B736F9" w:rsidRPr="000C60E1" w:rsidRDefault="00B736F9" w:rsidP="00840964">
      <w:pPr>
        <w:rPr>
          <w:rFonts w:cs="Arial"/>
        </w:rPr>
      </w:pPr>
      <w:r w:rsidRPr="000C60E1">
        <w:rPr>
          <w:rFonts w:cs="Arial"/>
        </w:rPr>
        <w:t xml:space="preserve">BJC (Bechtel Jacobs Company).  1998b.  Biota Sediment Accumulation Factors for Invertebrates: Review and Recommendations for the </w:t>
      </w:r>
      <w:smartTag w:uri="urn:schemas-microsoft-com:office:smarttags" w:element="City">
        <w:smartTag w:uri="urn:schemas-microsoft-com:office:smarttags" w:element="place">
          <w:r w:rsidRPr="000C60E1">
            <w:rPr>
              <w:rFonts w:cs="Arial"/>
            </w:rPr>
            <w:t>Oak Ridge</w:t>
          </w:r>
        </w:smartTag>
      </w:smartTag>
      <w:r w:rsidRPr="000C60E1">
        <w:rPr>
          <w:rFonts w:cs="Arial"/>
        </w:rPr>
        <w:t xml:space="preserve"> Reservation.  BJC/OR-112.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http://www.esd.ornl.gov/programs/ecorisk/guidance_docs.html</w:t>
      </w:r>
    </w:p>
    <w:p w14:paraId="0AAE5029" w14:textId="77777777" w:rsidR="00B736F9" w:rsidRPr="000C60E1" w:rsidRDefault="00B736F9" w:rsidP="00840964">
      <w:pPr>
        <w:rPr>
          <w:rFonts w:cs="Arial"/>
        </w:rPr>
      </w:pPr>
      <w:r w:rsidRPr="000C60E1">
        <w:rPr>
          <w:rFonts w:cs="Arial"/>
        </w:rPr>
        <w:t xml:space="preserve">Buchman, M. 1992. How to Design an Ecological Risk Assessment. in </w:t>
      </w:r>
      <w:smartTag w:uri="urn:schemas-microsoft-com:office:smarttags" w:element="stockticker">
        <w:r w:rsidRPr="000C60E1">
          <w:rPr>
            <w:rFonts w:cs="Arial"/>
          </w:rPr>
          <w:t>HMC</w:t>
        </w:r>
      </w:smartTag>
      <w:r w:rsidRPr="000C60E1">
        <w:rPr>
          <w:rFonts w:cs="Arial"/>
        </w:rPr>
        <w:t xml:space="preserve">/Superfund </w:t>
      </w:r>
      <w:r w:rsidR="001B1250" w:rsidRPr="000C60E1">
        <w:rPr>
          <w:rFonts w:cs="Arial"/>
        </w:rPr>
        <w:t>'</w:t>
      </w:r>
      <w:r w:rsidRPr="000C60E1">
        <w:rPr>
          <w:rFonts w:cs="Arial"/>
        </w:rPr>
        <w:t>92 Proceedings, Hazardous Materials Control Resources Institute, Maryland.</w:t>
      </w:r>
    </w:p>
    <w:p w14:paraId="5C45F03D" w14:textId="77777777" w:rsidR="00B736F9" w:rsidRPr="000C60E1" w:rsidRDefault="00B736F9" w:rsidP="00840964">
      <w:pPr>
        <w:rPr>
          <w:rFonts w:cs="Arial"/>
        </w:rPr>
      </w:pPr>
      <w:r w:rsidRPr="000C60E1">
        <w:rPr>
          <w:rFonts w:cs="Arial"/>
        </w:rPr>
        <w:t xml:space="preserve">CCME. 1996.  A Framework for Ecological Risk Assessment at Contaminated Sites: General Guidance, CCME Subcommittee on Environmental Quality Criteria for Contaminated Sites, March, 1996. Available c/o </w:t>
      </w:r>
      <w:smartTag w:uri="urn:schemas-microsoft-com:office:smarttags" w:element="State">
        <w:smartTag w:uri="urn:schemas-microsoft-com:office:smarttags" w:element="place">
          <w:r w:rsidRPr="000C60E1">
            <w:rPr>
              <w:rFonts w:cs="Arial"/>
            </w:rPr>
            <w:t>Manitoba</w:t>
          </w:r>
        </w:smartTag>
      </w:smartTag>
      <w:r w:rsidRPr="000C60E1">
        <w:rPr>
          <w:rFonts w:cs="Arial"/>
        </w:rPr>
        <w:t xml:space="preserve"> Statutory Publications </w:t>
      </w:r>
      <w:smartTag w:uri="urn:schemas-microsoft-com:office:smarttags" w:element="address">
        <w:smartTag w:uri="urn:schemas-microsoft-com:office:smarttags" w:element="Street">
          <w:r w:rsidRPr="000C60E1">
            <w:rPr>
              <w:rFonts w:cs="Arial"/>
            </w:rPr>
            <w:t>200 Vaughn St.</w:t>
          </w:r>
        </w:smartTag>
        <w:r w:rsidRPr="000C60E1">
          <w:rPr>
            <w:rFonts w:cs="Arial"/>
          </w:rPr>
          <w:t xml:space="preserve">, </w:t>
        </w:r>
        <w:smartTag w:uri="urn:schemas-microsoft-com:office:smarttags" w:element="City">
          <w:r w:rsidRPr="000C60E1">
            <w:rPr>
              <w:rFonts w:cs="Arial"/>
            </w:rPr>
            <w:t>Winnipeg</w:t>
          </w:r>
        </w:smartTag>
        <w:r w:rsidRPr="000C60E1">
          <w:rPr>
            <w:rFonts w:cs="Arial"/>
          </w:rPr>
          <w:t xml:space="preserve">, </w:t>
        </w:r>
        <w:smartTag w:uri="urn:schemas-microsoft-com:office:smarttags" w:element="State">
          <w:r w:rsidRPr="000C60E1">
            <w:rPr>
              <w:rFonts w:cs="Arial"/>
            </w:rPr>
            <w:t>Man.</w:t>
          </w:r>
        </w:smartTag>
      </w:smartTag>
      <w:r w:rsidRPr="000C60E1">
        <w:rPr>
          <w:rFonts w:cs="Arial"/>
        </w:rPr>
        <w:t>, R3C-1T5.</w:t>
      </w:r>
    </w:p>
    <w:p w14:paraId="021E289C" w14:textId="77777777" w:rsidR="00B736F9" w:rsidRPr="000C60E1" w:rsidRDefault="00B736F9" w:rsidP="00840964">
      <w:pPr>
        <w:rPr>
          <w:rFonts w:cs="Arial"/>
        </w:rPr>
      </w:pPr>
      <w:r w:rsidRPr="000C60E1">
        <w:rPr>
          <w:rFonts w:cs="Arial"/>
        </w:rPr>
        <w:t xml:space="preserve">CCME. 1997.  A Framework for Ecological Risk Assessment: Technical Appendices,   CCME Subcommittee on Environmental Quality Criteria for Contaminated Sites. March, 1997. </w:t>
      </w:r>
      <w:smartTag w:uri="urn:schemas-microsoft-com:office:smarttags" w:element="place">
        <w:smartTag w:uri="urn:schemas-microsoft-com:office:smarttags" w:element="City">
          <w:r w:rsidRPr="000C60E1">
            <w:rPr>
              <w:rFonts w:cs="Arial"/>
            </w:rPr>
            <w:t>Winnipeg</w:t>
          </w:r>
        </w:smartTag>
        <w:r w:rsidRPr="000C60E1">
          <w:rPr>
            <w:rFonts w:cs="Arial"/>
          </w:rPr>
          <w:t xml:space="preserve">, </w:t>
        </w:r>
        <w:smartTag w:uri="urn:schemas-microsoft-com:office:smarttags" w:element="State">
          <w:r w:rsidRPr="000C60E1">
            <w:rPr>
              <w:rFonts w:cs="Arial"/>
            </w:rPr>
            <w:t>Man.</w:t>
          </w:r>
        </w:smartTag>
      </w:smartTag>
    </w:p>
    <w:p w14:paraId="5A0890FB" w14:textId="77777777" w:rsidR="002C6F61" w:rsidRPr="000C60E1" w:rsidRDefault="002C6F61" w:rsidP="00840964">
      <w:pPr>
        <w:rPr>
          <w:rFonts w:cs="Arial"/>
        </w:rPr>
      </w:pPr>
      <w:r w:rsidRPr="000C60E1">
        <w:rPr>
          <w:rFonts w:cs="Arial"/>
        </w:rPr>
        <w:t>Chapman, P.M. and Anderson, J. 2005.  A Decision-Making Framework for Sediment Contamination Integrated Environmental Assessment and Management Vol ,1, No.3, pp. 163-173. SETAC 2005.</w:t>
      </w:r>
    </w:p>
    <w:p w14:paraId="15AEE2C0" w14:textId="77777777" w:rsidR="00B736F9" w:rsidRPr="000C60E1" w:rsidRDefault="00B736F9" w:rsidP="00840964">
      <w:pPr>
        <w:rPr>
          <w:rFonts w:cs="Arial"/>
        </w:rPr>
      </w:pPr>
      <w:proofErr w:type="spellStart"/>
      <w:r w:rsidRPr="000C60E1">
        <w:rPr>
          <w:rFonts w:cs="Arial"/>
        </w:rPr>
        <w:t>Efroymson</w:t>
      </w:r>
      <w:proofErr w:type="spellEnd"/>
      <w:r w:rsidRPr="000C60E1">
        <w:rPr>
          <w:rFonts w:cs="Arial"/>
        </w:rPr>
        <w:t xml:space="preserve">, R.A., M.E. Will, G.W. Suter II and A.C. Wooten.  1997a.  Toxicological benchmarks for screening potential contaminants of concern for effects on terrestrial plants:  </w:t>
      </w:r>
      <w:r w:rsidRPr="000C60E1">
        <w:rPr>
          <w:rFonts w:cs="Arial"/>
        </w:rPr>
        <w:lastRenderedPageBreak/>
        <w:t xml:space="preserve">1997 revision.  ES/ER/TM-85/R3.  </w:t>
      </w:r>
      <w:smartTag w:uri="urn:schemas-microsoft-com:office:smarttags" w:element="City">
        <w:smartTag w:uri="urn:schemas-microsoft-com:office:smarttags" w:element="place">
          <w:r w:rsidRPr="000C60E1">
            <w:rPr>
              <w:rFonts w:cs="Arial"/>
            </w:rPr>
            <w:t>Oak Ridge</w:t>
          </w:r>
        </w:smartTag>
      </w:smartTag>
      <w:r w:rsidRPr="000C60E1">
        <w:rPr>
          <w:rFonts w:cs="Arial"/>
        </w:rPr>
        <w:t xml:space="preserve"> National Laboratory, </w:t>
      </w:r>
      <w:smartTag w:uri="urn:schemas-microsoft-com:office:smarttags" w:element="place">
        <w:smartTag w:uri="urn:schemas-microsoft-com:office:smarttags" w:element="City">
          <w:r w:rsidRPr="000C60E1">
            <w:rPr>
              <w:rFonts w:cs="Arial"/>
            </w:rPr>
            <w:t>Oak Ridge</w:t>
          </w:r>
        </w:smartTag>
        <w:r w:rsidRPr="000C60E1">
          <w:rPr>
            <w:rFonts w:cs="Arial"/>
          </w:rPr>
          <w:t xml:space="preserve">, </w:t>
        </w:r>
        <w:smartTag w:uri="urn:schemas-microsoft-com:office:smarttags" w:element="State">
          <w:r w:rsidRPr="000C60E1">
            <w:rPr>
              <w:rFonts w:cs="Arial"/>
            </w:rPr>
            <w:t>TN.</w:t>
          </w:r>
        </w:smartTag>
      </w:smartTag>
      <w:r w:rsidRPr="000C60E1">
        <w:rPr>
          <w:rFonts w:cs="Arial"/>
        </w:rPr>
        <w:t xml:space="preserve">  http://www.esd.ornl.gov/programs/ecorisk/contaminated_sites.html#reports </w:t>
      </w:r>
    </w:p>
    <w:p w14:paraId="713DAA00" w14:textId="77777777" w:rsidR="00B736F9" w:rsidRPr="000C60E1" w:rsidRDefault="00B736F9" w:rsidP="00840964">
      <w:pPr>
        <w:rPr>
          <w:rFonts w:cs="Arial"/>
        </w:rPr>
      </w:pPr>
      <w:proofErr w:type="spellStart"/>
      <w:r w:rsidRPr="000C60E1">
        <w:rPr>
          <w:rFonts w:cs="Arial"/>
        </w:rPr>
        <w:t>Efroymson</w:t>
      </w:r>
      <w:proofErr w:type="spellEnd"/>
      <w:r w:rsidRPr="000C60E1">
        <w:rPr>
          <w:rFonts w:cs="Arial"/>
        </w:rPr>
        <w:t xml:space="preserve">, R.A., M.E. Will, and G.W. Suter II.  1997b.  Toxicological benchmarks for screening potential contaminants of concern for effects on soil and litter invertebrates and microbial processes: 1997 revision.  ES/ER/TM-126/R2.  Oak Ridge National Laboratory,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http://www.esd.ornl.gov/programs/ecorisk/contaminated_sites.html#reports</w:t>
      </w:r>
    </w:p>
    <w:p w14:paraId="65AFC26D" w14:textId="77777777" w:rsidR="00B736F9" w:rsidRPr="000C60E1" w:rsidRDefault="00B736F9" w:rsidP="00840964">
      <w:pPr>
        <w:rPr>
          <w:rFonts w:cs="Arial"/>
        </w:rPr>
      </w:pPr>
      <w:r w:rsidRPr="000C60E1">
        <w:rPr>
          <w:rFonts w:cs="Arial"/>
        </w:rPr>
        <w:t xml:space="preserve">Ford, K.L., F.M. </w:t>
      </w:r>
      <w:proofErr w:type="spellStart"/>
      <w:r w:rsidRPr="000C60E1">
        <w:rPr>
          <w:rFonts w:cs="Arial"/>
        </w:rPr>
        <w:t>Applehans</w:t>
      </w:r>
      <w:proofErr w:type="spellEnd"/>
      <w:r w:rsidRPr="000C60E1">
        <w:rPr>
          <w:rFonts w:cs="Arial"/>
        </w:rPr>
        <w:t xml:space="preserve">, and R. Ober. 1992.  Development of Toxicity Reference Values for Terrestrial Wildlife.  in </w:t>
      </w:r>
      <w:smartTag w:uri="urn:schemas-microsoft-com:office:smarttags" w:element="stockticker">
        <w:r w:rsidRPr="000C60E1">
          <w:rPr>
            <w:rFonts w:cs="Arial"/>
          </w:rPr>
          <w:t>HMC</w:t>
        </w:r>
      </w:smartTag>
      <w:r w:rsidRPr="000C60E1">
        <w:rPr>
          <w:rFonts w:cs="Arial"/>
        </w:rPr>
        <w:t xml:space="preserve">/Superfund '92 Proceedings. Hazardous Materials Control Resources Institute, </w:t>
      </w:r>
      <w:smartTag w:uri="urn:schemas-microsoft-com:office:smarttags" w:element="State">
        <w:smartTag w:uri="urn:schemas-microsoft-com:office:smarttags" w:element="place">
          <w:r w:rsidRPr="000C60E1">
            <w:rPr>
              <w:rFonts w:cs="Arial"/>
            </w:rPr>
            <w:t>Maryland</w:t>
          </w:r>
        </w:smartTag>
      </w:smartTag>
      <w:r w:rsidRPr="000C60E1">
        <w:rPr>
          <w:rFonts w:cs="Arial"/>
        </w:rPr>
        <w:t>.</w:t>
      </w:r>
    </w:p>
    <w:p w14:paraId="22C2B654" w14:textId="77777777" w:rsidR="00B736F9" w:rsidRPr="000C60E1" w:rsidRDefault="00B736F9" w:rsidP="00840964">
      <w:pPr>
        <w:rPr>
          <w:rFonts w:cs="Arial"/>
        </w:rPr>
      </w:pPr>
      <w:r w:rsidRPr="000C60E1">
        <w:rPr>
          <w:rFonts w:cs="Arial"/>
        </w:rPr>
        <w:t xml:space="preserve">Freshman J.S. and </w:t>
      </w:r>
      <w:proofErr w:type="spellStart"/>
      <w:r w:rsidRPr="000C60E1">
        <w:rPr>
          <w:rFonts w:cs="Arial"/>
        </w:rPr>
        <w:t>Menzie</w:t>
      </w:r>
      <w:proofErr w:type="spellEnd"/>
      <w:r w:rsidRPr="000C60E1">
        <w:rPr>
          <w:rFonts w:cs="Arial"/>
        </w:rPr>
        <w:t xml:space="preserve"> </w:t>
      </w:r>
      <w:smartTag w:uri="urn:schemas-microsoft-com:office:smarttags" w:element="country-region">
        <w:smartTag w:uri="urn:schemas-microsoft-com:office:smarttags" w:element="place">
          <w:r w:rsidRPr="000C60E1">
            <w:rPr>
              <w:rFonts w:cs="Arial"/>
            </w:rPr>
            <w:t>C.A.</w:t>
          </w:r>
        </w:smartTag>
      </w:smartTag>
      <w:r w:rsidRPr="000C60E1">
        <w:rPr>
          <w:rFonts w:cs="Arial"/>
        </w:rPr>
        <w:t xml:space="preserve">  1996.  Two wildlife exposure models to assess impacts at the individual and population levels and the efficacy of remedial actions.  HERA: Vol. 2, No. 3, pp. 481-498.</w:t>
      </w:r>
    </w:p>
    <w:p w14:paraId="22D9691E" w14:textId="77777777" w:rsidR="00B736F9" w:rsidRPr="000C60E1" w:rsidRDefault="00B736F9" w:rsidP="00840964">
      <w:pPr>
        <w:rPr>
          <w:rFonts w:cs="Arial"/>
        </w:rPr>
      </w:pPr>
      <w:proofErr w:type="spellStart"/>
      <w:r w:rsidRPr="000C60E1">
        <w:rPr>
          <w:rFonts w:cs="Arial"/>
        </w:rPr>
        <w:t>Mayernick</w:t>
      </w:r>
      <w:proofErr w:type="spellEnd"/>
      <w:r w:rsidRPr="000C60E1">
        <w:rPr>
          <w:rFonts w:cs="Arial"/>
        </w:rPr>
        <w:t xml:space="preserve">, J.A. and K. </w:t>
      </w:r>
      <w:proofErr w:type="spellStart"/>
      <w:r w:rsidRPr="000C60E1">
        <w:rPr>
          <w:rFonts w:cs="Arial"/>
        </w:rPr>
        <w:t>Fehrenkamp</w:t>
      </w:r>
      <w:proofErr w:type="spellEnd"/>
      <w:r w:rsidRPr="000C60E1">
        <w:rPr>
          <w:rFonts w:cs="Arial"/>
        </w:rPr>
        <w:t xml:space="preserve">. 1992. A New Model for Conducting Quantitative Ecological  Risk Assessments at Hazardous Waste Sites.  in </w:t>
      </w:r>
      <w:smartTag w:uri="urn:schemas-microsoft-com:office:smarttags" w:element="stockticker">
        <w:r w:rsidRPr="000C60E1">
          <w:rPr>
            <w:rFonts w:cs="Arial"/>
          </w:rPr>
          <w:t>HMC</w:t>
        </w:r>
      </w:smartTag>
      <w:r w:rsidRPr="000C60E1">
        <w:rPr>
          <w:rFonts w:cs="Arial"/>
        </w:rPr>
        <w:t xml:space="preserve">/Superfund '92 Proceedings, Hazardous Materials Control Resources Institute, </w:t>
      </w:r>
      <w:smartTag w:uri="urn:schemas-microsoft-com:office:smarttags" w:element="State">
        <w:smartTag w:uri="urn:schemas-microsoft-com:office:smarttags" w:element="place">
          <w:r w:rsidRPr="000C60E1">
            <w:rPr>
              <w:rFonts w:cs="Arial"/>
            </w:rPr>
            <w:t>Maryland</w:t>
          </w:r>
        </w:smartTag>
      </w:smartTag>
      <w:r w:rsidRPr="000C60E1">
        <w:rPr>
          <w:rFonts w:cs="Arial"/>
        </w:rPr>
        <w:t>.</w:t>
      </w:r>
    </w:p>
    <w:p w14:paraId="09A26B02" w14:textId="77777777" w:rsidR="00B736F9" w:rsidRPr="000C60E1" w:rsidRDefault="00B736F9" w:rsidP="00840964">
      <w:pPr>
        <w:rPr>
          <w:rFonts w:cs="Arial"/>
        </w:rPr>
      </w:pPr>
      <w:proofErr w:type="spellStart"/>
      <w:r w:rsidRPr="000C60E1">
        <w:rPr>
          <w:rFonts w:cs="Arial"/>
        </w:rPr>
        <w:t>Menzie</w:t>
      </w:r>
      <w:proofErr w:type="spellEnd"/>
      <w:r w:rsidRPr="000C60E1">
        <w:rPr>
          <w:rFonts w:cs="Arial"/>
        </w:rPr>
        <w:t xml:space="preserve"> et al. 2000. An Approach for Incorporating Information on Chemical Availability in Soils into Risk Assessment and Risk-based Decision Making.  Human and Ecological Risk Assessment.  Vol 6, No 3, pp 479-510.</w:t>
      </w:r>
    </w:p>
    <w:p w14:paraId="36EFEDAA" w14:textId="77777777" w:rsidR="00B736F9" w:rsidRPr="000C60E1" w:rsidRDefault="00B736F9" w:rsidP="00840964">
      <w:pPr>
        <w:rPr>
          <w:rFonts w:cs="Arial"/>
        </w:rPr>
      </w:pPr>
      <w:r w:rsidRPr="000C60E1">
        <w:rPr>
          <w:rFonts w:cs="Arial"/>
        </w:rPr>
        <w:t>Nagy, KA.2001. Food requirements of wild animals: Predictive equations for free-living mammals, reptiles and birds.  Nutrition Abstracts and Reviews. Series B Livestock Feeds and Feeding.  71(10):21R-31R.</w:t>
      </w:r>
    </w:p>
    <w:p w14:paraId="2D7D669B" w14:textId="77777777" w:rsidR="00B736F9" w:rsidRPr="000C60E1" w:rsidRDefault="00B736F9" w:rsidP="00840964">
      <w:pPr>
        <w:rPr>
          <w:rFonts w:cs="Arial"/>
        </w:rPr>
      </w:pPr>
      <w:r w:rsidRPr="000C60E1">
        <w:rPr>
          <w:rFonts w:cs="Arial"/>
        </w:rPr>
        <w:t xml:space="preserve">Sample, B.E., </w:t>
      </w:r>
      <w:proofErr w:type="spellStart"/>
      <w:r w:rsidRPr="000C60E1">
        <w:rPr>
          <w:rFonts w:cs="Arial"/>
        </w:rPr>
        <w:t>Opresko</w:t>
      </w:r>
      <w:proofErr w:type="spellEnd"/>
      <w:r w:rsidRPr="000C60E1">
        <w:rPr>
          <w:rFonts w:cs="Arial"/>
        </w:rPr>
        <w:t xml:space="preserve">, D.M. and Suter II, G.W.  1996.  Toxicological Benchmarks for Wildlife: 1996 Revision.  ES/ER/TM-86/R3. Oak Ridge National Laboratory,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http://www.esd.ornl.gov/programs/ecorisk/contaminated_sites.html#reports</w:t>
      </w:r>
    </w:p>
    <w:p w14:paraId="3ED6059A" w14:textId="77777777" w:rsidR="00B736F9" w:rsidRPr="000C60E1" w:rsidRDefault="00B736F9" w:rsidP="00840964">
      <w:pPr>
        <w:rPr>
          <w:rFonts w:cs="Arial"/>
        </w:rPr>
      </w:pPr>
      <w:r w:rsidRPr="000C60E1">
        <w:rPr>
          <w:rFonts w:cs="Arial"/>
        </w:rPr>
        <w:t xml:space="preserve">Sample, B.E., </w:t>
      </w:r>
      <w:proofErr w:type="spellStart"/>
      <w:r w:rsidRPr="000C60E1">
        <w:rPr>
          <w:rFonts w:cs="Arial"/>
        </w:rPr>
        <w:t>Aplin</w:t>
      </w:r>
      <w:proofErr w:type="spellEnd"/>
      <w:r w:rsidRPr="000C60E1">
        <w:rPr>
          <w:rFonts w:cs="Arial"/>
        </w:rPr>
        <w:t xml:space="preserve">, M.S., </w:t>
      </w:r>
      <w:proofErr w:type="spellStart"/>
      <w:r w:rsidRPr="000C60E1">
        <w:rPr>
          <w:rFonts w:cs="Arial"/>
        </w:rPr>
        <w:t>Efroymson</w:t>
      </w:r>
      <w:proofErr w:type="spellEnd"/>
      <w:r w:rsidRPr="000C60E1">
        <w:rPr>
          <w:rFonts w:cs="Arial"/>
        </w:rPr>
        <w:t xml:space="preserve">, R.A., Suter II, G.W. and Welsh, C.J.E. 1997.  Methods and tools for estimation of the exposure of terrestrial wildlife to contaminants.  ORNL/TM-13391.  Oak Ridge National Laboratory,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http://www.esd.ornl.gov/programs/ecorisk/guidance_docs.html</w:t>
      </w:r>
    </w:p>
    <w:p w14:paraId="33A1AEC0" w14:textId="77777777" w:rsidR="00B736F9" w:rsidRPr="000C60E1" w:rsidRDefault="00B736F9" w:rsidP="00840964">
      <w:pPr>
        <w:rPr>
          <w:rFonts w:cs="Arial"/>
        </w:rPr>
      </w:pPr>
      <w:r w:rsidRPr="000C60E1">
        <w:rPr>
          <w:rFonts w:cs="Arial"/>
        </w:rPr>
        <w:t xml:space="preserve">Sample, B.E., Beauchamp, J.J., </w:t>
      </w:r>
      <w:proofErr w:type="spellStart"/>
      <w:r w:rsidRPr="000C60E1">
        <w:rPr>
          <w:rFonts w:cs="Arial"/>
        </w:rPr>
        <w:t>Efroymson</w:t>
      </w:r>
      <w:proofErr w:type="spellEnd"/>
      <w:r w:rsidRPr="000C60E1">
        <w:rPr>
          <w:rFonts w:cs="Arial"/>
        </w:rPr>
        <w:t xml:space="preserve">, R.A., Suter II, G.W. and Ashwood, T.L. 1998a.  Development and validation of bioaccumulation models for earthworms.  ES/ER/TM-220.  Oak Ridge National Laboratory,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http://www.esd.ornl.gov/programs/ecorisk/guidance_docs.html</w:t>
      </w:r>
    </w:p>
    <w:p w14:paraId="5CB9D25E" w14:textId="77777777" w:rsidR="00B736F9" w:rsidRPr="000C60E1" w:rsidRDefault="00B736F9" w:rsidP="00840964">
      <w:pPr>
        <w:rPr>
          <w:rFonts w:cs="Arial"/>
        </w:rPr>
      </w:pPr>
      <w:r w:rsidRPr="000C60E1">
        <w:rPr>
          <w:rFonts w:cs="Arial"/>
        </w:rPr>
        <w:t xml:space="preserve">Sample, B.E., Beauchamp, J.J., </w:t>
      </w:r>
      <w:proofErr w:type="spellStart"/>
      <w:r w:rsidRPr="000C60E1">
        <w:rPr>
          <w:rFonts w:cs="Arial"/>
        </w:rPr>
        <w:t>Efroymson</w:t>
      </w:r>
      <w:proofErr w:type="spellEnd"/>
      <w:r w:rsidRPr="000C60E1">
        <w:rPr>
          <w:rFonts w:cs="Arial"/>
        </w:rPr>
        <w:t xml:space="preserve">, R.A. and Suter II, G.W. 1998b.  Development and validation of bioaccumulation models for small mammals.  ES/ER/TM-219.  Oak Ridge National Laboratory, </w:t>
      </w:r>
      <w:r w:rsidR="00840964" w:rsidRPr="000C60E1">
        <w:rPr>
          <w:rFonts w:cs="Arial"/>
        </w:rPr>
        <w:t xml:space="preserve"> </w:t>
      </w:r>
      <w:smartTag w:uri="urn:schemas-microsoft-com:office:smarttags" w:element="City">
        <w:smartTag w:uri="urn:schemas-microsoft-com:office:smarttags" w:element="place">
          <w:r w:rsidRPr="000C60E1">
            <w:rPr>
              <w:rFonts w:cs="Arial"/>
            </w:rPr>
            <w:t>Oak Ridge</w:t>
          </w:r>
        </w:smartTag>
      </w:smartTag>
      <w:r w:rsidRPr="000C60E1">
        <w:rPr>
          <w:rFonts w:cs="Arial"/>
        </w:rPr>
        <w:t>, TN. http://www.esd.ornl.gov/programs/ecorisk/guidance_docs.html</w:t>
      </w:r>
    </w:p>
    <w:p w14:paraId="5FC83916" w14:textId="77777777" w:rsidR="00B736F9" w:rsidRPr="000C60E1" w:rsidRDefault="00B736F9" w:rsidP="00840964">
      <w:pPr>
        <w:rPr>
          <w:rFonts w:cs="Arial"/>
        </w:rPr>
      </w:pPr>
      <w:r w:rsidRPr="000C60E1">
        <w:rPr>
          <w:rFonts w:cs="Arial"/>
        </w:rPr>
        <w:t xml:space="preserve">Suter, G.W. 1993.  Ecological Risk Assessment, Lewis Publishers, </w:t>
      </w:r>
      <w:smartTag w:uri="urn:schemas-microsoft-com:office:smarttags" w:element="place">
        <w:smartTag w:uri="urn:schemas-microsoft-com:office:smarttags" w:element="City">
          <w:r w:rsidRPr="000C60E1">
            <w:rPr>
              <w:rFonts w:cs="Arial"/>
            </w:rPr>
            <w:t>Chelsea</w:t>
          </w:r>
        </w:smartTag>
        <w:r w:rsidRPr="000C60E1">
          <w:rPr>
            <w:rFonts w:cs="Arial"/>
          </w:rPr>
          <w:t xml:space="preserve">, </w:t>
        </w:r>
        <w:smartTag w:uri="urn:schemas-microsoft-com:office:smarttags" w:element="State">
          <w:r w:rsidRPr="000C60E1">
            <w:rPr>
              <w:rFonts w:cs="Arial"/>
            </w:rPr>
            <w:t>Michigan</w:t>
          </w:r>
        </w:smartTag>
      </w:smartTag>
      <w:r w:rsidRPr="000C60E1">
        <w:rPr>
          <w:rFonts w:cs="Arial"/>
        </w:rPr>
        <w:t>.</w:t>
      </w:r>
    </w:p>
    <w:p w14:paraId="1F42F223" w14:textId="77777777" w:rsidR="00B736F9" w:rsidRPr="000C60E1" w:rsidRDefault="00B736F9" w:rsidP="00840964">
      <w:pPr>
        <w:rPr>
          <w:rFonts w:cs="Arial"/>
        </w:rPr>
      </w:pPr>
      <w:r w:rsidRPr="000C60E1">
        <w:rPr>
          <w:rFonts w:cs="Arial"/>
        </w:rPr>
        <w:t xml:space="preserve">Suter, G.W., </w:t>
      </w:r>
      <w:proofErr w:type="spellStart"/>
      <w:r w:rsidRPr="000C60E1">
        <w:rPr>
          <w:rFonts w:cs="Arial"/>
        </w:rPr>
        <w:t>Efroymson</w:t>
      </w:r>
      <w:proofErr w:type="spellEnd"/>
      <w:r w:rsidRPr="000C60E1">
        <w:rPr>
          <w:rFonts w:cs="Arial"/>
        </w:rPr>
        <w:t xml:space="preserve">, R.A., Sample, B.E., and Jones, D.S.  2000. Ecological Risk Assessment for Contaminated Sites.  Lewis Publishers, </w:t>
      </w:r>
      <w:smartTag w:uri="urn:schemas-microsoft-com:office:smarttags" w:element="stockticker">
        <w:r w:rsidRPr="000C60E1">
          <w:rPr>
            <w:rFonts w:cs="Arial"/>
          </w:rPr>
          <w:t>CRC</w:t>
        </w:r>
      </w:smartTag>
      <w:r w:rsidRPr="000C60E1">
        <w:rPr>
          <w:rFonts w:cs="Arial"/>
        </w:rPr>
        <w:t xml:space="preserve"> Press LLC.</w:t>
      </w:r>
    </w:p>
    <w:p w14:paraId="664FE6D4" w14:textId="77777777" w:rsidR="00B736F9" w:rsidRPr="000C60E1" w:rsidRDefault="00B736F9" w:rsidP="00840964">
      <w:pPr>
        <w:rPr>
          <w:rFonts w:cs="Arial"/>
        </w:rPr>
      </w:pPr>
      <w:r w:rsidRPr="000C60E1">
        <w:rPr>
          <w:rFonts w:cs="Arial"/>
        </w:rPr>
        <w:lastRenderedPageBreak/>
        <w:t>US Environmental Protection Agency. 1989a.  Ecological Assessment of Hazardous Waste Sites: a Field and Laboratory Reference.  Warren-Hicks, W., B.R. Parkhurst and S.S. Baker, (eds).  EPA/600/3-89/013.  Prepared by Kilkelly Environmental Associates for USEPA.</w:t>
      </w:r>
    </w:p>
    <w:p w14:paraId="2257431C" w14:textId="77777777" w:rsidR="00B736F9" w:rsidRPr="000C60E1" w:rsidRDefault="00B736F9" w:rsidP="00840964">
      <w:pPr>
        <w:rPr>
          <w:rFonts w:cs="Arial"/>
        </w:rPr>
      </w:pPr>
      <w:r w:rsidRPr="000C60E1">
        <w:rPr>
          <w:rFonts w:cs="Arial"/>
        </w:rPr>
        <w:t xml:space="preserve">US </w:t>
      </w:r>
      <w:r w:rsidR="00D026F0" w:rsidRPr="000C60E1">
        <w:rPr>
          <w:rFonts w:cs="Arial"/>
        </w:rPr>
        <w:t>Environmental Protection Agency</w:t>
      </w:r>
      <w:r w:rsidRPr="000C60E1">
        <w:rPr>
          <w:rFonts w:cs="Arial"/>
        </w:rPr>
        <w:t xml:space="preserve"> 1993.  Wildlife Exposure Factors Handbook.  Volume I.  EPA/600/R-93/187a.  Office of Research and Development, </w:t>
      </w:r>
      <w:smartTag w:uri="urn:schemas-microsoft-com:office:smarttags" w:element="place">
        <w:smartTag w:uri="urn:schemas-microsoft-com:office:smarttags" w:element="City">
          <w:r w:rsidRPr="000C60E1">
            <w:rPr>
              <w:rFonts w:cs="Arial"/>
            </w:rPr>
            <w:t>Washington</w:t>
          </w:r>
        </w:smartTag>
        <w:r w:rsidRPr="000C60E1">
          <w:rPr>
            <w:rFonts w:cs="Arial"/>
          </w:rPr>
          <w:t xml:space="preserve">, </w:t>
        </w:r>
        <w:smartTag w:uri="urn:schemas-microsoft-com:office:smarttags" w:element="State">
          <w:r w:rsidRPr="000C60E1">
            <w:rPr>
              <w:rFonts w:cs="Arial"/>
            </w:rPr>
            <w:t>DC</w:t>
          </w:r>
        </w:smartTag>
      </w:smartTag>
      <w:r w:rsidRPr="000C60E1">
        <w:rPr>
          <w:rFonts w:cs="Arial"/>
        </w:rPr>
        <w:t>.</w:t>
      </w:r>
    </w:p>
    <w:p w14:paraId="08B658D3" w14:textId="77777777" w:rsidR="00B736F9" w:rsidRPr="000C60E1" w:rsidRDefault="00B736F9" w:rsidP="00840964">
      <w:pPr>
        <w:rPr>
          <w:rFonts w:cs="Arial"/>
        </w:rPr>
      </w:pPr>
      <w:r w:rsidRPr="000C60E1">
        <w:rPr>
          <w:rFonts w:cs="Arial"/>
        </w:rPr>
        <w:t xml:space="preserve">US </w:t>
      </w:r>
      <w:r w:rsidR="00D026F0" w:rsidRPr="000C60E1">
        <w:rPr>
          <w:rFonts w:cs="Arial"/>
        </w:rPr>
        <w:t>Environmental Protection Agency</w:t>
      </w:r>
      <w:r w:rsidRPr="000C60E1">
        <w:rPr>
          <w:rFonts w:cs="Arial"/>
        </w:rPr>
        <w:t xml:space="preserve">.  1998.  Guidelines for Ecological Risk Assessment.  EPA/630/R-95/002F.  April 1998.  Risk Assessment Forum, </w:t>
      </w:r>
      <w:smartTag w:uri="urn:schemas-microsoft-com:office:smarttags" w:element="place">
        <w:smartTag w:uri="urn:schemas-microsoft-com:office:smarttags" w:element="City">
          <w:r w:rsidRPr="000C60E1">
            <w:rPr>
              <w:rFonts w:cs="Arial"/>
            </w:rPr>
            <w:t>Washington</w:t>
          </w:r>
        </w:smartTag>
        <w:r w:rsidRPr="000C60E1">
          <w:rPr>
            <w:rFonts w:cs="Arial"/>
          </w:rPr>
          <w:t xml:space="preserve">, </w:t>
        </w:r>
        <w:smartTag w:uri="urn:schemas-microsoft-com:office:smarttags" w:element="State">
          <w:r w:rsidRPr="000C60E1">
            <w:rPr>
              <w:rFonts w:cs="Arial"/>
            </w:rPr>
            <w:t>DC</w:t>
          </w:r>
        </w:smartTag>
      </w:smartTag>
      <w:r w:rsidRPr="000C60E1">
        <w:rPr>
          <w:rFonts w:cs="Arial"/>
        </w:rPr>
        <w:t>.</w:t>
      </w:r>
    </w:p>
    <w:p w14:paraId="567A4D59" w14:textId="77777777" w:rsidR="00D026F0" w:rsidRPr="000C60E1" w:rsidRDefault="00D026F0" w:rsidP="00840964">
      <w:pPr>
        <w:rPr>
          <w:rFonts w:cs="Arial"/>
        </w:rPr>
      </w:pPr>
      <w:r w:rsidRPr="000C60E1">
        <w:rPr>
          <w:rFonts w:cs="Arial"/>
        </w:rPr>
        <w:t>US Environmental Protection Agency Ecological Soil Screening Levels http://www.epa.gov/ecotox/ecossl/</w:t>
      </w:r>
    </w:p>
    <w:p w14:paraId="2CF6401A" w14:textId="77777777" w:rsidR="00A558BD" w:rsidRPr="000C60E1" w:rsidRDefault="00A558BD" w:rsidP="00840964">
      <w:pPr>
        <w:rPr>
          <w:rFonts w:cs="Arial"/>
        </w:rPr>
      </w:pPr>
      <w:r w:rsidRPr="000C60E1">
        <w:rPr>
          <w:rFonts w:cs="Arial"/>
        </w:rPr>
        <w:t>US Geological Survey, Columbia Environmental Research Centre website http://www.cerc.cr.usgs.gov/data/acute/multiselect.asp</w:t>
      </w:r>
    </w:p>
    <w:p w14:paraId="7E05E714" w14:textId="77777777" w:rsidR="00B736F9" w:rsidRPr="000C60E1" w:rsidRDefault="00B736F9" w:rsidP="00840964">
      <w:pPr>
        <w:rPr>
          <w:rFonts w:cs="Arial"/>
        </w:rPr>
      </w:pPr>
      <w:smartTag w:uri="urn:schemas-microsoft-com:office:smarttags" w:element="country-region">
        <w:smartTag w:uri="urn:schemas-microsoft-com:office:smarttags" w:element="place">
          <w:r w:rsidRPr="000C60E1">
            <w:rPr>
              <w:rFonts w:cs="Arial"/>
            </w:rPr>
            <w:t>U.S.</w:t>
          </w:r>
        </w:smartTag>
      </w:smartTag>
      <w:r w:rsidRPr="000C60E1">
        <w:rPr>
          <w:rFonts w:cs="Arial"/>
        </w:rPr>
        <w:t xml:space="preserve"> Navy.  2003.  US Ecological Screening and COPC Refinement for Sediment, Soil, and Surface Water.  http://web.ead.anl.gov/ecorisk/issue/pdf/Navy_Screening_White_Paper_7-22-03.pdf. </w:t>
      </w:r>
    </w:p>
    <w:p w14:paraId="437EEEF7" w14:textId="7B6577B3" w:rsidR="00403529" w:rsidRPr="002A75F2" w:rsidRDefault="00403529" w:rsidP="00531CDC">
      <w:pPr>
        <w:pStyle w:val="Heading1"/>
        <w:numPr>
          <w:ilvl w:val="0"/>
          <w:numId w:val="0"/>
        </w:numPr>
      </w:pPr>
      <w:bookmarkStart w:id="431" w:name="_Toc41905751"/>
      <w:bookmarkStart w:id="432" w:name="_Hlk41571344"/>
      <w:bookmarkStart w:id="433" w:name="_Hlk41571693"/>
      <w:r w:rsidRPr="002A75F2">
        <w:lastRenderedPageBreak/>
        <w:t>Appendix A</w:t>
      </w:r>
      <w:r w:rsidR="002411E1" w:rsidRPr="002A75F2">
        <w:t xml:space="preserve"> – Lawyer’s Letter Template</w:t>
      </w:r>
      <w:bookmarkEnd w:id="431"/>
    </w:p>
    <w:bookmarkEnd w:id="432"/>
    <w:p w14:paraId="65EDFD69" w14:textId="77777777" w:rsidR="00F02A87" w:rsidRPr="000C60E1" w:rsidRDefault="00F02A87" w:rsidP="00F02A87">
      <w:pPr>
        <w:jc w:val="center"/>
        <w:rPr>
          <w:rFonts w:cs="Arial"/>
          <w:b/>
          <w:sz w:val="28"/>
          <w:szCs w:val="28"/>
          <w:lang w:val="en-CA"/>
        </w:rPr>
      </w:pPr>
      <w:r w:rsidRPr="000C60E1">
        <w:rPr>
          <w:rFonts w:cs="Arial"/>
          <w:b/>
          <w:sz w:val="28"/>
          <w:szCs w:val="28"/>
          <w:lang w:val="en-CA"/>
        </w:rPr>
        <w:t>LAWYER’S LETTER TEMPLATE FOR RISK ASSESSMENTS</w:t>
      </w:r>
    </w:p>
    <w:p w14:paraId="761F808E" w14:textId="77777777" w:rsidR="00F02A87" w:rsidRPr="000C60E1" w:rsidRDefault="00F02A87" w:rsidP="00F02A87">
      <w:pPr>
        <w:jc w:val="center"/>
        <w:rPr>
          <w:rFonts w:cs="Arial"/>
          <w:b/>
          <w:sz w:val="28"/>
          <w:szCs w:val="28"/>
          <w:lang w:val="en-CA"/>
        </w:rPr>
      </w:pPr>
    </w:p>
    <w:p w14:paraId="3193B881" w14:textId="77777777" w:rsidR="00F02A87" w:rsidRPr="000C60E1" w:rsidRDefault="00F02A87" w:rsidP="00F02A87">
      <w:pPr>
        <w:rPr>
          <w:rFonts w:cs="Arial"/>
          <w:lang w:val="en-CA"/>
        </w:rPr>
      </w:pPr>
      <w:r w:rsidRPr="000C60E1">
        <w:rPr>
          <w:rFonts w:cs="Arial"/>
          <w:lang w:val="en-CA"/>
        </w:rPr>
        <w:t>RE   Property that is the subject matter of a Risk Assessment (the “Property”)</w:t>
      </w:r>
    </w:p>
    <w:p w14:paraId="0B19FC84" w14:textId="77777777" w:rsidR="00F02A87" w:rsidRPr="000C60E1" w:rsidRDefault="00F02A87" w:rsidP="00F02A87">
      <w:pPr>
        <w:rPr>
          <w:rFonts w:cs="Arial"/>
          <w:lang w:val="en-CA"/>
        </w:rPr>
      </w:pPr>
      <w:r w:rsidRPr="000C60E1">
        <w:rPr>
          <w:rFonts w:cs="Arial"/>
          <w:lang w:val="en-CA"/>
        </w:rPr>
        <w:t xml:space="preserve">[DESCRIBE i.e. municipal address] </w:t>
      </w:r>
    </w:p>
    <w:p w14:paraId="7EF90AA6" w14:textId="77777777" w:rsidR="00F02A87" w:rsidRPr="000C60E1" w:rsidRDefault="00F02A87" w:rsidP="00F02A87">
      <w:pPr>
        <w:rPr>
          <w:rFonts w:cs="Arial"/>
          <w:lang w:val="en-CA"/>
        </w:rPr>
      </w:pPr>
    </w:p>
    <w:p w14:paraId="331A7313" w14:textId="77777777" w:rsidR="00F02A87" w:rsidRPr="000C60E1" w:rsidRDefault="00F02A87" w:rsidP="00F02A87">
      <w:pPr>
        <w:rPr>
          <w:rFonts w:cs="Arial"/>
          <w:lang w:val="en-CA"/>
        </w:rPr>
      </w:pPr>
      <w:r w:rsidRPr="000C60E1">
        <w:rPr>
          <w:rFonts w:cs="Arial"/>
          <w:lang w:val="en-CA"/>
        </w:rPr>
        <w:t>We are the solicitors for [CLIENT] in respect of the above-noted matter and have reviewed the following, a copy of each of which is attached hereto:</w:t>
      </w:r>
    </w:p>
    <w:p w14:paraId="18BD619E" w14:textId="77777777" w:rsidR="00F02A87" w:rsidRPr="000C60E1" w:rsidRDefault="00F02A87" w:rsidP="00F02A87">
      <w:pPr>
        <w:rPr>
          <w:rFonts w:cs="Arial"/>
          <w:lang w:val="en-CA"/>
        </w:rPr>
      </w:pPr>
    </w:p>
    <w:p w14:paraId="3456A957" w14:textId="77777777" w:rsidR="00F02A87" w:rsidRPr="000C60E1" w:rsidRDefault="00F02A87" w:rsidP="00F02A87">
      <w:pPr>
        <w:pStyle w:val="ListParagraph"/>
        <w:numPr>
          <w:ilvl w:val="0"/>
          <w:numId w:val="45"/>
        </w:numPr>
        <w:rPr>
          <w:rFonts w:cs="Arial"/>
          <w:lang w:val="en-CA"/>
        </w:rPr>
      </w:pPr>
      <w:r w:rsidRPr="000C60E1">
        <w:rPr>
          <w:rFonts w:cs="Arial"/>
          <w:lang w:val="en-CA"/>
        </w:rPr>
        <w:t>Plan of Survey prepared, signed and sealed by *, Ontario land Surveyor [DESCRIBE] which has thereon an outline of the Property;</w:t>
      </w:r>
    </w:p>
    <w:p w14:paraId="7BAB3842" w14:textId="77777777" w:rsidR="00F02A87" w:rsidRPr="000C60E1" w:rsidRDefault="00F02A87" w:rsidP="00F02A87">
      <w:pPr>
        <w:pStyle w:val="ListParagraph"/>
        <w:rPr>
          <w:rFonts w:cs="Arial"/>
          <w:lang w:val="en-CA"/>
        </w:rPr>
      </w:pPr>
    </w:p>
    <w:p w14:paraId="729A2B04" w14:textId="77777777" w:rsidR="00F02A87" w:rsidRPr="000C60E1" w:rsidRDefault="00F02A87" w:rsidP="00F02A87">
      <w:pPr>
        <w:pStyle w:val="ListParagraph"/>
        <w:numPr>
          <w:ilvl w:val="0"/>
          <w:numId w:val="45"/>
        </w:numPr>
        <w:rPr>
          <w:rFonts w:cs="Arial"/>
          <w:lang w:val="en-CA"/>
        </w:rPr>
      </w:pPr>
      <w:r w:rsidRPr="000C60E1">
        <w:rPr>
          <w:rFonts w:cs="Arial"/>
          <w:lang w:val="en-CA"/>
        </w:rPr>
        <w:t>Transfer Instrument No. XX whereby [CLIENT] acquired the Property;</w:t>
      </w:r>
    </w:p>
    <w:p w14:paraId="1F714027" w14:textId="77777777" w:rsidR="00F02A87" w:rsidRPr="000C60E1" w:rsidRDefault="00F02A87" w:rsidP="00F02A87">
      <w:pPr>
        <w:pStyle w:val="ListParagraph"/>
        <w:rPr>
          <w:rFonts w:cs="Arial"/>
          <w:lang w:val="en-CA"/>
        </w:rPr>
      </w:pPr>
    </w:p>
    <w:p w14:paraId="56B6C9D8" w14:textId="77777777" w:rsidR="00F02A87" w:rsidRPr="000C60E1" w:rsidRDefault="00F02A87" w:rsidP="00F02A87">
      <w:pPr>
        <w:pStyle w:val="ListParagraph"/>
        <w:numPr>
          <w:ilvl w:val="0"/>
          <w:numId w:val="45"/>
        </w:numPr>
        <w:rPr>
          <w:rFonts w:cs="Arial"/>
          <w:lang w:val="en-CA"/>
        </w:rPr>
      </w:pPr>
      <w:r w:rsidRPr="000C60E1">
        <w:rPr>
          <w:rFonts w:cs="Arial"/>
          <w:lang w:val="en-CA"/>
        </w:rPr>
        <w:t xml:space="preserve">Parcel Register(s) (PIN abstract(s)) regarding the Property; </w:t>
      </w:r>
    </w:p>
    <w:p w14:paraId="3D6A4DB8" w14:textId="77777777" w:rsidR="00F02A87" w:rsidRPr="000C60E1" w:rsidRDefault="00F02A87" w:rsidP="00F02A87">
      <w:pPr>
        <w:pStyle w:val="ListParagraph"/>
        <w:rPr>
          <w:rFonts w:cs="Arial"/>
          <w:lang w:val="en-CA"/>
        </w:rPr>
      </w:pPr>
    </w:p>
    <w:p w14:paraId="3234550D" w14:textId="77777777" w:rsidR="00F02A87" w:rsidRPr="000C60E1" w:rsidRDefault="00F02A87" w:rsidP="00F02A87">
      <w:pPr>
        <w:pStyle w:val="ListParagraph"/>
        <w:numPr>
          <w:ilvl w:val="0"/>
          <w:numId w:val="45"/>
        </w:numPr>
        <w:rPr>
          <w:rFonts w:cs="Arial"/>
          <w:lang w:val="en-CA"/>
        </w:rPr>
      </w:pPr>
      <w:r w:rsidRPr="000C60E1">
        <w:rPr>
          <w:rFonts w:cs="Arial"/>
          <w:lang w:val="en-CA"/>
        </w:rPr>
        <w:t>Documentation regarding the owners of the Property; and, if applicable</w:t>
      </w:r>
    </w:p>
    <w:p w14:paraId="1CAF98F5" w14:textId="77777777" w:rsidR="00F02A87" w:rsidRPr="000C60E1" w:rsidRDefault="00F02A87" w:rsidP="00F02A87">
      <w:pPr>
        <w:ind w:firstLine="720"/>
        <w:rPr>
          <w:rFonts w:cs="Arial"/>
          <w:lang w:val="en-CA"/>
        </w:rPr>
      </w:pPr>
      <w:r w:rsidRPr="000C60E1">
        <w:rPr>
          <w:rFonts w:cs="Arial"/>
          <w:lang w:val="en-CA"/>
        </w:rPr>
        <w:t xml:space="preserve"> [SEE NOTES BELOW]</w:t>
      </w:r>
    </w:p>
    <w:p w14:paraId="178BC28D" w14:textId="77777777" w:rsidR="00F02A87" w:rsidRPr="000C60E1" w:rsidRDefault="00F02A87" w:rsidP="00F02A87">
      <w:pPr>
        <w:pStyle w:val="ListParagraph"/>
        <w:rPr>
          <w:rFonts w:cs="Arial"/>
          <w:lang w:val="en-CA"/>
        </w:rPr>
      </w:pPr>
    </w:p>
    <w:p w14:paraId="67B36300" w14:textId="77777777" w:rsidR="00F02A87" w:rsidRPr="000C60E1" w:rsidRDefault="00F02A87" w:rsidP="00F02A87">
      <w:pPr>
        <w:pStyle w:val="ListParagraph"/>
        <w:numPr>
          <w:ilvl w:val="0"/>
          <w:numId w:val="45"/>
        </w:numPr>
        <w:rPr>
          <w:rFonts w:cs="Arial"/>
          <w:lang w:val="en-CA"/>
        </w:rPr>
      </w:pPr>
      <w:r w:rsidRPr="000C60E1">
        <w:rPr>
          <w:rFonts w:cs="Arial"/>
          <w:lang w:val="en-CA"/>
        </w:rPr>
        <w:t xml:space="preserve">A draft of a “certificate in preparation” that can be used regarding the filing of the “Certificate of Requirement” after a certificate of property use is issued. </w:t>
      </w:r>
    </w:p>
    <w:p w14:paraId="67E9F7A6" w14:textId="77777777" w:rsidR="00F02A87" w:rsidRPr="000C60E1" w:rsidRDefault="00F02A87" w:rsidP="00F02A87">
      <w:pPr>
        <w:rPr>
          <w:rFonts w:cs="Arial"/>
          <w:lang w:val="en-CA"/>
        </w:rPr>
      </w:pPr>
      <w:r w:rsidRPr="000C60E1">
        <w:rPr>
          <w:rFonts w:cs="Arial"/>
          <w:lang w:val="en-CA"/>
        </w:rPr>
        <w:t xml:space="preserve">            [SEE NOTE 4 BELOW]</w:t>
      </w:r>
    </w:p>
    <w:p w14:paraId="15CE96CA" w14:textId="77777777" w:rsidR="00F02A87" w:rsidRPr="000C60E1" w:rsidRDefault="00F02A87" w:rsidP="00F02A87">
      <w:pPr>
        <w:pStyle w:val="ListParagraph"/>
        <w:rPr>
          <w:rFonts w:cs="Arial"/>
          <w:lang w:val="en-CA"/>
        </w:rPr>
      </w:pPr>
    </w:p>
    <w:p w14:paraId="317B840C" w14:textId="223AB4E6" w:rsidR="00F02A87" w:rsidRPr="000C60E1" w:rsidRDefault="00F02A87" w:rsidP="00F02A87">
      <w:pPr>
        <w:rPr>
          <w:rFonts w:cs="Arial"/>
          <w:lang w:val="en-CA"/>
        </w:rPr>
      </w:pPr>
      <w:r w:rsidRPr="000C60E1">
        <w:rPr>
          <w:rFonts w:cs="Arial"/>
          <w:lang w:val="en-CA"/>
        </w:rPr>
        <w:t xml:space="preserve">The current legal description and property identification number(s) of the Property [Indicate that it is All or Part of the PINs] </w:t>
      </w:r>
      <w:r w:rsidR="00824D28">
        <w:rPr>
          <w:rFonts w:cs="Arial"/>
          <w:lang w:val="en-CA"/>
        </w:rPr>
        <w:t>are</w:t>
      </w:r>
      <w:r w:rsidRPr="000C60E1">
        <w:rPr>
          <w:rFonts w:cs="Arial"/>
          <w:lang w:val="en-CA"/>
        </w:rPr>
        <w:t xml:space="preserve"> the following: </w:t>
      </w:r>
    </w:p>
    <w:p w14:paraId="6A8590D5" w14:textId="77777777" w:rsidR="00F02A87" w:rsidRPr="000C60E1" w:rsidRDefault="00F02A87" w:rsidP="00F02A87">
      <w:pPr>
        <w:pStyle w:val="ListParagraph"/>
        <w:rPr>
          <w:rFonts w:cs="Arial"/>
          <w:lang w:val="en-CA"/>
        </w:rPr>
      </w:pPr>
    </w:p>
    <w:p w14:paraId="2112185E" w14:textId="77777777" w:rsidR="00F02A87" w:rsidRPr="000C60E1" w:rsidRDefault="00F02A87" w:rsidP="00F02A87">
      <w:pPr>
        <w:rPr>
          <w:rFonts w:cs="Arial"/>
          <w:lang w:val="en-CA"/>
        </w:rPr>
      </w:pPr>
      <w:r w:rsidRPr="000C60E1">
        <w:rPr>
          <w:rFonts w:cs="Arial"/>
          <w:lang w:val="en-CA"/>
        </w:rPr>
        <w:t>The following lists the owners of the Property and a description of the nature of their interest:</w:t>
      </w:r>
    </w:p>
    <w:p w14:paraId="4E3D9195" w14:textId="77777777" w:rsidR="00F02A87" w:rsidRPr="000C60E1" w:rsidRDefault="00F02A87" w:rsidP="00F02A87">
      <w:pPr>
        <w:rPr>
          <w:rFonts w:cs="Arial"/>
          <w:lang w:val="en-CA"/>
        </w:rPr>
      </w:pPr>
    </w:p>
    <w:p w14:paraId="2B06ED41" w14:textId="77777777" w:rsidR="00F02A87" w:rsidRPr="000C60E1" w:rsidRDefault="00F02A87" w:rsidP="00F02A87">
      <w:pPr>
        <w:pStyle w:val="ListParagraph"/>
        <w:numPr>
          <w:ilvl w:val="0"/>
          <w:numId w:val="46"/>
        </w:numPr>
        <w:rPr>
          <w:rFonts w:cs="Arial"/>
          <w:lang w:val="en-CA"/>
        </w:rPr>
      </w:pPr>
      <w:r w:rsidRPr="000C60E1">
        <w:rPr>
          <w:rFonts w:cs="Arial"/>
          <w:lang w:val="en-CA"/>
        </w:rPr>
        <w:t>Registered owner(s):</w:t>
      </w:r>
    </w:p>
    <w:p w14:paraId="43C88E36" w14:textId="77777777" w:rsidR="00F02A87" w:rsidRPr="000C60E1" w:rsidRDefault="00F02A87" w:rsidP="00F02A87">
      <w:pPr>
        <w:pStyle w:val="ListParagraph"/>
        <w:numPr>
          <w:ilvl w:val="0"/>
          <w:numId w:val="46"/>
        </w:numPr>
        <w:rPr>
          <w:rFonts w:cs="Arial"/>
          <w:lang w:val="en-CA"/>
        </w:rPr>
      </w:pPr>
      <w:r w:rsidRPr="000C60E1">
        <w:rPr>
          <w:rFonts w:cs="Arial"/>
          <w:lang w:val="en-CA"/>
        </w:rPr>
        <w:t>Beneficial owner(s):</w:t>
      </w:r>
    </w:p>
    <w:p w14:paraId="00047EEB" w14:textId="77777777" w:rsidR="00F02A87" w:rsidRPr="000C60E1" w:rsidRDefault="00F02A87" w:rsidP="00F02A87">
      <w:pPr>
        <w:rPr>
          <w:rFonts w:cs="Arial"/>
          <w:lang w:val="en-CA"/>
        </w:rPr>
      </w:pPr>
    </w:p>
    <w:p w14:paraId="4785B3EB" w14:textId="77777777" w:rsidR="00F02A87" w:rsidRPr="000C60E1" w:rsidRDefault="00F02A87" w:rsidP="00F02A87">
      <w:pPr>
        <w:rPr>
          <w:rFonts w:cs="Arial"/>
          <w:lang w:val="en-CA"/>
        </w:rPr>
      </w:pPr>
      <w:r w:rsidRPr="000C60E1">
        <w:rPr>
          <w:rFonts w:cs="Arial"/>
          <w:lang w:val="en-CA"/>
        </w:rPr>
        <w:t xml:space="preserve">The Lands have the following municipal address: </w:t>
      </w:r>
    </w:p>
    <w:p w14:paraId="6F542133" w14:textId="77777777" w:rsidR="00F02A87" w:rsidRPr="000C60E1" w:rsidRDefault="00F02A87" w:rsidP="00F02A87">
      <w:pPr>
        <w:rPr>
          <w:rFonts w:cs="Arial"/>
          <w:lang w:val="en-CA"/>
        </w:rPr>
      </w:pPr>
    </w:p>
    <w:p w14:paraId="098A9FA3" w14:textId="77777777" w:rsidR="00F02A87" w:rsidRPr="000C60E1" w:rsidRDefault="00F02A87" w:rsidP="00F02A87">
      <w:pPr>
        <w:rPr>
          <w:rFonts w:cs="Arial"/>
          <w:lang w:val="en-CA"/>
        </w:rPr>
      </w:pPr>
      <w:r w:rsidRPr="000C60E1">
        <w:rPr>
          <w:rFonts w:cs="Arial"/>
          <w:lang w:val="en-CA"/>
        </w:rPr>
        <w:t xml:space="preserve">The Lands have the following assessment roll number(s): </w:t>
      </w:r>
    </w:p>
    <w:p w14:paraId="261AD84E" w14:textId="77777777" w:rsidR="00F02A87" w:rsidRPr="000C60E1" w:rsidRDefault="00F02A87" w:rsidP="00F02A87">
      <w:pPr>
        <w:rPr>
          <w:rFonts w:cs="Arial"/>
          <w:lang w:val="en-CA"/>
        </w:rPr>
      </w:pPr>
    </w:p>
    <w:p w14:paraId="6EE8E2A1" w14:textId="77777777" w:rsidR="00F02A87" w:rsidRPr="000C60E1" w:rsidRDefault="00F02A87" w:rsidP="00F02A87">
      <w:pPr>
        <w:rPr>
          <w:rFonts w:cs="Arial"/>
          <w:lang w:val="en-CA"/>
        </w:rPr>
      </w:pPr>
      <w:r w:rsidRPr="000C60E1">
        <w:rPr>
          <w:rFonts w:cs="Arial"/>
          <w:lang w:val="en-CA"/>
        </w:rPr>
        <w:t>If you have any questions or concerns, do not hesitate to contact the undersigned.</w:t>
      </w:r>
    </w:p>
    <w:p w14:paraId="774B2076" w14:textId="77777777" w:rsidR="00F02A87" w:rsidRPr="000C60E1" w:rsidRDefault="00F02A87" w:rsidP="00F02A87">
      <w:pPr>
        <w:rPr>
          <w:rFonts w:cs="Arial"/>
          <w:lang w:val="en-CA"/>
        </w:rPr>
      </w:pPr>
    </w:p>
    <w:p w14:paraId="18295750" w14:textId="77777777" w:rsidR="00F02A87" w:rsidRPr="000C60E1" w:rsidRDefault="00F02A87" w:rsidP="00F02A87">
      <w:pPr>
        <w:rPr>
          <w:rFonts w:cs="Arial"/>
          <w:lang w:val="en-CA"/>
        </w:rPr>
      </w:pPr>
      <w:r w:rsidRPr="000C60E1">
        <w:rPr>
          <w:rFonts w:cs="Arial"/>
          <w:lang w:val="en-CA"/>
        </w:rPr>
        <w:t xml:space="preserve">Yours very truly, </w:t>
      </w:r>
    </w:p>
    <w:p w14:paraId="05076910" w14:textId="77777777" w:rsidR="00F02A87" w:rsidRPr="000C60E1" w:rsidRDefault="00F02A87" w:rsidP="00F02A87">
      <w:pPr>
        <w:rPr>
          <w:rFonts w:cs="Arial"/>
          <w:lang w:val="en-CA"/>
        </w:rPr>
      </w:pPr>
    </w:p>
    <w:p w14:paraId="08564BDB" w14:textId="77777777" w:rsidR="00F02A87" w:rsidRPr="000C60E1" w:rsidRDefault="00F02A87" w:rsidP="00F02A87">
      <w:pPr>
        <w:rPr>
          <w:rFonts w:cs="Arial"/>
          <w:lang w:val="en-CA"/>
        </w:rPr>
      </w:pPr>
      <w:r w:rsidRPr="000C60E1">
        <w:rPr>
          <w:rFonts w:cs="Arial"/>
          <w:lang w:val="en-CA"/>
        </w:rPr>
        <w:t>FIRM NAME</w:t>
      </w:r>
      <w:bookmarkStart w:id="434" w:name="_GoBack"/>
      <w:bookmarkEnd w:id="434"/>
    </w:p>
    <w:p w14:paraId="71A8B725" w14:textId="77777777" w:rsidR="00F02A87" w:rsidRPr="000C60E1" w:rsidRDefault="00F02A87" w:rsidP="00F02A87">
      <w:pPr>
        <w:rPr>
          <w:rFonts w:cs="Arial"/>
          <w:lang w:val="en-CA"/>
        </w:rPr>
      </w:pPr>
      <w:r w:rsidRPr="000C60E1">
        <w:rPr>
          <w:rFonts w:cs="Arial"/>
          <w:lang w:val="en-CA"/>
        </w:rPr>
        <w:t>Lawyer name and signature</w:t>
      </w:r>
    </w:p>
    <w:p w14:paraId="47DF6180" w14:textId="439D8153" w:rsidR="00F02A87" w:rsidRDefault="00F02A87" w:rsidP="00F02A87">
      <w:pPr>
        <w:rPr>
          <w:rFonts w:cs="Arial"/>
          <w:lang w:val="en-CA"/>
        </w:rPr>
      </w:pPr>
    </w:p>
    <w:p w14:paraId="0C772FFC" w14:textId="77777777" w:rsidR="000C60E1" w:rsidRPr="000C60E1" w:rsidRDefault="000C60E1" w:rsidP="00F02A87">
      <w:pPr>
        <w:rPr>
          <w:rFonts w:cs="Arial"/>
          <w:b/>
          <w:lang w:val="en-CA"/>
        </w:rPr>
      </w:pPr>
    </w:p>
    <w:p w14:paraId="5FAC378D" w14:textId="77777777" w:rsidR="00F02A87" w:rsidRPr="000C60E1" w:rsidRDefault="00F02A87" w:rsidP="00F02A87">
      <w:pPr>
        <w:rPr>
          <w:rFonts w:cs="Arial"/>
          <w:b/>
          <w:lang w:val="en-CA"/>
        </w:rPr>
      </w:pPr>
      <w:r w:rsidRPr="000C60E1">
        <w:rPr>
          <w:rFonts w:cs="Arial"/>
          <w:b/>
          <w:lang w:val="en-CA"/>
        </w:rPr>
        <w:t xml:space="preserve">NOTES </w:t>
      </w:r>
    </w:p>
    <w:p w14:paraId="4F951D4D" w14:textId="77777777" w:rsidR="00F02A87" w:rsidRPr="000C60E1" w:rsidRDefault="00F02A87" w:rsidP="00F02A87">
      <w:pPr>
        <w:rPr>
          <w:rFonts w:cs="Arial"/>
          <w:b/>
          <w:lang w:val="en-CA"/>
        </w:rPr>
      </w:pPr>
    </w:p>
    <w:p w14:paraId="2691E911" w14:textId="77777777" w:rsidR="00F02A87" w:rsidRPr="000C60E1" w:rsidRDefault="00F02A87" w:rsidP="000C60E1">
      <w:pPr>
        <w:pStyle w:val="ListParagraph"/>
        <w:numPr>
          <w:ilvl w:val="0"/>
          <w:numId w:val="47"/>
        </w:numPr>
        <w:rPr>
          <w:rFonts w:cs="Arial"/>
          <w:b/>
          <w:lang w:val="en-CA"/>
        </w:rPr>
      </w:pPr>
      <w:r w:rsidRPr="000C60E1">
        <w:rPr>
          <w:rFonts w:cs="Arial"/>
          <w:b/>
          <w:lang w:val="en-CA"/>
        </w:rPr>
        <w:t>If the Property is not the entire Lands as described in the original Transfer with the same PIN number(s), then add additional information explaining the reason for the differences.</w:t>
      </w:r>
    </w:p>
    <w:p w14:paraId="46A6FFB3" w14:textId="77777777" w:rsidR="00F02A87" w:rsidRPr="000C60E1" w:rsidRDefault="00F02A87" w:rsidP="000C60E1">
      <w:pPr>
        <w:rPr>
          <w:rFonts w:cs="Arial"/>
          <w:b/>
          <w:lang w:val="en-CA"/>
        </w:rPr>
      </w:pPr>
    </w:p>
    <w:p w14:paraId="0FAC5DA8" w14:textId="77777777" w:rsidR="00F02A87" w:rsidRPr="000C60E1" w:rsidRDefault="00F02A87" w:rsidP="000C60E1">
      <w:pPr>
        <w:pStyle w:val="ListParagraph"/>
        <w:numPr>
          <w:ilvl w:val="0"/>
          <w:numId w:val="47"/>
        </w:numPr>
        <w:rPr>
          <w:rFonts w:cs="Arial"/>
          <w:b/>
          <w:lang w:val="en-CA"/>
        </w:rPr>
      </w:pPr>
      <w:r w:rsidRPr="000C60E1">
        <w:rPr>
          <w:rFonts w:cs="Arial"/>
          <w:b/>
          <w:lang w:val="en-CA"/>
        </w:rPr>
        <w:t>Documentation regarding any beneficial ownership that should be attached is a copy of the signed Nominee Agreement or Trust Agreement, as appropriate, or in the case of a Limited Partnership, the Limited Partnership Report.</w:t>
      </w:r>
    </w:p>
    <w:p w14:paraId="6291B186" w14:textId="77777777" w:rsidR="00F02A87" w:rsidRPr="000C60E1" w:rsidRDefault="00F02A87" w:rsidP="000C60E1">
      <w:pPr>
        <w:rPr>
          <w:rFonts w:cs="Arial"/>
          <w:b/>
          <w:lang w:val="en-CA"/>
        </w:rPr>
      </w:pPr>
    </w:p>
    <w:p w14:paraId="0A544410" w14:textId="77777777" w:rsidR="00F02A87" w:rsidRPr="000C60E1" w:rsidRDefault="00F02A87" w:rsidP="000C60E1">
      <w:pPr>
        <w:pStyle w:val="ListParagraph"/>
        <w:numPr>
          <w:ilvl w:val="0"/>
          <w:numId w:val="47"/>
        </w:numPr>
        <w:rPr>
          <w:rFonts w:cs="Arial"/>
          <w:b/>
          <w:lang w:val="en-CA"/>
        </w:rPr>
      </w:pPr>
      <w:r w:rsidRPr="000C60E1">
        <w:rPr>
          <w:rFonts w:cs="Arial"/>
          <w:b/>
          <w:lang w:val="en-CA"/>
        </w:rPr>
        <w:t>Documentation regarding the owners that will be required when a record of site condition is submitted should be attached to the lawyer’s letter at this Risk Assessment stage and will need to be updated as required by section 5 of Schedule A of O. Reg. 153/04:</w:t>
      </w:r>
    </w:p>
    <w:p w14:paraId="5DC3E03E" w14:textId="77777777" w:rsidR="00F02A87" w:rsidRPr="000C60E1" w:rsidRDefault="00F02A87" w:rsidP="00F02A87">
      <w:pPr>
        <w:pStyle w:val="ListParagraph"/>
        <w:rPr>
          <w:rFonts w:cs="Arial"/>
          <w:b/>
          <w:lang w:val="en-CA"/>
        </w:rPr>
      </w:pPr>
    </w:p>
    <w:p w14:paraId="1AED0451" w14:textId="12B4AA06" w:rsidR="00F02A87" w:rsidRDefault="00F02A87" w:rsidP="00F02A87">
      <w:pPr>
        <w:pStyle w:val="ListParagraph"/>
        <w:numPr>
          <w:ilvl w:val="0"/>
          <w:numId w:val="48"/>
        </w:numPr>
        <w:rPr>
          <w:rFonts w:cs="Arial"/>
          <w:b/>
          <w:lang w:val="en-CA"/>
        </w:rPr>
      </w:pPr>
      <w:r w:rsidRPr="000C60E1">
        <w:rPr>
          <w:rFonts w:cs="Arial"/>
          <w:b/>
          <w:lang w:val="en-CA"/>
        </w:rPr>
        <w:t>For a corporation, the documentation is a Certificate of Status or, in the case of a corporation incorporated under a special act, reference to the legislation.</w:t>
      </w:r>
    </w:p>
    <w:p w14:paraId="37EB7236" w14:textId="77777777" w:rsidR="000C60E1" w:rsidRPr="000C60E1" w:rsidRDefault="000C60E1" w:rsidP="000C60E1">
      <w:pPr>
        <w:pStyle w:val="ListParagraph"/>
        <w:ind w:left="1080"/>
        <w:rPr>
          <w:rFonts w:cs="Arial"/>
          <w:b/>
          <w:lang w:val="en-CA"/>
        </w:rPr>
      </w:pPr>
    </w:p>
    <w:p w14:paraId="7F0FEE09" w14:textId="77777777" w:rsidR="000C60E1" w:rsidRDefault="00F02A87" w:rsidP="000C60E1">
      <w:pPr>
        <w:pStyle w:val="ListParagraph"/>
        <w:numPr>
          <w:ilvl w:val="0"/>
          <w:numId w:val="48"/>
        </w:numPr>
        <w:rPr>
          <w:rFonts w:cs="Arial"/>
          <w:b/>
          <w:lang w:val="en-CA"/>
        </w:rPr>
      </w:pPr>
      <w:r w:rsidRPr="000C60E1">
        <w:rPr>
          <w:rFonts w:cs="Arial"/>
          <w:b/>
          <w:lang w:val="en-CA"/>
        </w:rPr>
        <w:t>For a general partnership, the Master Business Licence for the partnership.</w:t>
      </w:r>
    </w:p>
    <w:p w14:paraId="212BCCDA" w14:textId="77777777" w:rsidR="000C60E1" w:rsidRPr="000C60E1" w:rsidRDefault="000C60E1" w:rsidP="000C60E1">
      <w:pPr>
        <w:pStyle w:val="ListParagraph"/>
        <w:rPr>
          <w:rFonts w:cs="Arial"/>
          <w:b/>
          <w:lang w:val="en-CA"/>
        </w:rPr>
      </w:pPr>
    </w:p>
    <w:p w14:paraId="55BF79D7" w14:textId="535500E3" w:rsidR="00F02A87" w:rsidRPr="000C60E1" w:rsidRDefault="00F02A87" w:rsidP="000C60E1">
      <w:pPr>
        <w:pStyle w:val="ListParagraph"/>
        <w:numPr>
          <w:ilvl w:val="0"/>
          <w:numId w:val="48"/>
        </w:numPr>
        <w:rPr>
          <w:rFonts w:cs="Arial"/>
          <w:b/>
          <w:lang w:val="en-CA"/>
        </w:rPr>
      </w:pPr>
      <w:r w:rsidRPr="000C60E1">
        <w:rPr>
          <w:rFonts w:cs="Arial"/>
          <w:b/>
          <w:lang w:val="en-CA"/>
        </w:rPr>
        <w:t>For a limited partnership, the Limited Partnership Report for the partnership.</w:t>
      </w:r>
    </w:p>
    <w:p w14:paraId="2DB21B8D" w14:textId="77777777" w:rsidR="00F02A87" w:rsidRPr="000C60E1" w:rsidRDefault="00F02A87" w:rsidP="00F02A87">
      <w:pPr>
        <w:pStyle w:val="ListParagraph"/>
        <w:rPr>
          <w:rFonts w:cs="Arial"/>
          <w:b/>
          <w:lang w:val="en-CA"/>
        </w:rPr>
      </w:pPr>
    </w:p>
    <w:p w14:paraId="55AF532F" w14:textId="46F4B646" w:rsidR="000C60E1" w:rsidRPr="002A75F2" w:rsidRDefault="00F02A87" w:rsidP="000C60E1">
      <w:pPr>
        <w:pStyle w:val="ListParagraph"/>
        <w:numPr>
          <w:ilvl w:val="0"/>
          <w:numId w:val="47"/>
        </w:numPr>
        <w:rPr>
          <w:rFonts w:cs="Arial"/>
          <w:b/>
          <w:lang w:val="en-CA"/>
        </w:rPr>
      </w:pPr>
      <w:r w:rsidRPr="000C60E1">
        <w:rPr>
          <w:rFonts w:cs="Arial"/>
          <w:b/>
          <w:lang w:val="en-CA"/>
        </w:rPr>
        <w:t xml:space="preserve">If the Risk Assessment involves risk management measures that will require that a certificate of property use be issued, see the attached </w:t>
      </w:r>
      <w:r w:rsidRPr="002A75F2">
        <w:rPr>
          <w:rFonts w:cs="Arial"/>
          <w:b/>
          <w:lang w:val="en-CA"/>
        </w:rPr>
        <w:t xml:space="preserve">outline </w:t>
      </w:r>
      <w:r w:rsidR="00B95FA4" w:rsidRPr="002A75F2">
        <w:rPr>
          <w:rFonts w:cs="Arial"/>
          <w:b/>
          <w:lang w:val="en-CA"/>
        </w:rPr>
        <w:t xml:space="preserve">(in Appendix B) </w:t>
      </w:r>
      <w:r w:rsidRPr="002A75F2">
        <w:rPr>
          <w:rFonts w:cs="Arial"/>
          <w:b/>
          <w:lang w:val="en-CA"/>
        </w:rPr>
        <w:t>of the procedure that will be followed which describes the “certificate in preparation”.</w:t>
      </w:r>
    </w:p>
    <w:p w14:paraId="19638091" w14:textId="0A3F0875" w:rsidR="002841C7" w:rsidRPr="002A75F2" w:rsidRDefault="002841C7" w:rsidP="002841C7">
      <w:pPr>
        <w:pStyle w:val="Heading1"/>
        <w:numPr>
          <w:ilvl w:val="0"/>
          <w:numId w:val="0"/>
        </w:numPr>
      </w:pPr>
      <w:bookmarkStart w:id="435" w:name="_Toc41905752"/>
      <w:bookmarkEnd w:id="433"/>
      <w:r w:rsidRPr="002A75F2">
        <w:lastRenderedPageBreak/>
        <w:t xml:space="preserve">Appendix B – </w:t>
      </w:r>
      <w:r w:rsidR="009A4637" w:rsidRPr="002A75F2">
        <w:t>Procedure to Register a Certificate of Requirement</w:t>
      </w:r>
      <w:bookmarkEnd w:id="435"/>
    </w:p>
    <w:p w14:paraId="2BAB780B" w14:textId="77777777" w:rsidR="00F02A87" w:rsidRPr="000C60E1" w:rsidRDefault="00F02A87" w:rsidP="00F02A87">
      <w:pPr>
        <w:spacing w:before="0" w:after="0"/>
        <w:rPr>
          <w:rFonts w:cs="Arial"/>
          <w:b/>
          <w:sz w:val="28"/>
          <w:szCs w:val="28"/>
          <w:u w:val="single"/>
          <w:lang w:val="en-CA"/>
        </w:rPr>
      </w:pPr>
      <w:r w:rsidRPr="000C60E1">
        <w:rPr>
          <w:rFonts w:cs="Arial"/>
          <w:b/>
          <w:sz w:val="28"/>
          <w:szCs w:val="28"/>
          <w:u w:val="single"/>
          <w:lang w:val="en-CA"/>
        </w:rPr>
        <w:t>PROCEDURE TO REGISTER A CERTIFICATE OF REQUIREMENT</w:t>
      </w:r>
    </w:p>
    <w:p w14:paraId="6C291762" w14:textId="77777777" w:rsidR="00F02A87" w:rsidRPr="000C60E1" w:rsidRDefault="00F02A87" w:rsidP="00F02A87">
      <w:pPr>
        <w:spacing w:before="0" w:after="0"/>
        <w:rPr>
          <w:rFonts w:cs="Arial"/>
          <w:sz w:val="28"/>
          <w:szCs w:val="28"/>
          <w:lang w:val="en-CA"/>
        </w:rPr>
      </w:pPr>
    </w:p>
    <w:p w14:paraId="7F72FF30" w14:textId="77777777" w:rsidR="00F02A87" w:rsidRPr="000C60E1" w:rsidRDefault="00F02A87" w:rsidP="00F02A87">
      <w:pPr>
        <w:spacing w:before="0" w:after="0"/>
        <w:rPr>
          <w:rFonts w:cs="Arial"/>
          <w:i/>
          <w:lang w:val="en-CA"/>
        </w:rPr>
      </w:pPr>
      <w:r w:rsidRPr="000C60E1">
        <w:rPr>
          <w:rFonts w:cs="Arial"/>
          <w:i/>
          <w:lang w:val="en-CA"/>
        </w:rPr>
        <w:t>The following describes the documentation involved in registering a Certificate of Requirement regarding a CPU and how it should be completed:</w:t>
      </w:r>
    </w:p>
    <w:p w14:paraId="79B4C68D" w14:textId="77777777" w:rsidR="00F02A87" w:rsidRPr="000C60E1" w:rsidRDefault="00F02A87" w:rsidP="00F02A87">
      <w:pPr>
        <w:spacing w:before="0" w:after="0"/>
        <w:rPr>
          <w:rFonts w:cs="Arial"/>
        </w:rPr>
      </w:pPr>
    </w:p>
    <w:p w14:paraId="273201A4" w14:textId="77777777" w:rsidR="00F02A87" w:rsidRPr="000C60E1" w:rsidRDefault="00F02A87" w:rsidP="00F02A87">
      <w:pPr>
        <w:spacing w:before="0" w:after="0"/>
        <w:rPr>
          <w:rFonts w:cs="Arial"/>
        </w:rPr>
      </w:pPr>
      <w:r w:rsidRPr="000C60E1">
        <w:rPr>
          <w:rFonts w:cs="Arial"/>
          <w:lang w:val="en-CA"/>
        </w:rPr>
        <w:t> </w:t>
      </w:r>
    </w:p>
    <w:p w14:paraId="4475B224" w14:textId="77777777" w:rsidR="00F02A87" w:rsidRPr="000C60E1" w:rsidRDefault="00F02A87" w:rsidP="00F02A87">
      <w:pPr>
        <w:spacing w:before="0" w:after="0"/>
        <w:rPr>
          <w:rFonts w:cs="Arial"/>
        </w:rPr>
      </w:pPr>
      <w:r w:rsidRPr="000C60E1">
        <w:rPr>
          <w:rFonts w:cs="Arial"/>
          <w:lang w:val="en-CA"/>
        </w:rPr>
        <w:t>(1) Attached is a copy of the form of the first page of a three-page Acknowledgement   and Direction document that will be signed by the District Manager when issuing the CPU.</w:t>
      </w:r>
    </w:p>
    <w:p w14:paraId="723FE671" w14:textId="77777777" w:rsidR="00F02A87" w:rsidRPr="000C60E1" w:rsidRDefault="00F02A87" w:rsidP="00F02A87">
      <w:pPr>
        <w:spacing w:before="0" w:after="0"/>
        <w:rPr>
          <w:rFonts w:cs="Arial"/>
        </w:rPr>
      </w:pPr>
      <w:r w:rsidRPr="000C60E1">
        <w:rPr>
          <w:rFonts w:cs="Arial"/>
          <w:lang w:val="en-CA"/>
        </w:rPr>
        <w:t> </w:t>
      </w:r>
    </w:p>
    <w:p w14:paraId="18787550" w14:textId="77777777" w:rsidR="00F02A87" w:rsidRPr="000C60E1" w:rsidRDefault="00F02A87" w:rsidP="00F02A87">
      <w:pPr>
        <w:spacing w:before="0" w:after="0"/>
        <w:rPr>
          <w:rFonts w:cs="Arial"/>
        </w:rPr>
      </w:pPr>
      <w:r w:rsidRPr="000C60E1">
        <w:rPr>
          <w:rFonts w:cs="Arial"/>
          <w:lang w:val="en-CA"/>
        </w:rPr>
        <w:t>(2)  The second page will be a copy of a "certificate in preparation" document to be prepared by the lawyer which must include an up-to-date complete registrable description of the Property and the following:</w:t>
      </w:r>
    </w:p>
    <w:p w14:paraId="60394611" w14:textId="77777777" w:rsidR="00F02A87" w:rsidRPr="000C60E1" w:rsidRDefault="00F02A87" w:rsidP="00F02A87">
      <w:pPr>
        <w:spacing w:before="0" w:after="0"/>
        <w:rPr>
          <w:rFonts w:cs="Arial"/>
        </w:rPr>
      </w:pPr>
      <w:r w:rsidRPr="000C60E1">
        <w:rPr>
          <w:rFonts w:cs="Arial"/>
          <w:lang w:val="en-CA"/>
        </w:rPr>
        <w:t> </w:t>
      </w:r>
    </w:p>
    <w:p w14:paraId="1041E95F" w14:textId="77777777" w:rsidR="00F02A87" w:rsidRPr="000C60E1" w:rsidRDefault="00F02A87" w:rsidP="00F02A87">
      <w:pPr>
        <w:spacing w:before="0" w:after="0"/>
        <w:rPr>
          <w:rFonts w:cs="Arial"/>
        </w:rPr>
      </w:pPr>
      <w:r w:rsidRPr="000C60E1">
        <w:rPr>
          <w:rFonts w:cs="Arial"/>
          <w:lang w:val="en-CA"/>
        </w:rPr>
        <w:t>-     The "Party From(s)" information in the "certificate in preparation" should be completed as follows:</w:t>
      </w:r>
    </w:p>
    <w:p w14:paraId="4BA2AA44" w14:textId="77777777" w:rsidR="00F02A87" w:rsidRPr="000C60E1" w:rsidRDefault="00F02A87" w:rsidP="00F02A87">
      <w:pPr>
        <w:spacing w:before="0" w:after="0"/>
        <w:rPr>
          <w:rFonts w:cs="Arial"/>
        </w:rPr>
      </w:pPr>
      <w:r w:rsidRPr="000C60E1">
        <w:rPr>
          <w:rFonts w:cs="Arial"/>
          <w:lang w:val="en-CA"/>
        </w:rPr>
        <w:t> </w:t>
      </w:r>
    </w:p>
    <w:p w14:paraId="3A6ADADB" w14:textId="77777777" w:rsidR="00F02A87" w:rsidRPr="000C60E1" w:rsidRDefault="00F02A87" w:rsidP="00F02A87">
      <w:pPr>
        <w:spacing w:before="0" w:after="0"/>
        <w:rPr>
          <w:rFonts w:cs="Arial"/>
        </w:rPr>
      </w:pPr>
      <w:r w:rsidRPr="000C60E1">
        <w:rPr>
          <w:rFonts w:cs="Arial"/>
          <w:lang w:val="en-CA"/>
        </w:rPr>
        <w:t>"Name:                         HER MAJESTY THE QUEEN IN RIGHT OF ONTARIO AS REPRESENTED BY THE MINISTER OF THE ENVIRONMENT, CONSERVATION AND PARKS</w:t>
      </w:r>
    </w:p>
    <w:p w14:paraId="305AC978" w14:textId="77777777" w:rsidR="00F02A87" w:rsidRPr="000C60E1" w:rsidRDefault="00F02A87" w:rsidP="00F02A87">
      <w:pPr>
        <w:spacing w:before="0" w:after="0"/>
        <w:rPr>
          <w:rFonts w:cs="Arial"/>
        </w:rPr>
      </w:pPr>
      <w:r w:rsidRPr="000C60E1">
        <w:rPr>
          <w:rFonts w:cs="Arial"/>
          <w:lang w:val="en-CA"/>
        </w:rPr>
        <w:t>                                              Acting as a company</w:t>
      </w:r>
    </w:p>
    <w:p w14:paraId="25EFC621" w14:textId="77777777" w:rsidR="00F02A87" w:rsidRPr="000C60E1" w:rsidRDefault="00F02A87" w:rsidP="00F02A87">
      <w:pPr>
        <w:spacing w:before="0" w:after="0"/>
        <w:rPr>
          <w:rFonts w:cs="Arial"/>
        </w:rPr>
      </w:pPr>
      <w:r w:rsidRPr="000C60E1">
        <w:rPr>
          <w:rFonts w:cs="Arial"/>
          <w:lang w:val="en-CA"/>
        </w:rPr>
        <w:t> </w:t>
      </w:r>
    </w:p>
    <w:p w14:paraId="7A90A90A" w14:textId="77777777" w:rsidR="00F02A87" w:rsidRPr="000C60E1" w:rsidRDefault="00F02A87" w:rsidP="00F02A87">
      <w:pPr>
        <w:spacing w:before="0" w:after="0"/>
        <w:rPr>
          <w:rFonts w:cs="Arial"/>
        </w:rPr>
      </w:pPr>
      <w:r w:rsidRPr="000C60E1">
        <w:rPr>
          <w:rFonts w:cs="Arial"/>
          <w:lang w:val="en-CA"/>
        </w:rPr>
        <w:t xml:space="preserve">Address for Service:        </w:t>
      </w:r>
      <w:r w:rsidRPr="000C60E1">
        <w:rPr>
          <w:rFonts w:cs="Arial"/>
          <w:highlight w:val="yellow"/>
          <w:lang w:val="en-CA"/>
        </w:rPr>
        <w:t>XX</w:t>
      </w:r>
      <w:r w:rsidRPr="000C60E1">
        <w:rPr>
          <w:rFonts w:cs="Arial"/>
          <w:lang w:val="en-CA"/>
        </w:rPr>
        <w:t xml:space="preserve">, District Manager </w:t>
      </w:r>
    </w:p>
    <w:p w14:paraId="1AB1E8A9" w14:textId="77777777" w:rsidR="00F02A87" w:rsidRPr="000C60E1" w:rsidRDefault="00F02A87" w:rsidP="00F02A87">
      <w:pPr>
        <w:spacing w:before="0" w:after="0"/>
        <w:rPr>
          <w:rFonts w:cs="Arial"/>
        </w:rPr>
      </w:pPr>
      <w:r w:rsidRPr="000C60E1">
        <w:rPr>
          <w:rFonts w:cs="Arial"/>
          <w:lang w:val="en-CA"/>
        </w:rPr>
        <w:t xml:space="preserve">                                       </w:t>
      </w:r>
      <w:r w:rsidRPr="000C60E1">
        <w:rPr>
          <w:rFonts w:cs="Arial"/>
          <w:highlight w:val="yellow"/>
          <w:lang w:val="en-CA"/>
        </w:rPr>
        <w:t>XXX,</w:t>
      </w:r>
      <w:r w:rsidRPr="000C60E1">
        <w:rPr>
          <w:rFonts w:cs="Arial"/>
          <w:lang w:val="en-CA"/>
        </w:rPr>
        <w:t xml:space="preserve"> District Office</w:t>
      </w:r>
    </w:p>
    <w:p w14:paraId="363750F8" w14:textId="77777777" w:rsidR="00F02A87" w:rsidRPr="000C60E1" w:rsidRDefault="00F02A87" w:rsidP="00F02A87">
      <w:pPr>
        <w:spacing w:before="0" w:after="0"/>
        <w:rPr>
          <w:rFonts w:cs="Arial"/>
        </w:rPr>
      </w:pPr>
      <w:r w:rsidRPr="000C60E1">
        <w:rPr>
          <w:rFonts w:cs="Arial"/>
          <w:lang w:val="en-CA"/>
        </w:rPr>
        <w:t>                                       Ministry of the Environment, Conservation and Parks</w:t>
      </w:r>
    </w:p>
    <w:p w14:paraId="032A0F11" w14:textId="77777777" w:rsidR="00F02A87" w:rsidRPr="000C60E1" w:rsidRDefault="00F02A87" w:rsidP="00F02A87">
      <w:pPr>
        <w:spacing w:before="0" w:after="0"/>
        <w:rPr>
          <w:rFonts w:cs="Arial"/>
          <w:highlight w:val="yellow"/>
          <w:lang w:val="en-CA"/>
        </w:rPr>
      </w:pPr>
      <w:r w:rsidRPr="000C60E1">
        <w:rPr>
          <w:rFonts w:cs="Arial"/>
          <w:lang w:val="en-CA"/>
        </w:rPr>
        <w:t xml:space="preserve">                                       </w:t>
      </w:r>
      <w:r w:rsidRPr="000C60E1">
        <w:rPr>
          <w:rFonts w:cs="Arial"/>
          <w:highlight w:val="yellow"/>
          <w:lang w:val="en-CA"/>
        </w:rPr>
        <w:t>XX ADDRESS</w:t>
      </w:r>
    </w:p>
    <w:p w14:paraId="7F90B1E6" w14:textId="77777777" w:rsidR="00F02A87" w:rsidRPr="000C60E1" w:rsidRDefault="00F02A87" w:rsidP="00F02A87">
      <w:pPr>
        <w:spacing w:before="0" w:after="0"/>
        <w:rPr>
          <w:rFonts w:cs="Arial"/>
          <w:highlight w:val="yellow"/>
          <w:lang w:val="en-CA"/>
        </w:rPr>
      </w:pPr>
      <w:r w:rsidRPr="000C60E1">
        <w:rPr>
          <w:rFonts w:cs="Arial"/>
          <w:highlight w:val="yellow"/>
          <w:lang w:val="en-CA"/>
        </w:rPr>
        <w:t> </w:t>
      </w:r>
      <w:r w:rsidRPr="000C60E1">
        <w:rPr>
          <w:rFonts w:cs="Arial"/>
          <w:highlight w:val="yellow"/>
          <w:lang w:val="en-CA"/>
        </w:rPr>
        <w:tab/>
        <w:t xml:space="preserve"> [THE XX INFORMATION WILL BE PROVIDED WHEN THE CPU IS ISSUED]</w:t>
      </w:r>
    </w:p>
    <w:p w14:paraId="6D05C3A2" w14:textId="77777777" w:rsidR="00F02A87" w:rsidRPr="000C60E1" w:rsidRDefault="00F02A87" w:rsidP="00F02A87">
      <w:pPr>
        <w:spacing w:before="0" w:after="0"/>
        <w:rPr>
          <w:rFonts w:cs="Arial"/>
        </w:rPr>
      </w:pPr>
      <w:r w:rsidRPr="000C60E1">
        <w:rPr>
          <w:rFonts w:cs="Arial"/>
          <w:lang w:val="en-CA"/>
        </w:rPr>
        <w:tab/>
      </w:r>
      <w:r w:rsidRPr="000C60E1">
        <w:rPr>
          <w:rFonts w:cs="Arial"/>
          <w:lang w:val="en-CA"/>
        </w:rPr>
        <w:tab/>
      </w:r>
      <w:r w:rsidRPr="000C60E1">
        <w:rPr>
          <w:rFonts w:cs="Arial"/>
          <w:lang w:val="en-CA"/>
        </w:rPr>
        <w:tab/>
      </w:r>
    </w:p>
    <w:p w14:paraId="112F112B" w14:textId="77777777" w:rsidR="00F02A87" w:rsidRPr="000C60E1" w:rsidRDefault="00F02A87" w:rsidP="00F02A87">
      <w:pPr>
        <w:spacing w:before="0" w:after="0"/>
        <w:rPr>
          <w:rFonts w:cs="Arial"/>
        </w:rPr>
      </w:pPr>
      <w:r w:rsidRPr="000C60E1">
        <w:rPr>
          <w:rFonts w:cs="Arial"/>
          <w:lang w:val="en-CA"/>
        </w:rPr>
        <w:t>This document is not authorized under Power of Attorney by this party.</w:t>
      </w:r>
    </w:p>
    <w:p w14:paraId="55B26713" w14:textId="77777777" w:rsidR="00F02A87" w:rsidRPr="000C60E1" w:rsidRDefault="00F02A87" w:rsidP="00F02A87">
      <w:pPr>
        <w:spacing w:before="0" w:after="0"/>
        <w:rPr>
          <w:rFonts w:cs="Arial"/>
        </w:rPr>
      </w:pPr>
      <w:r w:rsidRPr="000C60E1">
        <w:rPr>
          <w:rFonts w:cs="Arial"/>
          <w:lang w:val="en-CA"/>
        </w:rPr>
        <w:t> </w:t>
      </w:r>
    </w:p>
    <w:p w14:paraId="3829368B" w14:textId="77777777" w:rsidR="00F02A87" w:rsidRPr="000C60E1" w:rsidRDefault="00F02A87" w:rsidP="00F02A87">
      <w:pPr>
        <w:spacing w:before="0" w:after="0"/>
        <w:rPr>
          <w:rFonts w:cs="Arial"/>
          <w:lang w:val="en-CA"/>
        </w:rPr>
      </w:pPr>
      <w:r w:rsidRPr="000C60E1">
        <w:rPr>
          <w:rFonts w:cs="Arial"/>
          <w:lang w:val="en-CA"/>
        </w:rPr>
        <w:t>This document is being authorized by a representative of the Crown."</w:t>
      </w:r>
    </w:p>
    <w:p w14:paraId="201E48E4" w14:textId="77777777" w:rsidR="00F02A87" w:rsidRPr="000C60E1" w:rsidRDefault="00F02A87" w:rsidP="00F02A87">
      <w:pPr>
        <w:spacing w:before="0" w:after="0"/>
        <w:rPr>
          <w:rFonts w:cs="Arial"/>
        </w:rPr>
      </w:pPr>
    </w:p>
    <w:p w14:paraId="44DF16DD" w14:textId="77777777" w:rsidR="00F02A87" w:rsidRPr="000C60E1" w:rsidRDefault="00F02A87" w:rsidP="00F02A87">
      <w:pPr>
        <w:numPr>
          <w:ilvl w:val="0"/>
          <w:numId w:val="49"/>
        </w:numPr>
        <w:spacing w:before="0" w:after="0"/>
        <w:contextualSpacing/>
        <w:rPr>
          <w:rFonts w:cs="Arial"/>
        </w:rPr>
      </w:pPr>
      <w:r w:rsidRPr="000C60E1">
        <w:rPr>
          <w:rFonts w:cs="Arial"/>
        </w:rPr>
        <w:t xml:space="preserve"> No “Party To” information should be included in the “certificate in preparation”.</w:t>
      </w:r>
    </w:p>
    <w:p w14:paraId="3D7CF36D" w14:textId="77777777" w:rsidR="00F02A87" w:rsidRPr="000C60E1" w:rsidRDefault="00F02A87" w:rsidP="00F02A87">
      <w:pPr>
        <w:spacing w:before="0" w:after="0"/>
        <w:rPr>
          <w:rFonts w:cs="Arial"/>
        </w:rPr>
      </w:pPr>
      <w:r w:rsidRPr="000C60E1">
        <w:rPr>
          <w:rFonts w:cs="Arial"/>
          <w:lang w:val="en-CA"/>
        </w:rPr>
        <w:t> </w:t>
      </w:r>
    </w:p>
    <w:p w14:paraId="7D937FF3" w14:textId="77777777" w:rsidR="00F02A87" w:rsidRPr="000C60E1" w:rsidRDefault="00F02A87" w:rsidP="00F02A87">
      <w:pPr>
        <w:spacing w:before="0" w:after="0"/>
        <w:rPr>
          <w:rFonts w:cs="Arial"/>
          <w:lang w:val="en-CA"/>
        </w:rPr>
      </w:pPr>
      <w:r w:rsidRPr="000C60E1">
        <w:rPr>
          <w:rFonts w:cs="Arial"/>
          <w:lang w:val="en-CA"/>
        </w:rPr>
        <w:t>(3)     Attached is a copy of the form of the third page of the Acknowledgement and Direction document, the Schedule - Certificate of Requirement, which will be prepared by the Ministry and described in the CPU.</w:t>
      </w:r>
    </w:p>
    <w:p w14:paraId="1EA087F0" w14:textId="77777777" w:rsidR="00F02A87" w:rsidRPr="000C60E1" w:rsidRDefault="00F02A87" w:rsidP="00F02A87">
      <w:pPr>
        <w:spacing w:before="0" w:after="0"/>
        <w:rPr>
          <w:rFonts w:cs="Arial"/>
          <w:lang w:val="en-CA"/>
        </w:rPr>
      </w:pPr>
    </w:p>
    <w:p w14:paraId="0F8BC301" w14:textId="77777777" w:rsidR="00F02A87" w:rsidRPr="000C60E1" w:rsidRDefault="00F02A87" w:rsidP="00F02A87">
      <w:pPr>
        <w:spacing w:before="0" w:after="0"/>
        <w:rPr>
          <w:rFonts w:cs="Arial"/>
        </w:rPr>
      </w:pPr>
    </w:p>
    <w:p w14:paraId="7FC4B568" w14:textId="77777777" w:rsidR="00F02A87" w:rsidRPr="000C60E1" w:rsidRDefault="00F02A87" w:rsidP="00F02A87">
      <w:pPr>
        <w:spacing w:before="0" w:after="0"/>
        <w:rPr>
          <w:rFonts w:cs="Arial"/>
          <w:lang w:val="en-CA"/>
        </w:rPr>
      </w:pPr>
    </w:p>
    <w:p w14:paraId="387051E4" w14:textId="77777777" w:rsidR="00F02A87" w:rsidRPr="000C60E1" w:rsidRDefault="00F02A87" w:rsidP="00F02A87">
      <w:pPr>
        <w:spacing w:before="0" w:after="0"/>
        <w:rPr>
          <w:rFonts w:cs="Arial"/>
          <w:lang w:val="en-CA"/>
        </w:rPr>
      </w:pPr>
    </w:p>
    <w:p w14:paraId="7599AABC" w14:textId="77777777" w:rsidR="002640A6" w:rsidRDefault="002640A6">
      <w:pPr>
        <w:spacing w:before="0" w:after="0"/>
        <w:rPr>
          <w:rFonts w:cs="Arial"/>
          <w:lang w:val="en-CA"/>
        </w:rPr>
      </w:pPr>
      <w:r>
        <w:rPr>
          <w:rFonts w:cs="Arial"/>
          <w:lang w:val="en-CA"/>
        </w:rPr>
        <w:br w:type="page"/>
      </w:r>
    </w:p>
    <w:p w14:paraId="03FC9E09" w14:textId="4703BDEB" w:rsidR="00F02A87" w:rsidRPr="000C60E1" w:rsidRDefault="00F02A87" w:rsidP="002640A6">
      <w:pPr>
        <w:spacing w:before="0" w:after="0"/>
        <w:jc w:val="center"/>
        <w:rPr>
          <w:rFonts w:cs="Arial"/>
          <w:b/>
          <w:sz w:val="28"/>
          <w:szCs w:val="28"/>
          <w:u w:val="single"/>
        </w:rPr>
      </w:pPr>
      <w:r w:rsidRPr="000C60E1">
        <w:rPr>
          <w:rFonts w:cs="Arial"/>
          <w:b/>
          <w:sz w:val="28"/>
          <w:szCs w:val="28"/>
          <w:u w:val="single"/>
        </w:rPr>
        <w:lastRenderedPageBreak/>
        <w:t>ACKNOWLEDGEMENT AND DIRECTION</w:t>
      </w:r>
    </w:p>
    <w:p w14:paraId="0D477F43" w14:textId="77777777" w:rsidR="00F02A87" w:rsidRPr="000C60E1" w:rsidRDefault="00F02A87" w:rsidP="00F02A87">
      <w:pPr>
        <w:spacing w:before="0" w:after="0"/>
        <w:jc w:val="center"/>
        <w:rPr>
          <w:rFonts w:cs="Arial"/>
          <w:b/>
        </w:rPr>
      </w:pPr>
    </w:p>
    <w:p w14:paraId="0AE9E577" w14:textId="2B4E8EB8" w:rsidR="00F02A87" w:rsidRPr="00257B87" w:rsidRDefault="00F02A87" w:rsidP="00F02A87">
      <w:pPr>
        <w:spacing w:before="0" w:after="0"/>
        <w:rPr>
          <w:rFonts w:cs="Arial"/>
        </w:rPr>
      </w:pPr>
      <w:r w:rsidRPr="00257B87">
        <w:rPr>
          <w:rFonts w:cs="Arial"/>
        </w:rPr>
        <w:t>TO:</w:t>
      </w:r>
      <w:r w:rsidRPr="00257B87">
        <w:rPr>
          <w:rFonts w:cs="Arial"/>
        </w:rPr>
        <w:tab/>
      </w:r>
      <w:r w:rsidRPr="00257B87">
        <w:rPr>
          <w:rFonts w:cs="Arial"/>
          <w:highlight w:val="yellow"/>
        </w:rPr>
        <w:t>XXX</w:t>
      </w:r>
      <w:r w:rsidRPr="00257B87">
        <w:rPr>
          <w:rFonts w:cs="Arial"/>
        </w:rPr>
        <w:t>_____________________________________________________________</w:t>
      </w:r>
    </w:p>
    <w:p w14:paraId="4A14BB94" w14:textId="77777777" w:rsidR="00F02A87" w:rsidRPr="00257B87" w:rsidRDefault="00F02A87" w:rsidP="00F02A87">
      <w:pPr>
        <w:spacing w:before="0" w:after="0"/>
        <w:ind w:left="1440"/>
        <w:rPr>
          <w:rFonts w:cs="Arial"/>
        </w:rPr>
      </w:pPr>
    </w:p>
    <w:p w14:paraId="186D0332" w14:textId="2BBE9650" w:rsidR="00F02A87" w:rsidRPr="00257B87" w:rsidRDefault="00F02A87" w:rsidP="00F02A87">
      <w:pPr>
        <w:spacing w:before="0" w:after="0"/>
        <w:ind w:left="720" w:hanging="720"/>
        <w:rPr>
          <w:rFonts w:cs="Arial"/>
        </w:rPr>
      </w:pPr>
      <w:r w:rsidRPr="00257B87">
        <w:rPr>
          <w:rFonts w:cs="Arial"/>
        </w:rPr>
        <w:t>RE:</w:t>
      </w:r>
      <w:r w:rsidRPr="00257B87">
        <w:rPr>
          <w:rFonts w:cs="Arial"/>
        </w:rPr>
        <w:tab/>
        <w:t xml:space="preserve">APPLICATION TO REGISTER – CERTIFICATE OF REQUIREMENT ISSUED TO </w:t>
      </w:r>
      <w:r w:rsidRPr="00257B87">
        <w:rPr>
          <w:rFonts w:cs="Arial"/>
          <w:highlight w:val="yellow"/>
        </w:rPr>
        <w:t>XXX</w:t>
      </w:r>
      <w:r w:rsidRPr="00257B87">
        <w:rPr>
          <w:rFonts w:cs="Arial"/>
        </w:rPr>
        <w:t xml:space="preserve"> regarding Certificate of Property Use number  </w:t>
      </w:r>
      <w:r w:rsidRPr="00257B87">
        <w:rPr>
          <w:rFonts w:cs="Arial"/>
          <w:highlight w:val="yellow"/>
        </w:rPr>
        <w:t>XXX</w:t>
      </w:r>
      <w:r w:rsidRPr="00257B87">
        <w:rPr>
          <w:rFonts w:cs="Arial"/>
        </w:rPr>
        <w:t xml:space="preserve"> concerning   </w:t>
      </w:r>
      <w:r w:rsidRPr="00257B87">
        <w:rPr>
          <w:rFonts w:cs="Arial"/>
          <w:highlight w:val="yellow"/>
        </w:rPr>
        <w:t>XX</w:t>
      </w:r>
      <w:r w:rsidRPr="00257B87">
        <w:rPr>
          <w:rFonts w:cs="Arial"/>
        </w:rPr>
        <w:t xml:space="preserve">, ON and legally described as </w:t>
      </w:r>
      <w:r w:rsidRPr="00257B87">
        <w:rPr>
          <w:rFonts w:cs="Arial"/>
          <w:highlight w:val="yellow"/>
        </w:rPr>
        <w:t>all [or part of</w:t>
      </w:r>
      <w:r w:rsidRPr="00257B87">
        <w:rPr>
          <w:rFonts w:cs="Arial"/>
        </w:rPr>
        <w:t xml:space="preserve">] of PIN </w:t>
      </w:r>
    </w:p>
    <w:p w14:paraId="29205441" w14:textId="77777777" w:rsidR="00F02A87" w:rsidRPr="00257B87" w:rsidRDefault="00F02A87" w:rsidP="00F02A87">
      <w:pPr>
        <w:spacing w:before="0" w:after="0"/>
        <w:ind w:left="2160" w:hanging="720"/>
        <w:rPr>
          <w:rFonts w:cs="Arial"/>
        </w:rPr>
      </w:pPr>
    </w:p>
    <w:p w14:paraId="584D1934" w14:textId="77777777" w:rsidR="00F02A87" w:rsidRPr="00257B87" w:rsidRDefault="00F02A87" w:rsidP="00F02A87">
      <w:pPr>
        <w:spacing w:before="0" w:after="0"/>
        <w:ind w:firstLine="720"/>
        <w:rPr>
          <w:rFonts w:cs="Arial"/>
          <w:b/>
        </w:rPr>
      </w:pPr>
      <w:r w:rsidRPr="00257B87">
        <w:rPr>
          <w:rFonts w:cs="Arial"/>
          <w:b/>
        </w:rPr>
        <w:t>This will confirm that:</w:t>
      </w:r>
    </w:p>
    <w:p w14:paraId="20CCC6B2" w14:textId="77777777" w:rsidR="00F02A87" w:rsidRPr="00257B87" w:rsidRDefault="00F02A87" w:rsidP="00F02A87">
      <w:pPr>
        <w:spacing w:before="0" w:after="0"/>
        <w:ind w:left="2160" w:hanging="720"/>
        <w:rPr>
          <w:rFonts w:cs="Arial"/>
        </w:rPr>
      </w:pPr>
    </w:p>
    <w:p w14:paraId="6AEF563B" w14:textId="77777777" w:rsidR="00F02A87" w:rsidRPr="00257B87" w:rsidRDefault="00F02A87" w:rsidP="00F02A87">
      <w:pPr>
        <w:numPr>
          <w:ilvl w:val="0"/>
          <w:numId w:val="50"/>
        </w:numPr>
        <w:spacing w:before="0" w:after="0"/>
        <w:ind w:left="1080"/>
        <w:contextualSpacing/>
        <w:rPr>
          <w:rFonts w:cs="Arial"/>
        </w:rPr>
      </w:pPr>
      <w:r w:rsidRPr="00257B87">
        <w:rPr>
          <w:rFonts w:cs="Arial"/>
        </w:rPr>
        <w:t>The undersigned has reviewed the information set out in this Acknowledgement and Direction and in the documents described below (the “Documents”), and that this information is accurate.</w:t>
      </w:r>
    </w:p>
    <w:p w14:paraId="7ACBFEC8" w14:textId="77777777" w:rsidR="00F02A87" w:rsidRPr="00257B87" w:rsidRDefault="00F02A87" w:rsidP="00F02A87">
      <w:pPr>
        <w:spacing w:before="0" w:after="0"/>
        <w:ind w:left="1080"/>
        <w:contextualSpacing/>
        <w:rPr>
          <w:rFonts w:cs="Arial"/>
        </w:rPr>
      </w:pPr>
    </w:p>
    <w:p w14:paraId="7EFA277A" w14:textId="77777777" w:rsidR="00F02A87" w:rsidRPr="00257B87" w:rsidRDefault="00F02A87" w:rsidP="00F02A87">
      <w:pPr>
        <w:numPr>
          <w:ilvl w:val="0"/>
          <w:numId w:val="50"/>
        </w:numPr>
        <w:spacing w:before="0" w:after="0"/>
        <w:ind w:left="1080"/>
        <w:contextualSpacing/>
        <w:rPr>
          <w:rFonts w:cs="Arial"/>
        </w:rPr>
      </w:pPr>
      <w:r w:rsidRPr="00257B87">
        <w:rPr>
          <w:rFonts w:cs="Arial"/>
        </w:rPr>
        <w:t>You, your agent or employee, are authorized and directed to sign, deliver, and/or register electronically, the Documents in the form attached.</w:t>
      </w:r>
    </w:p>
    <w:p w14:paraId="5DC97804" w14:textId="77777777" w:rsidR="00F02A87" w:rsidRPr="00257B87" w:rsidRDefault="00F02A87" w:rsidP="00F02A87">
      <w:pPr>
        <w:spacing w:before="0" w:after="0"/>
        <w:rPr>
          <w:rFonts w:cs="Arial"/>
        </w:rPr>
      </w:pPr>
    </w:p>
    <w:p w14:paraId="150E25AB" w14:textId="77777777" w:rsidR="00F02A87" w:rsidRPr="00257B87" w:rsidRDefault="00F02A87" w:rsidP="00F02A87">
      <w:pPr>
        <w:numPr>
          <w:ilvl w:val="0"/>
          <w:numId w:val="50"/>
        </w:numPr>
        <w:spacing w:before="0" w:after="0"/>
        <w:ind w:left="1080"/>
        <w:contextualSpacing/>
        <w:rPr>
          <w:rFonts w:cs="Arial"/>
        </w:rPr>
      </w:pPr>
      <w:r w:rsidRPr="00257B87">
        <w:rPr>
          <w:rFonts w:cs="Arial"/>
        </w:rPr>
        <w:t>The effect of the Documents has been fully explained to the undersigned by legal counsel at the Ministry of the Environment, Conservation and Parks.</w:t>
      </w:r>
    </w:p>
    <w:p w14:paraId="5AC7E065" w14:textId="77777777" w:rsidR="00F02A87" w:rsidRPr="00257B87" w:rsidRDefault="00F02A87" w:rsidP="00F02A87">
      <w:pPr>
        <w:spacing w:before="0" w:after="0"/>
        <w:rPr>
          <w:rFonts w:cs="Arial"/>
        </w:rPr>
      </w:pPr>
    </w:p>
    <w:p w14:paraId="40F86346" w14:textId="77777777" w:rsidR="00F02A87" w:rsidRPr="00257B87" w:rsidRDefault="00F02A87" w:rsidP="00F02A87">
      <w:pPr>
        <w:numPr>
          <w:ilvl w:val="0"/>
          <w:numId w:val="50"/>
        </w:numPr>
        <w:spacing w:before="0" w:after="0"/>
        <w:ind w:left="1080"/>
        <w:contextualSpacing/>
        <w:rPr>
          <w:rFonts w:cs="Arial"/>
        </w:rPr>
      </w:pPr>
      <w:r w:rsidRPr="00257B87">
        <w:rPr>
          <w:rFonts w:cs="Arial"/>
        </w:rPr>
        <w:t>The undersigned is in fact the party named in the Documents and has not misrepresented the identity of the undersigned to you.</w:t>
      </w:r>
    </w:p>
    <w:p w14:paraId="14055371" w14:textId="77777777" w:rsidR="00F02A87" w:rsidRPr="00257B87" w:rsidRDefault="00F02A87" w:rsidP="00F02A87">
      <w:pPr>
        <w:spacing w:before="0" w:after="0"/>
        <w:ind w:left="-360"/>
        <w:contextualSpacing/>
        <w:rPr>
          <w:rFonts w:cs="Arial"/>
        </w:rPr>
      </w:pPr>
    </w:p>
    <w:p w14:paraId="2B5ED5D1" w14:textId="77777777" w:rsidR="00F02A87" w:rsidRPr="00257B87" w:rsidRDefault="00F02A87" w:rsidP="00F02A87">
      <w:pPr>
        <w:numPr>
          <w:ilvl w:val="0"/>
          <w:numId w:val="50"/>
        </w:numPr>
        <w:spacing w:before="0" w:after="0"/>
        <w:ind w:left="1080"/>
        <w:contextualSpacing/>
        <w:rPr>
          <w:rFonts w:cs="Arial"/>
        </w:rPr>
      </w:pPr>
      <w:r w:rsidRPr="00257B87">
        <w:rPr>
          <w:rFonts w:cs="Arial"/>
        </w:rPr>
        <w:t>You are completing and registering the Documents and are not acting as legal counsel for, or providing legal advice to, the undersigned.</w:t>
      </w:r>
    </w:p>
    <w:p w14:paraId="703D7C81" w14:textId="77777777" w:rsidR="00F02A87" w:rsidRPr="00257B87" w:rsidRDefault="00F02A87" w:rsidP="00F02A87">
      <w:pPr>
        <w:spacing w:before="0" w:after="0"/>
        <w:ind w:left="-360"/>
        <w:contextualSpacing/>
        <w:rPr>
          <w:rFonts w:cs="Arial"/>
        </w:rPr>
      </w:pPr>
    </w:p>
    <w:p w14:paraId="01DE48F1" w14:textId="77777777" w:rsidR="00F02A87" w:rsidRPr="00257B87" w:rsidRDefault="00F02A87" w:rsidP="00F02A87">
      <w:pPr>
        <w:numPr>
          <w:ilvl w:val="0"/>
          <w:numId w:val="50"/>
        </w:numPr>
        <w:spacing w:before="0" w:after="0"/>
        <w:ind w:left="1080"/>
        <w:contextualSpacing/>
        <w:rPr>
          <w:rFonts w:cs="Arial"/>
        </w:rPr>
      </w:pPr>
      <w:r w:rsidRPr="00257B87">
        <w:rPr>
          <w:rFonts w:cs="Arial"/>
        </w:rPr>
        <w:t>In the event of any investigation by the Director of Land Registration (the “Director”) regarding suspected fraudulent or unlawful activity or registration in connection with the Documents attached to this Acknowledgement and Direction, the undersigned hereby irrevocably consents to you releasing to the Director a true copy of this Acknowledgement and Direction upon request by the Director.</w:t>
      </w:r>
    </w:p>
    <w:p w14:paraId="47A10491" w14:textId="77777777" w:rsidR="00F02A87" w:rsidRPr="00257B87" w:rsidRDefault="00F02A87" w:rsidP="00F02A87">
      <w:pPr>
        <w:spacing w:before="0" w:after="0"/>
        <w:ind w:left="-360"/>
        <w:contextualSpacing/>
        <w:rPr>
          <w:rFonts w:cs="Arial"/>
        </w:rPr>
      </w:pPr>
    </w:p>
    <w:p w14:paraId="0738FF4E" w14:textId="77777777" w:rsidR="00F02A87" w:rsidRPr="00257B87" w:rsidRDefault="00F02A87" w:rsidP="00F02A87">
      <w:pPr>
        <w:numPr>
          <w:ilvl w:val="0"/>
          <w:numId w:val="50"/>
        </w:numPr>
        <w:autoSpaceDE w:val="0"/>
        <w:autoSpaceDN w:val="0"/>
        <w:adjustRightInd w:val="0"/>
        <w:spacing w:before="0" w:after="0"/>
        <w:ind w:left="1080"/>
        <w:rPr>
          <w:rFonts w:cs="Arial"/>
        </w:rPr>
      </w:pPr>
      <w:r w:rsidRPr="00257B87">
        <w:rPr>
          <w:rFonts w:cs="Arial"/>
        </w:rPr>
        <w:t>The execution of this Acknowledgement and Direction may be communicated by way of electronic or facsimile transmission, and receipt of such transmission by the addressees herein shall be deemed to be good, sufficient and fully effectual as if an original executed copy of this Acknowledgement and Direction had been delivered.</w:t>
      </w:r>
    </w:p>
    <w:p w14:paraId="30A70889" w14:textId="77777777" w:rsidR="00F02A87" w:rsidRPr="00257B87" w:rsidRDefault="00F02A87" w:rsidP="00F02A87">
      <w:pPr>
        <w:spacing w:before="0" w:after="0"/>
        <w:rPr>
          <w:rFonts w:cs="Arial"/>
        </w:rPr>
      </w:pPr>
    </w:p>
    <w:p w14:paraId="12FF4843" w14:textId="77777777" w:rsidR="00F02A87" w:rsidRPr="000C60E1" w:rsidRDefault="00F02A87" w:rsidP="00F02A87">
      <w:pPr>
        <w:spacing w:before="0" w:after="0"/>
        <w:ind w:left="360"/>
        <w:contextualSpacing/>
        <w:rPr>
          <w:rFonts w:cs="Arial"/>
        </w:rPr>
      </w:pPr>
    </w:p>
    <w:p w14:paraId="6683F9AB" w14:textId="77777777" w:rsidR="00F02A87" w:rsidRPr="000C60E1" w:rsidRDefault="00F02A87" w:rsidP="00F02A87">
      <w:pPr>
        <w:spacing w:before="0" w:after="0"/>
        <w:ind w:left="360"/>
        <w:contextualSpacing/>
        <w:rPr>
          <w:rFonts w:cs="Arial"/>
          <w:b/>
          <w:u w:val="single"/>
        </w:rPr>
      </w:pPr>
    </w:p>
    <w:p w14:paraId="2DA250D5" w14:textId="77777777" w:rsidR="002640A6" w:rsidRDefault="002640A6">
      <w:pPr>
        <w:spacing w:before="0" w:after="0"/>
        <w:rPr>
          <w:rFonts w:cs="Arial"/>
          <w:b/>
          <w:u w:val="single"/>
        </w:rPr>
      </w:pPr>
      <w:r>
        <w:rPr>
          <w:rFonts w:cs="Arial"/>
          <w:b/>
          <w:u w:val="single"/>
        </w:rPr>
        <w:br w:type="page"/>
      </w:r>
    </w:p>
    <w:p w14:paraId="7A9EB5D9" w14:textId="00EA0A85" w:rsidR="00F02A87" w:rsidRPr="000C60E1" w:rsidRDefault="00F02A87" w:rsidP="00F02A87">
      <w:pPr>
        <w:spacing w:before="0" w:after="0"/>
        <w:contextualSpacing/>
        <w:jc w:val="center"/>
        <w:rPr>
          <w:rFonts w:cs="Arial"/>
          <w:b/>
          <w:u w:val="single"/>
        </w:rPr>
      </w:pPr>
      <w:r w:rsidRPr="000C60E1">
        <w:rPr>
          <w:rFonts w:cs="Arial"/>
          <w:b/>
          <w:u w:val="single"/>
        </w:rPr>
        <w:lastRenderedPageBreak/>
        <w:t>DESCRIPTION OF ELECTRONIC DOCUMENTS</w:t>
      </w:r>
    </w:p>
    <w:p w14:paraId="35B3497B" w14:textId="77777777" w:rsidR="00F02A87" w:rsidRPr="000C60E1" w:rsidRDefault="00F02A87" w:rsidP="00F02A87">
      <w:pPr>
        <w:spacing w:before="0" w:after="0"/>
        <w:ind w:left="1440"/>
        <w:contextualSpacing/>
        <w:rPr>
          <w:rFonts w:cs="Arial"/>
        </w:rPr>
      </w:pPr>
    </w:p>
    <w:p w14:paraId="3A16D311" w14:textId="77777777" w:rsidR="00F02A87" w:rsidRPr="000C60E1" w:rsidRDefault="00F02A87" w:rsidP="00F02A87">
      <w:pPr>
        <w:spacing w:before="0" w:after="0"/>
        <w:contextualSpacing/>
        <w:rPr>
          <w:rFonts w:cs="Arial"/>
        </w:rPr>
      </w:pPr>
      <w:r w:rsidRPr="000C60E1">
        <w:rPr>
          <w:rFonts w:cs="Arial"/>
        </w:rPr>
        <w:t>The Documents described in the Acknowledgement and Direction are the documents selected below which are attached hereto as “Certificate in Preparation” and are:</w:t>
      </w:r>
    </w:p>
    <w:p w14:paraId="18AC15C9" w14:textId="77777777" w:rsidR="00F02A87" w:rsidRPr="000C60E1" w:rsidRDefault="00F02A87" w:rsidP="00F02A87">
      <w:pPr>
        <w:spacing w:before="0" w:after="0"/>
        <w:ind w:left="1440"/>
        <w:contextualSpacing/>
        <w:rPr>
          <w:rFonts w:cs="Arial"/>
        </w:rPr>
      </w:pPr>
    </w:p>
    <w:p w14:paraId="1CCC74FF" w14:textId="77777777" w:rsidR="00F02A87" w:rsidRPr="000C60E1" w:rsidRDefault="00F02A87" w:rsidP="00F02A87">
      <w:pPr>
        <w:spacing w:before="0" w:after="0"/>
        <w:contextualSpacing/>
        <w:rPr>
          <w:rFonts w:cs="Arial"/>
        </w:rPr>
      </w:pPr>
      <w:r w:rsidRPr="000C60E1">
        <w:rPr>
          <w:rFonts w:cs="Arial"/>
        </w:rPr>
        <w:t>___</w:t>
      </w:r>
      <w:r w:rsidRPr="000C60E1">
        <w:rPr>
          <w:rFonts w:cs="Arial"/>
        </w:rPr>
        <w:tab/>
        <w:t>A Transfer of the land described above.</w:t>
      </w:r>
    </w:p>
    <w:p w14:paraId="6AB11E38" w14:textId="77777777" w:rsidR="00F02A87" w:rsidRPr="000C60E1" w:rsidRDefault="00F02A87" w:rsidP="00F02A87">
      <w:pPr>
        <w:spacing w:before="0" w:after="0"/>
        <w:ind w:left="1440"/>
        <w:contextualSpacing/>
        <w:rPr>
          <w:rFonts w:cs="Arial"/>
        </w:rPr>
      </w:pPr>
    </w:p>
    <w:p w14:paraId="27E14467" w14:textId="77777777" w:rsidR="00F02A87" w:rsidRPr="000C60E1" w:rsidRDefault="00F02A87" w:rsidP="00F02A87">
      <w:pPr>
        <w:spacing w:before="0" w:after="0"/>
        <w:contextualSpacing/>
        <w:rPr>
          <w:rFonts w:cs="Arial"/>
        </w:rPr>
      </w:pPr>
      <w:r w:rsidRPr="000C60E1">
        <w:rPr>
          <w:rFonts w:cs="Arial"/>
        </w:rPr>
        <w:t>___</w:t>
      </w:r>
      <w:r w:rsidRPr="000C60E1">
        <w:rPr>
          <w:rFonts w:cs="Arial"/>
        </w:rPr>
        <w:tab/>
        <w:t>A Charge of the land described above.</w:t>
      </w:r>
    </w:p>
    <w:p w14:paraId="0809F924" w14:textId="77777777" w:rsidR="00F02A87" w:rsidRPr="000C60E1" w:rsidRDefault="00F02A87" w:rsidP="00F02A87">
      <w:pPr>
        <w:spacing w:before="0" w:after="0"/>
        <w:ind w:left="1440"/>
        <w:contextualSpacing/>
        <w:rPr>
          <w:rFonts w:cs="Arial"/>
        </w:rPr>
      </w:pPr>
    </w:p>
    <w:p w14:paraId="01A785C4" w14:textId="77777777" w:rsidR="00F02A87" w:rsidRPr="000C60E1" w:rsidRDefault="00F02A87" w:rsidP="00F02A87">
      <w:pPr>
        <w:spacing w:before="0" w:after="0"/>
        <w:ind w:left="720" w:hanging="720"/>
        <w:contextualSpacing/>
        <w:rPr>
          <w:rFonts w:cs="Arial"/>
        </w:rPr>
      </w:pPr>
      <w:r w:rsidRPr="000C60E1">
        <w:rPr>
          <w:rFonts w:cs="Arial"/>
        </w:rPr>
        <w:t>_x_</w:t>
      </w:r>
      <w:r w:rsidRPr="000C60E1">
        <w:rPr>
          <w:rFonts w:cs="Arial"/>
        </w:rPr>
        <w:tab/>
        <w:t xml:space="preserve">Other documents set out in the Schedule attached – Certificate of Requirement, subsection 197(2) Environmental Protection Act </w:t>
      </w:r>
    </w:p>
    <w:p w14:paraId="12C35FB6" w14:textId="77777777" w:rsidR="00F02A87" w:rsidRPr="000C60E1" w:rsidRDefault="00F02A87" w:rsidP="00F02A87">
      <w:pPr>
        <w:spacing w:before="0" w:after="0"/>
        <w:ind w:left="1440"/>
        <w:contextualSpacing/>
        <w:rPr>
          <w:rFonts w:cs="Arial"/>
        </w:rPr>
      </w:pPr>
    </w:p>
    <w:p w14:paraId="6C3B82BC" w14:textId="77777777" w:rsidR="00F02A87" w:rsidRPr="000C60E1" w:rsidRDefault="00F02A87" w:rsidP="00F02A87">
      <w:pPr>
        <w:spacing w:before="0" w:after="0"/>
        <w:contextualSpacing/>
        <w:rPr>
          <w:rFonts w:cs="Arial"/>
        </w:rPr>
      </w:pPr>
      <w:r w:rsidRPr="000C60E1">
        <w:rPr>
          <w:rFonts w:cs="Arial"/>
        </w:rPr>
        <w:t>DATED at ___________, Ontario this __________ day of ________________________.</w:t>
      </w:r>
    </w:p>
    <w:p w14:paraId="421365CA" w14:textId="77777777" w:rsidR="00F02A87" w:rsidRPr="000C60E1" w:rsidRDefault="00F02A87" w:rsidP="00F02A87">
      <w:pPr>
        <w:spacing w:before="0" w:after="0"/>
        <w:ind w:left="1440"/>
        <w:contextualSpacing/>
        <w:rPr>
          <w:rFonts w:cs="Arial"/>
        </w:rPr>
      </w:pPr>
    </w:p>
    <w:p w14:paraId="7D34BF6F" w14:textId="77777777" w:rsidR="00F02A87" w:rsidRPr="000C60E1" w:rsidRDefault="00F02A87" w:rsidP="00F02A87">
      <w:pPr>
        <w:spacing w:before="0" w:after="0"/>
        <w:ind w:left="5040" w:hanging="3600"/>
        <w:contextualSpacing/>
        <w:rPr>
          <w:rFonts w:cs="Arial"/>
        </w:rPr>
      </w:pPr>
      <w:r w:rsidRPr="000C60E1">
        <w:rPr>
          <w:rFonts w:cs="Arial"/>
        </w:rPr>
        <w:tab/>
        <w:t>HER MAJESTY THE QUEEN IN RIGHT OF ONTARIO AS REPRESENTED BY THE MINISTER OF THE ENVIRONMENT, CONSERVATION AND PARKS</w:t>
      </w:r>
    </w:p>
    <w:p w14:paraId="6BA10958" w14:textId="77777777" w:rsidR="00F02A87" w:rsidRPr="000C60E1" w:rsidRDefault="00F02A87" w:rsidP="00F02A87">
      <w:pPr>
        <w:spacing w:before="0" w:after="0"/>
        <w:rPr>
          <w:rFonts w:cs="Arial"/>
        </w:rPr>
      </w:pPr>
    </w:p>
    <w:p w14:paraId="1BF07746" w14:textId="77777777" w:rsidR="00F02A87" w:rsidRPr="000C60E1" w:rsidRDefault="00F02A87" w:rsidP="00F02A87">
      <w:pPr>
        <w:spacing w:before="0" w:after="0"/>
        <w:ind w:left="5040" w:hanging="4050"/>
        <w:contextualSpacing/>
        <w:rPr>
          <w:rFonts w:cs="Arial"/>
        </w:rPr>
      </w:pPr>
      <w:r w:rsidRPr="000C60E1">
        <w:rPr>
          <w:rFonts w:cs="Arial"/>
        </w:rPr>
        <w:tab/>
        <w:t>Per: ________________________________</w:t>
      </w:r>
    </w:p>
    <w:p w14:paraId="731C671B" w14:textId="77777777" w:rsidR="00F02A87" w:rsidRPr="000C60E1" w:rsidRDefault="00F02A87" w:rsidP="00F02A87">
      <w:pPr>
        <w:spacing w:before="0" w:after="0"/>
        <w:ind w:left="5040" w:hanging="3600"/>
        <w:contextualSpacing/>
        <w:rPr>
          <w:rFonts w:cs="Arial"/>
        </w:rPr>
      </w:pPr>
      <w:r w:rsidRPr="000C60E1">
        <w:rPr>
          <w:rFonts w:cs="Arial"/>
        </w:rPr>
        <w:tab/>
      </w:r>
    </w:p>
    <w:p w14:paraId="23AC7D3B" w14:textId="4F810502" w:rsidR="00F02A87" w:rsidRPr="000C60E1" w:rsidRDefault="00F02A87" w:rsidP="00F02A87">
      <w:pPr>
        <w:spacing w:before="0" w:after="0"/>
        <w:ind w:left="5040" w:hanging="3600"/>
        <w:contextualSpacing/>
        <w:rPr>
          <w:rFonts w:cs="Arial"/>
        </w:rPr>
      </w:pPr>
      <w:r w:rsidRPr="000C60E1">
        <w:rPr>
          <w:rFonts w:cs="Arial"/>
        </w:rPr>
        <w:tab/>
        <w:t xml:space="preserve">       </w:t>
      </w:r>
      <w:r w:rsidRPr="000C60E1">
        <w:rPr>
          <w:rFonts w:cs="Arial"/>
          <w:highlight w:val="yellow"/>
        </w:rPr>
        <w:t>XX</w:t>
      </w:r>
      <w:r w:rsidRPr="000C60E1">
        <w:rPr>
          <w:rFonts w:cs="Arial"/>
        </w:rPr>
        <w:t>, District Manager</w:t>
      </w:r>
    </w:p>
    <w:p w14:paraId="2B4D152E" w14:textId="77777777" w:rsidR="00F02A87" w:rsidRPr="000C60E1" w:rsidRDefault="00F02A87" w:rsidP="00F02A87">
      <w:pPr>
        <w:spacing w:before="0" w:after="0"/>
        <w:ind w:left="5040" w:hanging="3600"/>
        <w:contextualSpacing/>
        <w:rPr>
          <w:rFonts w:cs="Arial"/>
        </w:rPr>
      </w:pPr>
      <w:r w:rsidRPr="000C60E1">
        <w:rPr>
          <w:rFonts w:cs="Arial"/>
        </w:rPr>
        <w:tab/>
        <w:t xml:space="preserve">       </w:t>
      </w:r>
      <w:r w:rsidRPr="000C60E1">
        <w:rPr>
          <w:rFonts w:cs="Arial"/>
          <w:highlight w:val="yellow"/>
        </w:rPr>
        <w:t>XX,</w:t>
      </w:r>
      <w:r w:rsidRPr="000C60E1">
        <w:rPr>
          <w:rFonts w:cs="Arial"/>
        </w:rPr>
        <w:t xml:space="preserve"> District Office</w:t>
      </w:r>
    </w:p>
    <w:p w14:paraId="473249E5" w14:textId="77777777" w:rsidR="00F02A87" w:rsidRPr="000C60E1" w:rsidRDefault="00F02A87" w:rsidP="00F02A87">
      <w:pPr>
        <w:spacing w:before="0" w:after="0"/>
        <w:ind w:left="5760"/>
        <w:contextualSpacing/>
        <w:rPr>
          <w:rFonts w:cs="Arial"/>
        </w:rPr>
      </w:pPr>
      <w:r w:rsidRPr="000C60E1">
        <w:rPr>
          <w:rFonts w:cs="Arial"/>
        </w:rPr>
        <w:t>Ministry of the Environment, Conservation and Parks</w:t>
      </w:r>
    </w:p>
    <w:p w14:paraId="6F49BB44" w14:textId="77777777" w:rsidR="00F02A87" w:rsidRPr="000C60E1" w:rsidRDefault="00F02A87" w:rsidP="00F02A87">
      <w:pPr>
        <w:spacing w:before="0" w:after="0"/>
        <w:rPr>
          <w:rFonts w:cs="Arial"/>
        </w:rPr>
      </w:pPr>
    </w:p>
    <w:p w14:paraId="7AA2212D" w14:textId="77777777" w:rsidR="00F02A87" w:rsidRPr="000C60E1" w:rsidRDefault="00F02A87" w:rsidP="00F02A87">
      <w:pPr>
        <w:spacing w:before="0" w:after="0"/>
        <w:rPr>
          <w:rFonts w:cs="Arial"/>
        </w:rPr>
      </w:pPr>
    </w:p>
    <w:p w14:paraId="38DFB6C1" w14:textId="77777777" w:rsidR="00F02A87" w:rsidRPr="000C60E1" w:rsidRDefault="00F02A87" w:rsidP="00F02A87">
      <w:pPr>
        <w:spacing w:before="0" w:after="0"/>
        <w:rPr>
          <w:rFonts w:cs="Arial"/>
        </w:rPr>
      </w:pPr>
    </w:p>
    <w:p w14:paraId="7972EA3E" w14:textId="77777777" w:rsidR="00F02A87" w:rsidRPr="000C60E1" w:rsidRDefault="00F02A87" w:rsidP="00F02A87">
      <w:pPr>
        <w:spacing w:before="0" w:after="0"/>
        <w:rPr>
          <w:rFonts w:cs="Arial"/>
        </w:rPr>
      </w:pPr>
    </w:p>
    <w:p w14:paraId="48914E73" w14:textId="77777777" w:rsidR="00F02A87" w:rsidRPr="000C60E1" w:rsidRDefault="00F02A87" w:rsidP="00F02A87">
      <w:pPr>
        <w:spacing w:before="0" w:after="0"/>
        <w:rPr>
          <w:rFonts w:cs="Arial"/>
        </w:rPr>
      </w:pPr>
    </w:p>
    <w:p w14:paraId="097B6A6C" w14:textId="77777777" w:rsidR="00F02A87" w:rsidRPr="000C60E1" w:rsidRDefault="00F02A87" w:rsidP="00F02A87">
      <w:pPr>
        <w:spacing w:before="0" w:after="0"/>
        <w:rPr>
          <w:rFonts w:cs="Arial"/>
        </w:rPr>
      </w:pPr>
    </w:p>
    <w:p w14:paraId="5EAE6023" w14:textId="77777777" w:rsidR="00F02A87" w:rsidRPr="000C60E1" w:rsidRDefault="00F02A87" w:rsidP="00F02A87">
      <w:pPr>
        <w:spacing w:before="0" w:after="0"/>
        <w:rPr>
          <w:rFonts w:cs="Arial"/>
        </w:rPr>
      </w:pPr>
    </w:p>
    <w:p w14:paraId="62AB13AD" w14:textId="77777777" w:rsidR="00F02A87" w:rsidRPr="000C60E1" w:rsidRDefault="00F02A87" w:rsidP="00F02A87">
      <w:pPr>
        <w:spacing w:before="0" w:after="0"/>
        <w:rPr>
          <w:rFonts w:cs="Arial"/>
        </w:rPr>
      </w:pPr>
    </w:p>
    <w:p w14:paraId="581EC271" w14:textId="77777777" w:rsidR="00F02A87" w:rsidRPr="000C60E1" w:rsidRDefault="00F02A87" w:rsidP="00F02A87">
      <w:pPr>
        <w:spacing w:before="0" w:after="0"/>
        <w:rPr>
          <w:rFonts w:cs="Arial"/>
        </w:rPr>
      </w:pPr>
    </w:p>
    <w:p w14:paraId="2F1646CA" w14:textId="77777777" w:rsidR="00F02A87" w:rsidRPr="000C60E1" w:rsidRDefault="00F02A87" w:rsidP="00F02A87">
      <w:pPr>
        <w:spacing w:before="0" w:after="0"/>
        <w:rPr>
          <w:rFonts w:cs="Arial"/>
        </w:rPr>
      </w:pPr>
    </w:p>
    <w:p w14:paraId="04A66FC7" w14:textId="77777777" w:rsidR="00F02A87" w:rsidRPr="000C60E1" w:rsidRDefault="00F02A87" w:rsidP="00F02A87">
      <w:pPr>
        <w:spacing w:before="0" w:after="0"/>
        <w:rPr>
          <w:rFonts w:cs="Arial"/>
        </w:rPr>
      </w:pPr>
    </w:p>
    <w:p w14:paraId="001AE835" w14:textId="77777777" w:rsidR="00F02A87" w:rsidRPr="000C60E1" w:rsidRDefault="00F02A87" w:rsidP="00F02A87">
      <w:pPr>
        <w:spacing w:before="0" w:after="0"/>
        <w:rPr>
          <w:rFonts w:cs="Arial"/>
        </w:rPr>
      </w:pPr>
    </w:p>
    <w:p w14:paraId="234AF499" w14:textId="77777777" w:rsidR="00F02A87" w:rsidRPr="000C60E1" w:rsidRDefault="00F02A87" w:rsidP="00F02A87">
      <w:pPr>
        <w:spacing w:before="0" w:after="0"/>
        <w:rPr>
          <w:rFonts w:cs="Arial"/>
        </w:rPr>
      </w:pPr>
    </w:p>
    <w:p w14:paraId="0D966608" w14:textId="77777777" w:rsidR="00F02A87" w:rsidRPr="000C60E1" w:rsidRDefault="00F02A87" w:rsidP="00F02A87">
      <w:pPr>
        <w:spacing w:before="0" w:after="0"/>
        <w:rPr>
          <w:rFonts w:cs="Arial"/>
        </w:rPr>
      </w:pPr>
    </w:p>
    <w:p w14:paraId="5DD4F79A" w14:textId="77777777" w:rsidR="00F02A87" w:rsidRPr="000C60E1" w:rsidRDefault="00F02A87" w:rsidP="00F02A87">
      <w:pPr>
        <w:spacing w:before="0" w:after="0"/>
        <w:rPr>
          <w:rFonts w:cs="Arial"/>
        </w:rPr>
      </w:pPr>
    </w:p>
    <w:p w14:paraId="4E2BBFB6" w14:textId="77777777" w:rsidR="00F02A87" w:rsidRPr="000C60E1" w:rsidRDefault="00F02A87" w:rsidP="00F02A87">
      <w:pPr>
        <w:spacing w:before="0" w:after="0"/>
        <w:rPr>
          <w:rFonts w:cs="Arial"/>
        </w:rPr>
      </w:pPr>
    </w:p>
    <w:p w14:paraId="7F66911D" w14:textId="77777777" w:rsidR="00F02A87" w:rsidRPr="000C60E1" w:rsidRDefault="00F02A87" w:rsidP="00F02A87">
      <w:pPr>
        <w:spacing w:before="0" w:after="0"/>
        <w:rPr>
          <w:rFonts w:cs="Arial"/>
        </w:rPr>
      </w:pPr>
    </w:p>
    <w:p w14:paraId="1CDA0A3C" w14:textId="77777777" w:rsidR="00F02A87" w:rsidRPr="000C60E1" w:rsidRDefault="00F02A87" w:rsidP="00F02A87">
      <w:pPr>
        <w:spacing w:before="0" w:after="0"/>
        <w:rPr>
          <w:rFonts w:cs="Arial"/>
        </w:rPr>
      </w:pPr>
    </w:p>
    <w:p w14:paraId="2E1F46C0" w14:textId="77777777" w:rsidR="002640A6" w:rsidRDefault="002640A6">
      <w:pPr>
        <w:spacing w:before="0" w:after="0"/>
        <w:rPr>
          <w:rFonts w:cs="Arial"/>
          <w:b/>
          <w:sz w:val="22"/>
          <w:szCs w:val="22"/>
          <w:u w:val="single"/>
          <w:lang w:val="en-CA" w:eastAsia="en-CA"/>
        </w:rPr>
      </w:pPr>
      <w:r>
        <w:rPr>
          <w:rFonts w:cs="Arial"/>
          <w:b/>
          <w:sz w:val="22"/>
          <w:szCs w:val="22"/>
          <w:u w:val="single"/>
          <w:lang w:val="en-CA" w:eastAsia="en-CA"/>
        </w:rPr>
        <w:br w:type="page"/>
      </w:r>
    </w:p>
    <w:p w14:paraId="44C64894" w14:textId="43945F78" w:rsidR="00F02A87" w:rsidRPr="000C60E1" w:rsidRDefault="00F02A87" w:rsidP="00F02A87">
      <w:pPr>
        <w:widowControl w:val="0"/>
        <w:autoSpaceDE w:val="0"/>
        <w:autoSpaceDN w:val="0"/>
        <w:adjustRightInd w:val="0"/>
        <w:spacing w:before="0" w:after="310"/>
        <w:ind w:right="360"/>
        <w:jc w:val="center"/>
        <w:rPr>
          <w:rFonts w:cs="Arial"/>
          <w:sz w:val="22"/>
          <w:szCs w:val="22"/>
          <w:lang w:val="en-CA" w:eastAsia="en-CA"/>
        </w:rPr>
      </w:pPr>
      <w:r w:rsidRPr="000C60E1">
        <w:rPr>
          <w:rFonts w:cs="Arial"/>
          <w:b/>
          <w:sz w:val="22"/>
          <w:szCs w:val="22"/>
          <w:u w:val="single"/>
          <w:lang w:val="en-CA" w:eastAsia="en-CA"/>
        </w:rPr>
        <w:lastRenderedPageBreak/>
        <w:t xml:space="preserve">CERTIFICATE OF REQUIREMENT </w:t>
      </w:r>
    </w:p>
    <w:p w14:paraId="05DB3680" w14:textId="77777777" w:rsidR="00F02A87" w:rsidRPr="000C60E1" w:rsidRDefault="00F02A87" w:rsidP="00F02A87">
      <w:pPr>
        <w:widowControl w:val="0"/>
        <w:autoSpaceDE w:val="0"/>
        <w:autoSpaceDN w:val="0"/>
        <w:adjustRightInd w:val="0"/>
        <w:spacing w:before="0" w:after="0"/>
        <w:ind w:right="360"/>
        <w:jc w:val="center"/>
        <w:rPr>
          <w:rFonts w:cs="Arial"/>
          <w:sz w:val="22"/>
          <w:szCs w:val="22"/>
          <w:lang w:val="en-CA" w:eastAsia="en-CA"/>
        </w:rPr>
      </w:pPr>
      <w:r w:rsidRPr="000C60E1">
        <w:rPr>
          <w:rFonts w:cs="Arial"/>
          <w:b/>
          <w:sz w:val="22"/>
          <w:szCs w:val="22"/>
          <w:lang w:val="en-CA" w:eastAsia="en-CA"/>
        </w:rPr>
        <w:t xml:space="preserve">s.197(2) </w:t>
      </w:r>
    </w:p>
    <w:p w14:paraId="45C69315" w14:textId="77777777" w:rsidR="00F02A87" w:rsidRPr="000C60E1" w:rsidRDefault="00F02A87" w:rsidP="00F02A87">
      <w:pPr>
        <w:widowControl w:val="0"/>
        <w:autoSpaceDE w:val="0"/>
        <w:autoSpaceDN w:val="0"/>
        <w:adjustRightInd w:val="0"/>
        <w:spacing w:before="0" w:after="778"/>
        <w:ind w:right="360"/>
        <w:jc w:val="center"/>
        <w:rPr>
          <w:rFonts w:cs="Arial"/>
          <w:sz w:val="22"/>
          <w:szCs w:val="22"/>
          <w:lang w:val="en-CA" w:eastAsia="en-CA"/>
        </w:rPr>
      </w:pPr>
      <w:r w:rsidRPr="000C60E1">
        <w:rPr>
          <w:rFonts w:cs="Arial"/>
          <w:b/>
          <w:i/>
          <w:sz w:val="22"/>
          <w:szCs w:val="22"/>
          <w:lang w:val="en-CA" w:eastAsia="en-CA"/>
        </w:rPr>
        <w:t xml:space="preserve">Environmental Protection Act </w:t>
      </w:r>
    </w:p>
    <w:p w14:paraId="6E056A83" w14:textId="77777777" w:rsidR="00F02A87" w:rsidRPr="000C60E1" w:rsidRDefault="00F02A87" w:rsidP="00F02A87">
      <w:pPr>
        <w:widowControl w:val="0"/>
        <w:autoSpaceDE w:val="0"/>
        <w:autoSpaceDN w:val="0"/>
        <w:adjustRightInd w:val="0"/>
        <w:spacing w:before="0" w:after="0" w:line="240" w:lineRule="atLeast"/>
        <w:ind w:left="360" w:right="855"/>
        <w:rPr>
          <w:rFonts w:cs="Arial"/>
          <w:lang w:val="en-CA" w:eastAsia="en-CA"/>
        </w:rPr>
      </w:pPr>
      <w:r w:rsidRPr="000C60E1">
        <w:rPr>
          <w:rFonts w:cs="Arial"/>
          <w:lang w:val="en-CA" w:eastAsia="en-CA"/>
        </w:rPr>
        <w:t xml:space="preserve">This is to certify that pursuant to item </w:t>
      </w:r>
      <w:r w:rsidRPr="000C60E1">
        <w:rPr>
          <w:rFonts w:cs="Arial"/>
          <w:highlight w:val="yellow"/>
          <w:lang w:val="en-CA" w:eastAsia="en-CA"/>
        </w:rPr>
        <w:t>X.1</w:t>
      </w:r>
      <w:r w:rsidRPr="000C60E1">
        <w:rPr>
          <w:rFonts w:cs="Arial"/>
          <w:lang w:val="en-CA" w:eastAsia="en-CA"/>
        </w:rPr>
        <w:t xml:space="preserve"> of Certificate of Property Use number </w:t>
      </w:r>
      <w:r w:rsidRPr="000C60E1">
        <w:rPr>
          <w:rFonts w:cs="Arial"/>
          <w:highlight w:val="yellow"/>
          <w:lang w:val="en-CA" w:eastAsia="en-CA"/>
        </w:rPr>
        <w:t>XXX</w:t>
      </w:r>
      <w:r w:rsidRPr="000C60E1">
        <w:rPr>
          <w:rFonts w:cs="Arial"/>
          <w:lang w:val="en-CA" w:eastAsia="en-CA"/>
        </w:rPr>
        <w:t xml:space="preserve"> issued by </w:t>
      </w:r>
      <w:r w:rsidRPr="000C60E1">
        <w:rPr>
          <w:rFonts w:cs="Arial"/>
          <w:highlight w:val="yellow"/>
          <w:lang w:val="en-CA" w:eastAsia="en-CA"/>
        </w:rPr>
        <w:t>XXX</w:t>
      </w:r>
      <w:r w:rsidRPr="000C60E1">
        <w:rPr>
          <w:rFonts w:cs="Arial"/>
          <w:lang w:val="en-CA" w:eastAsia="en-CA"/>
        </w:rPr>
        <w:t xml:space="preserve">, Director of the Ministry of the Environment, Conservation and Parks, under sections 168.6 and 197 of the Environmental Protection Act, on </w:t>
      </w:r>
      <w:r w:rsidRPr="000C60E1">
        <w:rPr>
          <w:rFonts w:cs="Arial"/>
          <w:highlight w:val="yellow"/>
          <w:lang w:val="en-CA" w:eastAsia="en-CA"/>
        </w:rPr>
        <w:t>XXX</w:t>
      </w:r>
      <w:r w:rsidRPr="000C60E1">
        <w:rPr>
          <w:rFonts w:cs="Arial"/>
          <w:lang w:val="en-CA" w:eastAsia="en-CA"/>
        </w:rPr>
        <w:t xml:space="preserve">, being a Certificate of Property Use and order under subsection 197(1) of the Environmental Protection Act relating to the property municipally known as </w:t>
      </w:r>
      <w:r w:rsidRPr="000C60E1">
        <w:rPr>
          <w:rFonts w:cs="Arial"/>
          <w:highlight w:val="yellow"/>
          <w:lang w:val="en-CA" w:eastAsia="en-CA"/>
        </w:rPr>
        <w:t>XXX</w:t>
      </w:r>
      <w:r w:rsidRPr="000C60E1">
        <w:rPr>
          <w:rFonts w:cs="Arial"/>
          <w:lang w:val="en-CA" w:eastAsia="en-CA"/>
        </w:rPr>
        <w:t xml:space="preserve">, being </w:t>
      </w:r>
      <w:r w:rsidRPr="000C60E1">
        <w:rPr>
          <w:rFonts w:cs="Arial"/>
          <w:highlight w:val="yellow"/>
          <w:lang w:val="en-CA" w:eastAsia="en-CA"/>
        </w:rPr>
        <w:t>all</w:t>
      </w:r>
      <w:r w:rsidRPr="000C60E1">
        <w:rPr>
          <w:rFonts w:cs="Arial"/>
          <w:lang w:val="en-CA" w:eastAsia="en-CA"/>
        </w:rPr>
        <w:t xml:space="preserve"> of Property Identifier Number XXX (LT) </w:t>
      </w:r>
      <w:r w:rsidRPr="000C60E1">
        <w:rPr>
          <w:rFonts w:cs="Arial"/>
          <w:highlight w:val="yellow"/>
          <w:lang w:val="en-CA" w:eastAsia="en-CA"/>
        </w:rPr>
        <w:t>[or being part of Property Identifier Number XXX (LT), namely LEGAL DESCRIPTION TO BE INSERTED</w:t>
      </w:r>
      <w:r w:rsidRPr="000C60E1">
        <w:rPr>
          <w:rFonts w:cs="Arial"/>
          <w:lang w:val="en-CA" w:eastAsia="en-CA"/>
        </w:rPr>
        <w:t>] (the “Property”) with respect to a Risk Assessment and certain Risk Management Measures and other preventive measure requirements on the Property</w:t>
      </w:r>
    </w:p>
    <w:p w14:paraId="60D41448" w14:textId="77777777" w:rsidR="00F02A87" w:rsidRPr="000C60E1" w:rsidRDefault="00F02A87" w:rsidP="00F02A87">
      <w:pPr>
        <w:widowControl w:val="0"/>
        <w:autoSpaceDE w:val="0"/>
        <w:autoSpaceDN w:val="0"/>
        <w:adjustRightInd w:val="0"/>
        <w:spacing w:before="0" w:after="235" w:line="231" w:lineRule="atLeast"/>
        <w:ind w:right="360"/>
        <w:jc w:val="center"/>
        <w:rPr>
          <w:rFonts w:cs="Arial"/>
          <w:lang w:val="en-CA" w:eastAsia="en-CA"/>
        </w:rPr>
      </w:pPr>
    </w:p>
    <w:p w14:paraId="431AEF30" w14:textId="77777777" w:rsidR="00F02A87" w:rsidRPr="000C60E1" w:rsidRDefault="00F02A87" w:rsidP="00F02A87">
      <w:pPr>
        <w:widowControl w:val="0"/>
        <w:autoSpaceDE w:val="0"/>
        <w:autoSpaceDN w:val="0"/>
        <w:adjustRightInd w:val="0"/>
        <w:spacing w:before="0" w:after="235" w:line="231" w:lineRule="atLeast"/>
        <w:ind w:right="360"/>
        <w:jc w:val="center"/>
        <w:rPr>
          <w:rFonts w:cs="Arial"/>
          <w:lang w:val="en-CA" w:eastAsia="en-CA"/>
        </w:rPr>
      </w:pPr>
      <w:r w:rsidRPr="000C60E1">
        <w:rPr>
          <w:rFonts w:cs="Arial"/>
          <w:highlight w:val="yellow"/>
          <w:lang w:val="en-CA" w:eastAsia="en-CA"/>
        </w:rPr>
        <w:t>XXX</w:t>
      </w:r>
    </w:p>
    <w:p w14:paraId="7B56E6E4" w14:textId="77777777" w:rsidR="00F02A87" w:rsidRPr="000C60E1" w:rsidRDefault="00F02A87" w:rsidP="00F02A87">
      <w:pPr>
        <w:widowControl w:val="0"/>
        <w:autoSpaceDE w:val="0"/>
        <w:autoSpaceDN w:val="0"/>
        <w:adjustRightInd w:val="0"/>
        <w:spacing w:before="0" w:after="235" w:line="231" w:lineRule="atLeast"/>
        <w:ind w:left="370" w:right="360"/>
        <w:rPr>
          <w:rFonts w:cs="Arial"/>
          <w:lang w:val="en-CA" w:eastAsia="en-CA"/>
        </w:rPr>
      </w:pPr>
      <w:r w:rsidRPr="000C60E1">
        <w:rPr>
          <w:rFonts w:cs="Arial"/>
          <w:lang w:val="en-CA" w:eastAsia="en-CA"/>
        </w:rPr>
        <w:t xml:space="preserve">and any other persons having an interest in the Property, are required before dealing with the Property in any way, to give a copy of the Certificate of Property Use, including any amendments thereto, to every person who will acquire an interest in the Property. </w:t>
      </w:r>
    </w:p>
    <w:p w14:paraId="4FE4AC97" w14:textId="77777777" w:rsidR="00F02A87" w:rsidRPr="000C60E1" w:rsidRDefault="00F02A87" w:rsidP="00F02A87">
      <w:pPr>
        <w:widowControl w:val="0"/>
        <w:autoSpaceDE w:val="0"/>
        <w:autoSpaceDN w:val="0"/>
        <w:adjustRightInd w:val="0"/>
        <w:spacing w:before="0" w:after="0" w:line="233" w:lineRule="atLeast"/>
        <w:ind w:left="370" w:right="360"/>
        <w:rPr>
          <w:rFonts w:cs="Arial"/>
          <w:lang w:val="en-CA" w:eastAsia="en-CA"/>
        </w:rPr>
      </w:pPr>
      <w:r w:rsidRPr="000C60E1">
        <w:rPr>
          <w:rFonts w:cs="Arial"/>
          <w:lang w:val="en-CA" w:eastAsia="en-CA"/>
        </w:rPr>
        <w:t>Under subsection 197(3) of the Environmental Protection Act, the requirement applies to each person who, subsequent to the registration of this certificate, acquires an interest in the Property.</w:t>
      </w:r>
    </w:p>
    <w:p w14:paraId="12BE0F20" w14:textId="77777777" w:rsidR="00F02A87" w:rsidRPr="000C60E1" w:rsidRDefault="00F02A87" w:rsidP="00F02A87">
      <w:pPr>
        <w:spacing w:before="0" w:after="0"/>
        <w:rPr>
          <w:rFonts w:cs="Arial"/>
          <w:lang w:eastAsia="en-CA"/>
        </w:rPr>
      </w:pPr>
    </w:p>
    <w:p w14:paraId="274C8CC1" w14:textId="77777777" w:rsidR="00EA6883" w:rsidRPr="000C60E1" w:rsidRDefault="00EA6883" w:rsidP="009D0BC5">
      <w:pPr>
        <w:rPr>
          <w:rFonts w:cs="Arial"/>
        </w:rPr>
      </w:pPr>
    </w:p>
    <w:sectPr w:rsidR="00EA6883" w:rsidRPr="000C60E1" w:rsidSect="00207B99">
      <w:headerReference w:type="even" r:id="rId22"/>
      <w:headerReference w:type="default" r:id="rId23"/>
      <w:pgSz w:w="12240" w:h="15840" w:code="1"/>
      <w:pgMar w:top="1440" w:right="1260" w:bottom="117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6126" w14:textId="77777777" w:rsidR="009B1CD6" w:rsidRDefault="009B1CD6">
      <w:r>
        <w:separator/>
      </w:r>
    </w:p>
  </w:endnote>
  <w:endnote w:type="continuationSeparator" w:id="0">
    <w:p w14:paraId="2EEE39C4" w14:textId="77777777" w:rsidR="009B1CD6" w:rsidRDefault="009B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49A1" w14:textId="77777777" w:rsidR="009B1CD6" w:rsidRDefault="009B1CD6" w:rsidP="009D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45DD6" w14:textId="77777777" w:rsidR="009B1CD6" w:rsidRDefault="009B1CD6" w:rsidP="0056183F">
    <w:pPr>
      <w:ind w:right="360"/>
    </w:pPr>
    <w:r>
      <w:rPr>
        <w:rFonts w:ascii="Times" w:hAnsi="Times"/>
      </w:rPr>
      <w:t>-</w:t>
    </w:r>
    <w:r>
      <w:rPr>
        <w:rFonts w:ascii="Times" w:hAnsi="Times"/>
      </w:rPr>
      <w:pgNum/>
    </w:r>
    <w:r>
      <w:t>-</w:t>
    </w:r>
    <w:r>
      <w:rPr>
        <w:rFonts w:ascii="Times" w:hAnsi="Times"/>
      </w:rPr>
      <w:t>-</w:t>
    </w:r>
    <w:r>
      <w:rPr>
        <w:rFonts w:ascii="Times" w:hAnsi="Times"/>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A4B4" w14:textId="77777777" w:rsidR="009B1CD6" w:rsidRPr="00A355BA" w:rsidRDefault="009B1CD6">
    <w:pPr>
      <w:pStyle w:val="Footer"/>
      <w:jc w:val="right"/>
      <w:rPr>
        <w:rFonts w:cs="Arial"/>
      </w:rPr>
    </w:pPr>
    <w:r w:rsidRPr="00A355BA">
      <w:rPr>
        <w:rFonts w:cs="Arial"/>
      </w:rPr>
      <w:fldChar w:fldCharType="begin"/>
    </w:r>
    <w:r w:rsidRPr="00A355BA">
      <w:rPr>
        <w:rFonts w:cs="Arial"/>
      </w:rPr>
      <w:instrText xml:space="preserve"> PAGE   \* MERGEFORMAT </w:instrText>
    </w:r>
    <w:r w:rsidRPr="00A355BA">
      <w:rPr>
        <w:rFonts w:cs="Arial"/>
      </w:rPr>
      <w:fldChar w:fldCharType="separate"/>
    </w:r>
    <w:r w:rsidRPr="00A355BA">
      <w:rPr>
        <w:rFonts w:cs="Arial"/>
        <w:noProof/>
      </w:rPr>
      <w:t>24</w:t>
    </w:r>
    <w:r w:rsidRPr="00A355BA">
      <w:rPr>
        <w:rFonts w:cs="Arial"/>
        <w:noProof/>
      </w:rPr>
      <w:fldChar w:fldCharType="end"/>
    </w:r>
  </w:p>
  <w:p w14:paraId="070979AD" w14:textId="7449CBD8" w:rsidR="009B1CD6" w:rsidRPr="00A07237" w:rsidRDefault="009B1CD6" w:rsidP="004926DD">
    <w:pPr>
      <w:pStyle w:val="Footer"/>
      <w:rPr>
        <w:rFonts w:cs="Arial"/>
        <w:i/>
        <w:color w:val="404040" w:themeColor="text1" w:themeTint="BF"/>
        <w:sz w:val="18"/>
        <w:szCs w:val="18"/>
      </w:rPr>
    </w:pPr>
    <w:r w:rsidRPr="00E47E73">
      <w:rPr>
        <w:rFonts w:cs="Arial"/>
        <w:i/>
        <w:color w:val="404040" w:themeColor="text1" w:themeTint="BF"/>
        <w:sz w:val="18"/>
        <w:szCs w:val="18"/>
      </w:rPr>
      <w:t>This draft document is for the purposes of comment and discussion only. Please do not distribute or reproduce</w:t>
    </w:r>
    <w:r>
      <w:rPr>
        <w:rFonts w:cs="Arial"/>
        <w:i/>
        <w:color w:val="404040" w:themeColor="text1" w:themeTint="BF"/>
        <w:sz w:val="18"/>
        <w:szCs w:val="18"/>
      </w:rPr>
      <w:t>.</w:t>
    </w:r>
  </w:p>
  <w:p w14:paraId="4D794D9B" w14:textId="77777777" w:rsidR="009B1CD6" w:rsidRDefault="009B1CD6" w:rsidP="005618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9AAB" w14:textId="77777777" w:rsidR="009B1CD6" w:rsidRDefault="009B1CD6" w:rsidP="008B16DB">
    <w:pPr>
      <w:pStyle w:val="Footer"/>
      <w:tabs>
        <w:tab w:val="clear" w:pos="4320"/>
        <w:tab w:val="clear" w:pos="8640"/>
      </w:tabs>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F620" w14:textId="77777777" w:rsidR="009B1CD6" w:rsidRDefault="009B1CD6">
      <w:r>
        <w:separator/>
      </w:r>
    </w:p>
  </w:footnote>
  <w:footnote w:type="continuationSeparator" w:id="0">
    <w:p w14:paraId="006967C0" w14:textId="77777777" w:rsidR="009B1CD6" w:rsidRDefault="009B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A301" w14:textId="77777777" w:rsidR="009B1CD6" w:rsidRDefault="009B1CD6">
    <w:r>
      <w:rPr>
        <w:sz w:val="16"/>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89D3" w14:textId="77777777" w:rsidR="009B1CD6" w:rsidRDefault="009B1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93DB" w14:textId="77777777" w:rsidR="009B1CD6" w:rsidRDefault="009B1C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5830" w14:textId="77777777" w:rsidR="009B1CD6" w:rsidRDefault="009B1CD6">
    <w:r>
      <w:rPr>
        <w:rFonts w:ascii="Times" w:hAnsi="Time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79AD" w14:textId="77777777" w:rsidR="009B1CD6" w:rsidRDefault="009B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BE8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265E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8A3D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E43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7040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3406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F0C098"/>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8"/>
    <w:multiLevelType w:val="singleLevel"/>
    <w:tmpl w:val="A45E3F12"/>
    <w:lvl w:ilvl="0">
      <w:start w:val="8"/>
      <w:numFmt w:val="decimal"/>
      <w:pStyle w:val="ListNumber"/>
      <w:lvlText w:val="%1."/>
      <w:lvlJc w:val="left"/>
      <w:pPr>
        <w:tabs>
          <w:tab w:val="num" w:pos="360"/>
        </w:tabs>
        <w:ind w:left="360" w:hanging="360"/>
      </w:pPr>
      <w:rPr>
        <w:rFonts w:hint="default"/>
      </w:rPr>
    </w:lvl>
  </w:abstractNum>
  <w:abstractNum w:abstractNumId="8" w15:restartNumberingAfterBreak="0">
    <w:nsid w:val="015D6CAC"/>
    <w:multiLevelType w:val="hybridMultilevel"/>
    <w:tmpl w:val="81E6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D61508"/>
    <w:multiLevelType w:val="hybridMultilevel"/>
    <w:tmpl w:val="219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E845CA"/>
    <w:multiLevelType w:val="hybridMultilevel"/>
    <w:tmpl w:val="1CDA3766"/>
    <w:lvl w:ilvl="0" w:tplc="D8D03768">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15E3B"/>
    <w:multiLevelType w:val="hybridMultilevel"/>
    <w:tmpl w:val="A102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35C65"/>
    <w:multiLevelType w:val="hybridMultilevel"/>
    <w:tmpl w:val="CAC8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42AE6"/>
    <w:multiLevelType w:val="hybridMultilevel"/>
    <w:tmpl w:val="E9864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2B7252"/>
    <w:multiLevelType w:val="multilevel"/>
    <w:tmpl w:val="401AADFC"/>
    <w:lvl w:ilvl="0">
      <w:start w:val="1"/>
      <w:numFmt w:val="decimal"/>
      <w:pStyle w:val="Heading1"/>
      <w:lvlText w:val="Section %1."/>
      <w:lvlJc w:val="left"/>
      <w:pPr>
        <w:tabs>
          <w:tab w:val="num" w:pos="720"/>
        </w:tabs>
        <w:ind w:left="360" w:hanging="360"/>
      </w:pPr>
      <w:rPr>
        <w:rFonts w:hint="default"/>
        <w:b/>
      </w:rPr>
    </w:lvl>
    <w:lvl w:ilvl="1">
      <w:start w:val="1"/>
      <w:numFmt w:val="decimal"/>
      <w:pStyle w:val="Heading2"/>
      <w:lvlText w:val="%1.%2."/>
      <w:lvlJc w:val="left"/>
      <w:pPr>
        <w:tabs>
          <w:tab w:val="num" w:pos="1440"/>
        </w:tabs>
        <w:ind w:left="792" w:hanging="432"/>
      </w:pPr>
      <w:rPr>
        <w:rFonts w:hint="default"/>
        <w:b/>
      </w:rPr>
    </w:lvl>
    <w:lvl w:ilvl="2">
      <w:start w:val="1"/>
      <w:numFmt w:val="decimal"/>
      <w:pStyle w:val="Heading3"/>
      <w:lvlText w:val="%1.%2.%3."/>
      <w:lvlJc w:val="left"/>
      <w:pPr>
        <w:tabs>
          <w:tab w:val="num" w:pos="2160"/>
        </w:tabs>
        <w:ind w:left="1224" w:hanging="5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14BE6548"/>
    <w:multiLevelType w:val="hybridMultilevel"/>
    <w:tmpl w:val="6EE239F6"/>
    <w:lvl w:ilvl="0" w:tplc="77EE45DC">
      <w:start w:val="2"/>
      <w:numFmt w:val="bullet"/>
      <w:lvlText w:val=""/>
      <w:lvlJc w:val="left"/>
      <w:pPr>
        <w:ind w:left="720" w:hanging="360"/>
      </w:pPr>
      <w:rPr>
        <w:rFonts w:ascii="Wingdings" w:eastAsia="Times New Roman" w:hAnsi="Wingding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9312C9A"/>
    <w:multiLevelType w:val="hybridMultilevel"/>
    <w:tmpl w:val="43E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64282"/>
    <w:multiLevelType w:val="hybridMultilevel"/>
    <w:tmpl w:val="9C4818AA"/>
    <w:lvl w:ilvl="0" w:tplc="764CC9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B4797"/>
    <w:multiLevelType w:val="hybridMultilevel"/>
    <w:tmpl w:val="53E25574"/>
    <w:lvl w:ilvl="0" w:tplc="1B10BBE8">
      <w:start w:val="1"/>
      <w:numFmt w:val="lowerLetter"/>
      <w:pStyle w:val="Textbox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7434D9"/>
    <w:multiLevelType w:val="hybridMultilevel"/>
    <w:tmpl w:val="4196617C"/>
    <w:lvl w:ilvl="0" w:tplc="C4FEBC8E">
      <w:start w:val="1"/>
      <w:numFmt w:val="lowerLetter"/>
      <w:lvlText w:val="(%1)"/>
      <w:lvlJc w:val="left"/>
      <w:pPr>
        <w:ind w:left="1316" w:hanging="465"/>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0" w15:restartNumberingAfterBreak="0">
    <w:nsid w:val="27AC1980"/>
    <w:multiLevelType w:val="hybridMultilevel"/>
    <w:tmpl w:val="8794D894"/>
    <w:lvl w:ilvl="0" w:tplc="36F4B128">
      <w:start w:val="1"/>
      <w:numFmt w:val="bullet"/>
      <w:pStyle w:val="List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952F2"/>
    <w:multiLevelType w:val="hybridMultilevel"/>
    <w:tmpl w:val="C45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676FA3"/>
    <w:multiLevelType w:val="hybridMultilevel"/>
    <w:tmpl w:val="2F3A2B0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91384D"/>
    <w:multiLevelType w:val="hybridMultilevel"/>
    <w:tmpl w:val="315636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A9371B8"/>
    <w:multiLevelType w:val="hybridMultilevel"/>
    <w:tmpl w:val="4EF44088"/>
    <w:lvl w:ilvl="0" w:tplc="42D6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B24B2"/>
    <w:multiLevelType w:val="hybridMultilevel"/>
    <w:tmpl w:val="CE5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DB3894"/>
    <w:multiLevelType w:val="hybridMultilevel"/>
    <w:tmpl w:val="9B849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742AFA"/>
    <w:multiLevelType w:val="hybridMultilevel"/>
    <w:tmpl w:val="ECBA4910"/>
    <w:lvl w:ilvl="0" w:tplc="10090011">
      <w:start w:val="1"/>
      <w:numFmt w:val="decimal"/>
      <w:lvlText w:val="%1)"/>
      <w:lvlJc w:val="left"/>
      <w:pPr>
        <w:ind w:left="880" w:hanging="360"/>
      </w:pPr>
    </w:lvl>
    <w:lvl w:ilvl="1" w:tplc="10090019" w:tentative="1">
      <w:start w:val="1"/>
      <w:numFmt w:val="lowerLetter"/>
      <w:lvlText w:val="%2."/>
      <w:lvlJc w:val="left"/>
      <w:pPr>
        <w:ind w:left="1600" w:hanging="360"/>
      </w:pPr>
    </w:lvl>
    <w:lvl w:ilvl="2" w:tplc="1009001B" w:tentative="1">
      <w:start w:val="1"/>
      <w:numFmt w:val="lowerRoman"/>
      <w:lvlText w:val="%3."/>
      <w:lvlJc w:val="right"/>
      <w:pPr>
        <w:ind w:left="2320" w:hanging="180"/>
      </w:pPr>
    </w:lvl>
    <w:lvl w:ilvl="3" w:tplc="1009000F" w:tentative="1">
      <w:start w:val="1"/>
      <w:numFmt w:val="decimal"/>
      <w:lvlText w:val="%4."/>
      <w:lvlJc w:val="left"/>
      <w:pPr>
        <w:ind w:left="3040" w:hanging="360"/>
      </w:pPr>
    </w:lvl>
    <w:lvl w:ilvl="4" w:tplc="10090019" w:tentative="1">
      <w:start w:val="1"/>
      <w:numFmt w:val="lowerLetter"/>
      <w:lvlText w:val="%5."/>
      <w:lvlJc w:val="left"/>
      <w:pPr>
        <w:ind w:left="3760" w:hanging="360"/>
      </w:pPr>
    </w:lvl>
    <w:lvl w:ilvl="5" w:tplc="1009001B" w:tentative="1">
      <w:start w:val="1"/>
      <w:numFmt w:val="lowerRoman"/>
      <w:lvlText w:val="%6."/>
      <w:lvlJc w:val="right"/>
      <w:pPr>
        <w:ind w:left="4480" w:hanging="180"/>
      </w:pPr>
    </w:lvl>
    <w:lvl w:ilvl="6" w:tplc="1009000F" w:tentative="1">
      <w:start w:val="1"/>
      <w:numFmt w:val="decimal"/>
      <w:lvlText w:val="%7."/>
      <w:lvlJc w:val="left"/>
      <w:pPr>
        <w:ind w:left="5200" w:hanging="360"/>
      </w:pPr>
    </w:lvl>
    <w:lvl w:ilvl="7" w:tplc="10090019" w:tentative="1">
      <w:start w:val="1"/>
      <w:numFmt w:val="lowerLetter"/>
      <w:lvlText w:val="%8."/>
      <w:lvlJc w:val="left"/>
      <w:pPr>
        <w:ind w:left="5920" w:hanging="360"/>
      </w:pPr>
    </w:lvl>
    <w:lvl w:ilvl="8" w:tplc="1009001B" w:tentative="1">
      <w:start w:val="1"/>
      <w:numFmt w:val="lowerRoman"/>
      <w:lvlText w:val="%9."/>
      <w:lvlJc w:val="right"/>
      <w:pPr>
        <w:ind w:left="6640" w:hanging="180"/>
      </w:pPr>
    </w:lvl>
  </w:abstractNum>
  <w:abstractNum w:abstractNumId="28" w15:restartNumberingAfterBreak="0">
    <w:nsid w:val="3C3A4B9F"/>
    <w:multiLevelType w:val="hybridMultilevel"/>
    <w:tmpl w:val="C602DFDC"/>
    <w:lvl w:ilvl="0" w:tplc="12141156">
      <w:start w:val="1"/>
      <w:numFmt w:val="lowerRoman"/>
      <w:pStyle w:val="Textboxi"/>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3B467A"/>
    <w:multiLevelType w:val="hybridMultilevel"/>
    <w:tmpl w:val="E0C690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F183F70"/>
    <w:multiLevelType w:val="hybridMultilevel"/>
    <w:tmpl w:val="384ADF30"/>
    <w:lvl w:ilvl="0" w:tplc="307438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01B200A"/>
    <w:multiLevelType w:val="hybridMultilevel"/>
    <w:tmpl w:val="8A0A06B0"/>
    <w:lvl w:ilvl="0" w:tplc="F5DA5D16">
      <w:start w:val="8"/>
      <w:numFmt w:val="decimal"/>
      <w:pStyle w:val="Textbox"/>
      <w:lvlText w:val="%1."/>
      <w:lvlJc w:val="left"/>
      <w:pPr>
        <w:tabs>
          <w:tab w:val="num" w:pos="360"/>
        </w:tabs>
        <w:ind w:left="360" w:hanging="360"/>
      </w:pPr>
      <w:rPr>
        <w:rFonts w:hint="default"/>
      </w:rPr>
    </w:lvl>
    <w:lvl w:ilvl="1" w:tplc="D614349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A908F3"/>
    <w:multiLevelType w:val="hybridMultilevel"/>
    <w:tmpl w:val="AB706D42"/>
    <w:lvl w:ilvl="0" w:tplc="F504304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4B500198"/>
    <w:multiLevelType w:val="hybridMultilevel"/>
    <w:tmpl w:val="8D4E726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503D0C52"/>
    <w:multiLevelType w:val="hybridMultilevel"/>
    <w:tmpl w:val="C87E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00D65"/>
    <w:multiLevelType w:val="hybridMultilevel"/>
    <w:tmpl w:val="D03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03A46"/>
    <w:multiLevelType w:val="hybridMultilevel"/>
    <w:tmpl w:val="34809866"/>
    <w:lvl w:ilvl="0" w:tplc="19201E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35496"/>
    <w:multiLevelType w:val="hybridMultilevel"/>
    <w:tmpl w:val="32427552"/>
    <w:lvl w:ilvl="0" w:tplc="266A3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B50BD"/>
    <w:multiLevelType w:val="singleLevel"/>
    <w:tmpl w:val="B0C29B66"/>
    <w:lvl w:ilvl="0">
      <w:start w:val="1"/>
      <w:numFmt w:val="bullet"/>
      <w:pStyle w:val="tablebullet"/>
      <w:lvlText w:val="▪"/>
      <w:lvlJc w:val="left"/>
      <w:pPr>
        <w:tabs>
          <w:tab w:val="num" w:pos="360"/>
        </w:tabs>
        <w:ind w:left="360" w:hanging="360"/>
      </w:pPr>
      <w:rPr>
        <w:rFonts w:hint="default"/>
        <w:color w:val="auto"/>
      </w:rPr>
    </w:lvl>
  </w:abstractNum>
  <w:abstractNum w:abstractNumId="39" w15:restartNumberingAfterBreak="0">
    <w:nsid w:val="65430376"/>
    <w:multiLevelType w:val="hybridMultilevel"/>
    <w:tmpl w:val="089211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BB5F00"/>
    <w:multiLevelType w:val="hybridMultilevel"/>
    <w:tmpl w:val="7DC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6928E3"/>
    <w:multiLevelType w:val="hybridMultilevel"/>
    <w:tmpl w:val="AEC8B8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9C5D7A"/>
    <w:multiLevelType w:val="hybridMultilevel"/>
    <w:tmpl w:val="6C2E81AE"/>
    <w:lvl w:ilvl="0" w:tplc="FAAE7296">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DD6D83"/>
    <w:multiLevelType w:val="hybridMultilevel"/>
    <w:tmpl w:val="36E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81EB5"/>
    <w:multiLevelType w:val="hybridMultilevel"/>
    <w:tmpl w:val="1316843A"/>
    <w:lvl w:ilvl="0" w:tplc="85B869E0">
      <w:start w:val="1"/>
      <w:numFmt w:val="bullet"/>
      <w:pStyle w:val="ListBullet"/>
      <w:lvlText w:val=""/>
      <w:lvlJc w:val="left"/>
      <w:pPr>
        <w:tabs>
          <w:tab w:val="num" w:pos="0"/>
        </w:tabs>
        <w:ind w:left="283" w:hanging="283"/>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A6F1B"/>
    <w:multiLevelType w:val="hybridMultilevel"/>
    <w:tmpl w:val="F0B6320E"/>
    <w:lvl w:ilvl="0" w:tplc="C26E86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424D7"/>
    <w:multiLevelType w:val="hybridMultilevel"/>
    <w:tmpl w:val="F0D6F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 w:numId="9">
    <w:abstractNumId w:val="0"/>
  </w:num>
  <w:num w:numId="10">
    <w:abstractNumId w:val="44"/>
  </w:num>
  <w:num w:numId="11">
    <w:abstractNumId w:val="31"/>
  </w:num>
  <w:num w:numId="12">
    <w:abstractNumId w:val="18"/>
  </w:num>
  <w:num w:numId="13">
    <w:abstractNumId w:val="28"/>
  </w:num>
  <w:num w:numId="14">
    <w:abstractNumId w:val="14"/>
  </w:num>
  <w:num w:numId="15">
    <w:abstractNumId w:val="3"/>
    <w:lvlOverride w:ilvl="0">
      <w:startOverride w:val="1"/>
    </w:lvlOverride>
  </w:num>
  <w:num w:numId="16">
    <w:abstractNumId w:val="3"/>
    <w:lvlOverride w:ilvl="0">
      <w:startOverride w:val="1"/>
    </w:lvlOverride>
  </w:num>
  <w:num w:numId="17">
    <w:abstractNumId w:val="10"/>
  </w:num>
  <w:num w:numId="18">
    <w:abstractNumId w:val="32"/>
  </w:num>
  <w:num w:numId="19">
    <w:abstractNumId w:val="26"/>
  </w:num>
  <w:num w:numId="20">
    <w:abstractNumId w:val="41"/>
  </w:num>
  <w:num w:numId="21">
    <w:abstractNumId w:val="13"/>
  </w:num>
  <w:num w:numId="22">
    <w:abstractNumId w:val="15"/>
  </w:num>
  <w:num w:numId="23">
    <w:abstractNumId w:val="19"/>
  </w:num>
  <w:num w:numId="24">
    <w:abstractNumId w:val="23"/>
  </w:num>
  <w:num w:numId="25">
    <w:abstractNumId w:val="29"/>
  </w:num>
  <w:num w:numId="26">
    <w:abstractNumId w:val="22"/>
  </w:num>
  <w:num w:numId="27">
    <w:abstractNumId w:val="39"/>
  </w:num>
  <w:num w:numId="28">
    <w:abstractNumId w:val="40"/>
  </w:num>
  <w:num w:numId="29">
    <w:abstractNumId w:val="43"/>
  </w:num>
  <w:num w:numId="30">
    <w:abstractNumId w:val="16"/>
  </w:num>
  <w:num w:numId="31">
    <w:abstractNumId w:val="11"/>
  </w:num>
  <w:num w:numId="32">
    <w:abstractNumId w:val="34"/>
  </w:num>
  <w:num w:numId="33">
    <w:abstractNumId w:val="25"/>
  </w:num>
  <w:num w:numId="34">
    <w:abstractNumId w:val="20"/>
  </w:num>
  <w:num w:numId="35">
    <w:abstractNumId w:val="17"/>
  </w:num>
  <w:num w:numId="36">
    <w:abstractNumId w:val="3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46"/>
  </w:num>
  <w:num w:numId="40">
    <w:abstractNumId w:val="21"/>
  </w:num>
  <w:num w:numId="41">
    <w:abstractNumId w:val="12"/>
  </w:num>
  <w:num w:numId="42">
    <w:abstractNumId w:val="9"/>
  </w:num>
  <w:num w:numId="43">
    <w:abstractNumId w:val="8"/>
  </w:num>
  <w:num w:numId="44">
    <w:abstractNumId w:val="36"/>
  </w:num>
  <w:num w:numId="45">
    <w:abstractNumId w:val="30"/>
  </w:num>
  <w:num w:numId="46">
    <w:abstractNumId w:val="37"/>
  </w:num>
  <w:num w:numId="47">
    <w:abstractNumId w:val="24"/>
  </w:num>
  <w:num w:numId="48">
    <w:abstractNumId w:val="45"/>
  </w:num>
  <w:num w:numId="49">
    <w:abstractNumId w:val="42"/>
  </w:num>
  <w:num w:numId="50">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46081" o:allowincell="f"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77"/>
    <w:rsid w:val="0000068F"/>
    <w:rsid w:val="00000E70"/>
    <w:rsid w:val="000018C4"/>
    <w:rsid w:val="000021B3"/>
    <w:rsid w:val="000034AC"/>
    <w:rsid w:val="0000481A"/>
    <w:rsid w:val="000049CE"/>
    <w:rsid w:val="00004A32"/>
    <w:rsid w:val="00004FCB"/>
    <w:rsid w:val="000054B3"/>
    <w:rsid w:val="000058F1"/>
    <w:rsid w:val="000067E1"/>
    <w:rsid w:val="00006CE4"/>
    <w:rsid w:val="00006D1C"/>
    <w:rsid w:val="00006E11"/>
    <w:rsid w:val="00006FC1"/>
    <w:rsid w:val="0000701C"/>
    <w:rsid w:val="00007081"/>
    <w:rsid w:val="00007661"/>
    <w:rsid w:val="000110F8"/>
    <w:rsid w:val="00012F00"/>
    <w:rsid w:val="00013220"/>
    <w:rsid w:val="00013F19"/>
    <w:rsid w:val="00014561"/>
    <w:rsid w:val="00014BE3"/>
    <w:rsid w:val="00014DE0"/>
    <w:rsid w:val="00014E53"/>
    <w:rsid w:val="0001565C"/>
    <w:rsid w:val="00015E96"/>
    <w:rsid w:val="000160F8"/>
    <w:rsid w:val="00017F65"/>
    <w:rsid w:val="000229A3"/>
    <w:rsid w:val="00022C94"/>
    <w:rsid w:val="0002366F"/>
    <w:rsid w:val="000242A1"/>
    <w:rsid w:val="00024A01"/>
    <w:rsid w:val="0002548C"/>
    <w:rsid w:val="00026904"/>
    <w:rsid w:val="00027CF1"/>
    <w:rsid w:val="00032F27"/>
    <w:rsid w:val="00033261"/>
    <w:rsid w:val="000353D0"/>
    <w:rsid w:val="000359F8"/>
    <w:rsid w:val="00035AC3"/>
    <w:rsid w:val="0003694C"/>
    <w:rsid w:val="00036BB1"/>
    <w:rsid w:val="00037158"/>
    <w:rsid w:val="00037379"/>
    <w:rsid w:val="00037A67"/>
    <w:rsid w:val="00037B57"/>
    <w:rsid w:val="00037E69"/>
    <w:rsid w:val="00037F16"/>
    <w:rsid w:val="00040171"/>
    <w:rsid w:val="000412CE"/>
    <w:rsid w:val="000421DF"/>
    <w:rsid w:val="0004243E"/>
    <w:rsid w:val="00043B14"/>
    <w:rsid w:val="00043ED7"/>
    <w:rsid w:val="000444B5"/>
    <w:rsid w:val="00044696"/>
    <w:rsid w:val="00044E7D"/>
    <w:rsid w:val="00045C38"/>
    <w:rsid w:val="00046A5F"/>
    <w:rsid w:val="0004767C"/>
    <w:rsid w:val="00047AAB"/>
    <w:rsid w:val="00047CA8"/>
    <w:rsid w:val="00050F38"/>
    <w:rsid w:val="00051780"/>
    <w:rsid w:val="00052241"/>
    <w:rsid w:val="00052412"/>
    <w:rsid w:val="00052F05"/>
    <w:rsid w:val="00054086"/>
    <w:rsid w:val="000545BE"/>
    <w:rsid w:val="00054604"/>
    <w:rsid w:val="00056000"/>
    <w:rsid w:val="000565FA"/>
    <w:rsid w:val="00056B5F"/>
    <w:rsid w:val="00057237"/>
    <w:rsid w:val="00057F74"/>
    <w:rsid w:val="000608AE"/>
    <w:rsid w:val="000617CA"/>
    <w:rsid w:val="0006221D"/>
    <w:rsid w:val="00062614"/>
    <w:rsid w:val="00065B44"/>
    <w:rsid w:val="00066F9C"/>
    <w:rsid w:val="00067076"/>
    <w:rsid w:val="0006755B"/>
    <w:rsid w:val="00070277"/>
    <w:rsid w:val="00071379"/>
    <w:rsid w:val="0007151A"/>
    <w:rsid w:val="00072FBF"/>
    <w:rsid w:val="000736F6"/>
    <w:rsid w:val="00075B75"/>
    <w:rsid w:val="00076230"/>
    <w:rsid w:val="000767FF"/>
    <w:rsid w:val="000773EE"/>
    <w:rsid w:val="000774C4"/>
    <w:rsid w:val="00077BC6"/>
    <w:rsid w:val="00080673"/>
    <w:rsid w:val="00080D19"/>
    <w:rsid w:val="00081B86"/>
    <w:rsid w:val="00081FC1"/>
    <w:rsid w:val="000820A2"/>
    <w:rsid w:val="00082113"/>
    <w:rsid w:val="00082993"/>
    <w:rsid w:val="00083882"/>
    <w:rsid w:val="000843A6"/>
    <w:rsid w:val="0008524D"/>
    <w:rsid w:val="000863DD"/>
    <w:rsid w:val="000868DD"/>
    <w:rsid w:val="00086C01"/>
    <w:rsid w:val="000874CF"/>
    <w:rsid w:val="00090695"/>
    <w:rsid w:val="000911E0"/>
    <w:rsid w:val="000940F0"/>
    <w:rsid w:val="00094C94"/>
    <w:rsid w:val="00095EB6"/>
    <w:rsid w:val="000965AF"/>
    <w:rsid w:val="000A0D44"/>
    <w:rsid w:val="000A1DB1"/>
    <w:rsid w:val="000A1F85"/>
    <w:rsid w:val="000A21A7"/>
    <w:rsid w:val="000A2F89"/>
    <w:rsid w:val="000A4A36"/>
    <w:rsid w:val="000A4C56"/>
    <w:rsid w:val="000A4E3A"/>
    <w:rsid w:val="000A5873"/>
    <w:rsid w:val="000A696A"/>
    <w:rsid w:val="000A6ABD"/>
    <w:rsid w:val="000A78D3"/>
    <w:rsid w:val="000A7ECC"/>
    <w:rsid w:val="000B0BB2"/>
    <w:rsid w:val="000B1ADD"/>
    <w:rsid w:val="000B2016"/>
    <w:rsid w:val="000B274B"/>
    <w:rsid w:val="000B2E48"/>
    <w:rsid w:val="000B4BC9"/>
    <w:rsid w:val="000B543A"/>
    <w:rsid w:val="000B5992"/>
    <w:rsid w:val="000B619A"/>
    <w:rsid w:val="000B673E"/>
    <w:rsid w:val="000B6E57"/>
    <w:rsid w:val="000B6FCD"/>
    <w:rsid w:val="000B700D"/>
    <w:rsid w:val="000C03A4"/>
    <w:rsid w:val="000C0EF2"/>
    <w:rsid w:val="000C1A90"/>
    <w:rsid w:val="000C2028"/>
    <w:rsid w:val="000C24DB"/>
    <w:rsid w:val="000C34A8"/>
    <w:rsid w:val="000C4B32"/>
    <w:rsid w:val="000C58C6"/>
    <w:rsid w:val="000C60E1"/>
    <w:rsid w:val="000C67D4"/>
    <w:rsid w:val="000C6B74"/>
    <w:rsid w:val="000C7107"/>
    <w:rsid w:val="000C75D3"/>
    <w:rsid w:val="000C7928"/>
    <w:rsid w:val="000D172D"/>
    <w:rsid w:val="000D2DF0"/>
    <w:rsid w:val="000D468D"/>
    <w:rsid w:val="000D4BEF"/>
    <w:rsid w:val="000D50D1"/>
    <w:rsid w:val="000D521C"/>
    <w:rsid w:val="000D6AD2"/>
    <w:rsid w:val="000D7CAE"/>
    <w:rsid w:val="000E0192"/>
    <w:rsid w:val="000E0560"/>
    <w:rsid w:val="000E0AE5"/>
    <w:rsid w:val="000E1D9C"/>
    <w:rsid w:val="000E2F1F"/>
    <w:rsid w:val="000E3301"/>
    <w:rsid w:val="000E3D96"/>
    <w:rsid w:val="000E44C5"/>
    <w:rsid w:val="000E46D7"/>
    <w:rsid w:val="000E4C90"/>
    <w:rsid w:val="000E55E3"/>
    <w:rsid w:val="000E67C3"/>
    <w:rsid w:val="000E6AEE"/>
    <w:rsid w:val="000E6C8A"/>
    <w:rsid w:val="000E7292"/>
    <w:rsid w:val="000E72E5"/>
    <w:rsid w:val="000E778F"/>
    <w:rsid w:val="000E794E"/>
    <w:rsid w:val="000E794F"/>
    <w:rsid w:val="000E7AAD"/>
    <w:rsid w:val="000E7BCA"/>
    <w:rsid w:val="000E7ED3"/>
    <w:rsid w:val="000F0E31"/>
    <w:rsid w:val="000F1D15"/>
    <w:rsid w:val="000F2C41"/>
    <w:rsid w:val="000F335C"/>
    <w:rsid w:val="000F38D0"/>
    <w:rsid w:val="000F4671"/>
    <w:rsid w:val="000F53B2"/>
    <w:rsid w:val="000F605B"/>
    <w:rsid w:val="00100110"/>
    <w:rsid w:val="00102BFD"/>
    <w:rsid w:val="00102C05"/>
    <w:rsid w:val="00103CFB"/>
    <w:rsid w:val="001055F4"/>
    <w:rsid w:val="00105730"/>
    <w:rsid w:val="00106537"/>
    <w:rsid w:val="0010654B"/>
    <w:rsid w:val="00106BDD"/>
    <w:rsid w:val="00111231"/>
    <w:rsid w:val="001117D7"/>
    <w:rsid w:val="00112A0A"/>
    <w:rsid w:val="00112A1F"/>
    <w:rsid w:val="0011332E"/>
    <w:rsid w:val="00113832"/>
    <w:rsid w:val="00113ECC"/>
    <w:rsid w:val="00116091"/>
    <w:rsid w:val="0011653B"/>
    <w:rsid w:val="0011682E"/>
    <w:rsid w:val="00117352"/>
    <w:rsid w:val="0012001C"/>
    <w:rsid w:val="00120F70"/>
    <w:rsid w:val="001217BA"/>
    <w:rsid w:val="00121EED"/>
    <w:rsid w:val="0012338C"/>
    <w:rsid w:val="00124A32"/>
    <w:rsid w:val="00124ED0"/>
    <w:rsid w:val="00126487"/>
    <w:rsid w:val="00126C25"/>
    <w:rsid w:val="00126F83"/>
    <w:rsid w:val="00127212"/>
    <w:rsid w:val="001278B5"/>
    <w:rsid w:val="001323E6"/>
    <w:rsid w:val="00132EFA"/>
    <w:rsid w:val="00133FF5"/>
    <w:rsid w:val="001343BF"/>
    <w:rsid w:val="001347E4"/>
    <w:rsid w:val="00135820"/>
    <w:rsid w:val="00135AD9"/>
    <w:rsid w:val="00136B5F"/>
    <w:rsid w:val="00137117"/>
    <w:rsid w:val="00137AE4"/>
    <w:rsid w:val="00137CA4"/>
    <w:rsid w:val="00140074"/>
    <w:rsid w:val="001401F5"/>
    <w:rsid w:val="00141397"/>
    <w:rsid w:val="00141451"/>
    <w:rsid w:val="001417FF"/>
    <w:rsid w:val="00141E15"/>
    <w:rsid w:val="00142E3B"/>
    <w:rsid w:val="0014308F"/>
    <w:rsid w:val="00143545"/>
    <w:rsid w:val="00143DCE"/>
    <w:rsid w:val="0014421F"/>
    <w:rsid w:val="00144521"/>
    <w:rsid w:val="00145A73"/>
    <w:rsid w:val="001468C9"/>
    <w:rsid w:val="00146AF4"/>
    <w:rsid w:val="00146ED1"/>
    <w:rsid w:val="00147634"/>
    <w:rsid w:val="00147941"/>
    <w:rsid w:val="0015080D"/>
    <w:rsid w:val="00151A68"/>
    <w:rsid w:val="00151DEA"/>
    <w:rsid w:val="00152A47"/>
    <w:rsid w:val="001561A2"/>
    <w:rsid w:val="00156464"/>
    <w:rsid w:val="00157D1D"/>
    <w:rsid w:val="00160E65"/>
    <w:rsid w:val="00161BCD"/>
    <w:rsid w:val="00162639"/>
    <w:rsid w:val="001626A4"/>
    <w:rsid w:val="001630AE"/>
    <w:rsid w:val="00163C65"/>
    <w:rsid w:val="00164292"/>
    <w:rsid w:val="00164C9B"/>
    <w:rsid w:val="001651A9"/>
    <w:rsid w:val="0016637C"/>
    <w:rsid w:val="00170313"/>
    <w:rsid w:val="0017091F"/>
    <w:rsid w:val="00170B38"/>
    <w:rsid w:val="00171BF5"/>
    <w:rsid w:val="00171E4E"/>
    <w:rsid w:val="00172326"/>
    <w:rsid w:val="0017244E"/>
    <w:rsid w:val="001739DF"/>
    <w:rsid w:val="00173CDA"/>
    <w:rsid w:val="0017589B"/>
    <w:rsid w:val="001779FF"/>
    <w:rsid w:val="00177FD6"/>
    <w:rsid w:val="00180842"/>
    <w:rsid w:val="00180A4C"/>
    <w:rsid w:val="0018331E"/>
    <w:rsid w:val="0018348E"/>
    <w:rsid w:val="001837C7"/>
    <w:rsid w:val="00183837"/>
    <w:rsid w:val="00183CD4"/>
    <w:rsid w:val="00184446"/>
    <w:rsid w:val="001879F8"/>
    <w:rsid w:val="00187A1B"/>
    <w:rsid w:val="00187A34"/>
    <w:rsid w:val="00190A92"/>
    <w:rsid w:val="001917A1"/>
    <w:rsid w:val="0019227A"/>
    <w:rsid w:val="0019237A"/>
    <w:rsid w:val="001952F1"/>
    <w:rsid w:val="00196161"/>
    <w:rsid w:val="00197C10"/>
    <w:rsid w:val="001A0816"/>
    <w:rsid w:val="001A0DAC"/>
    <w:rsid w:val="001A10D1"/>
    <w:rsid w:val="001A11F3"/>
    <w:rsid w:val="001A12D1"/>
    <w:rsid w:val="001A14D8"/>
    <w:rsid w:val="001A230A"/>
    <w:rsid w:val="001A265F"/>
    <w:rsid w:val="001A287D"/>
    <w:rsid w:val="001A3A6E"/>
    <w:rsid w:val="001A3DA2"/>
    <w:rsid w:val="001A3E32"/>
    <w:rsid w:val="001A4371"/>
    <w:rsid w:val="001A438C"/>
    <w:rsid w:val="001A43A8"/>
    <w:rsid w:val="001A5A5F"/>
    <w:rsid w:val="001A6F66"/>
    <w:rsid w:val="001A6FFA"/>
    <w:rsid w:val="001A766A"/>
    <w:rsid w:val="001B014A"/>
    <w:rsid w:val="001B04F4"/>
    <w:rsid w:val="001B0635"/>
    <w:rsid w:val="001B0844"/>
    <w:rsid w:val="001B1250"/>
    <w:rsid w:val="001B15D1"/>
    <w:rsid w:val="001B1904"/>
    <w:rsid w:val="001B2DB4"/>
    <w:rsid w:val="001B3333"/>
    <w:rsid w:val="001B3B2F"/>
    <w:rsid w:val="001B4604"/>
    <w:rsid w:val="001B4935"/>
    <w:rsid w:val="001B6B25"/>
    <w:rsid w:val="001B7A60"/>
    <w:rsid w:val="001B7BE6"/>
    <w:rsid w:val="001B7D7C"/>
    <w:rsid w:val="001C0C57"/>
    <w:rsid w:val="001C1D66"/>
    <w:rsid w:val="001C1F6D"/>
    <w:rsid w:val="001C2419"/>
    <w:rsid w:val="001C391B"/>
    <w:rsid w:val="001C746C"/>
    <w:rsid w:val="001C77D8"/>
    <w:rsid w:val="001C7BBD"/>
    <w:rsid w:val="001D0E21"/>
    <w:rsid w:val="001D1E56"/>
    <w:rsid w:val="001D1FF9"/>
    <w:rsid w:val="001D243D"/>
    <w:rsid w:val="001D2B23"/>
    <w:rsid w:val="001D2F59"/>
    <w:rsid w:val="001D3388"/>
    <w:rsid w:val="001D379B"/>
    <w:rsid w:val="001D41FC"/>
    <w:rsid w:val="001D4417"/>
    <w:rsid w:val="001D4954"/>
    <w:rsid w:val="001D5CF3"/>
    <w:rsid w:val="001D645B"/>
    <w:rsid w:val="001E15FC"/>
    <w:rsid w:val="001E1F3E"/>
    <w:rsid w:val="001E325A"/>
    <w:rsid w:val="001E3BBD"/>
    <w:rsid w:val="001E3CA6"/>
    <w:rsid w:val="001E50BF"/>
    <w:rsid w:val="001E55E4"/>
    <w:rsid w:val="001E69DD"/>
    <w:rsid w:val="001E6E8D"/>
    <w:rsid w:val="001E7A47"/>
    <w:rsid w:val="001E7A4F"/>
    <w:rsid w:val="001F00CB"/>
    <w:rsid w:val="001F09AC"/>
    <w:rsid w:val="001F0F9D"/>
    <w:rsid w:val="001F200A"/>
    <w:rsid w:val="001F294A"/>
    <w:rsid w:val="001F2AF7"/>
    <w:rsid w:val="001F31E2"/>
    <w:rsid w:val="001F3586"/>
    <w:rsid w:val="001F3B94"/>
    <w:rsid w:val="001F4E0A"/>
    <w:rsid w:val="001F689A"/>
    <w:rsid w:val="001F7031"/>
    <w:rsid w:val="001F7D26"/>
    <w:rsid w:val="001F7F60"/>
    <w:rsid w:val="00201A0B"/>
    <w:rsid w:val="00201C14"/>
    <w:rsid w:val="00202327"/>
    <w:rsid w:val="00202657"/>
    <w:rsid w:val="002028D0"/>
    <w:rsid w:val="00203173"/>
    <w:rsid w:val="0020359C"/>
    <w:rsid w:val="00203E0A"/>
    <w:rsid w:val="00204656"/>
    <w:rsid w:val="002048D4"/>
    <w:rsid w:val="002049A6"/>
    <w:rsid w:val="00204E5D"/>
    <w:rsid w:val="0020588A"/>
    <w:rsid w:val="00206201"/>
    <w:rsid w:val="00206979"/>
    <w:rsid w:val="00206986"/>
    <w:rsid w:val="00206F17"/>
    <w:rsid w:val="00207178"/>
    <w:rsid w:val="00207B99"/>
    <w:rsid w:val="00210B03"/>
    <w:rsid w:val="00213465"/>
    <w:rsid w:val="00214DAA"/>
    <w:rsid w:val="00214E07"/>
    <w:rsid w:val="00214E23"/>
    <w:rsid w:val="00214F14"/>
    <w:rsid w:val="00214FA9"/>
    <w:rsid w:val="00215461"/>
    <w:rsid w:val="00215EEA"/>
    <w:rsid w:val="00216E00"/>
    <w:rsid w:val="00216E0D"/>
    <w:rsid w:val="0021785E"/>
    <w:rsid w:val="00217B99"/>
    <w:rsid w:val="00217D45"/>
    <w:rsid w:val="0022004B"/>
    <w:rsid w:val="002215B6"/>
    <w:rsid w:val="002221A6"/>
    <w:rsid w:val="002225EC"/>
    <w:rsid w:val="00222745"/>
    <w:rsid w:val="00222F2B"/>
    <w:rsid w:val="002236E6"/>
    <w:rsid w:val="00223CC7"/>
    <w:rsid w:val="002244DE"/>
    <w:rsid w:val="00224CD5"/>
    <w:rsid w:val="0022535E"/>
    <w:rsid w:val="00227466"/>
    <w:rsid w:val="00227854"/>
    <w:rsid w:val="00231954"/>
    <w:rsid w:val="00232C9C"/>
    <w:rsid w:val="00232FE7"/>
    <w:rsid w:val="002337F5"/>
    <w:rsid w:val="002344B6"/>
    <w:rsid w:val="002354C3"/>
    <w:rsid w:val="00235BE0"/>
    <w:rsid w:val="002372D8"/>
    <w:rsid w:val="00237BC1"/>
    <w:rsid w:val="0024038B"/>
    <w:rsid w:val="002411E1"/>
    <w:rsid w:val="0024121C"/>
    <w:rsid w:val="00241ABE"/>
    <w:rsid w:val="00241ADA"/>
    <w:rsid w:val="002425F0"/>
    <w:rsid w:val="0024306C"/>
    <w:rsid w:val="002441C8"/>
    <w:rsid w:val="0024548C"/>
    <w:rsid w:val="00246C7B"/>
    <w:rsid w:val="00246CDE"/>
    <w:rsid w:val="00250199"/>
    <w:rsid w:val="0025021F"/>
    <w:rsid w:val="00250B6C"/>
    <w:rsid w:val="00252F18"/>
    <w:rsid w:val="00253927"/>
    <w:rsid w:val="002548FE"/>
    <w:rsid w:val="00254924"/>
    <w:rsid w:val="00254A59"/>
    <w:rsid w:val="00255210"/>
    <w:rsid w:val="00255FC1"/>
    <w:rsid w:val="00256A36"/>
    <w:rsid w:val="00256CE9"/>
    <w:rsid w:val="00257551"/>
    <w:rsid w:val="00257B87"/>
    <w:rsid w:val="0026122B"/>
    <w:rsid w:val="00261340"/>
    <w:rsid w:val="00262041"/>
    <w:rsid w:val="00262260"/>
    <w:rsid w:val="00262C01"/>
    <w:rsid w:val="002636D2"/>
    <w:rsid w:val="00263B3E"/>
    <w:rsid w:val="002640A6"/>
    <w:rsid w:val="00264E05"/>
    <w:rsid w:val="002665EE"/>
    <w:rsid w:val="00266D2B"/>
    <w:rsid w:val="002671B6"/>
    <w:rsid w:val="0026746D"/>
    <w:rsid w:val="00267530"/>
    <w:rsid w:val="00267698"/>
    <w:rsid w:val="00270BC6"/>
    <w:rsid w:val="00271A6D"/>
    <w:rsid w:val="0027278A"/>
    <w:rsid w:val="00272C74"/>
    <w:rsid w:val="00272E71"/>
    <w:rsid w:val="002736A1"/>
    <w:rsid w:val="00273E26"/>
    <w:rsid w:val="00275228"/>
    <w:rsid w:val="00275360"/>
    <w:rsid w:val="002755BF"/>
    <w:rsid w:val="002760E1"/>
    <w:rsid w:val="00276998"/>
    <w:rsid w:val="00276BB8"/>
    <w:rsid w:val="0027716B"/>
    <w:rsid w:val="00277B8F"/>
    <w:rsid w:val="00277D89"/>
    <w:rsid w:val="002806D0"/>
    <w:rsid w:val="0028087D"/>
    <w:rsid w:val="002814F0"/>
    <w:rsid w:val="00281659"/>
    <w:rsid w:val="00281772"/>
    <w:rsid w:val="0028179F"/>
    <w:rsid w:val="00281E51"/>
    <w:rsid w:val="002824E9"/>
    <w:rsid w:val="00282AA7"/>
    <w:rsid w:val="0028338C"/>
    <w:rsid w:val="00283B96"/>
    <w:rsid w:val="002841C7"/>
    <w:rsid w:val="0028441A"/>
    <w:rsid w:val="00284DFF"/>
    <w:rsid w:val="00285B3E"/>
    <w:rsid w:val="00285F43"/>
    <w:rsid w:val="00286207"/>
    <w:rsid w:val="0028636B"/>
    <w:rsid w:val="002863E7"/>
    <w:rsid w:val="00286BFE"/>
    <w:rsid w:val="0028730E"/>
    <w:rsid w:val="00287614"/>
    <w:rsid w:val="00287F28"/>
    <w:rsid w:val="002900CB"/>
    <w:rsid w:val="002905F1"/>
    <w:rsid w:val="002913A5"/>
    <w:rsid w:val="00291416"/>
    <w:rsid w:val="00292E15"/>
    <w:rsid w:val="00292F13"/>
    <w:rsid w:val="002930F7"/>
    <w:rsid w:val="00293DE0"/>
    <w:rsid w:val="00294545"/>
    <w:rsid w:val="0029542C"/>
    <w:rsid w:val="00296D5D"/>
    <w:rsid w:val="00296F79"/>
    <w:rsid w:val="002976F0"/>
    <w:rsid w:val="002A04ED"/>
    <w:rsid w:val="002A0821"/>
    <w:rsid w:val="002A0F04"/>
    <w:rsid w:val="002A0F41"/>
    <w:rsid w:val="002A1FD1"/>
    <w:rsid w:val="002A2C29"/>
    <w:rsid w:val="002A3405"/>
    <w:rsid w:val="002A3695"/>
    <w:rsid w:val="002A49C0"/>
    <w:rsid w:val="002A53DB"/>
    <w:rsid w:val="002A5697"/>
    <w:rsid w:val="002A5E48"/>
    <w:rsid w:val="002A6070"/>
    <w:rsid w:val="002A60E1"/>
    <w:rsid w:val="002A6AAC"/>
    <w:rsid w:val="002A6C4C"/>
    <w:rsid w:val="002A6EE0"/>
    <w:rsid w:val="002A6F09"/>
    <w:rsid w:val="002A6F85"/>
    <w:rsid w:val="002A71A6"/>
    <w:rsid w:val="002A75F2"/>
    <w:rsid w:val="002A7941"/>
    <w:rsid w:val="002B05A5"/>
    <w:rsid w:val="002B092E"/>
    <w:rsid w:val="002B112B"/>
    <w:rsid w:val="002B1C5A"/>
    <w:rsid w:val="002B2CF3"/>
    <w:rsid w:val="002B36B2"/>
    <w:rsid w:val="002B3E61"/>
    <w:rsid w:val="002B42DD"/>
    <w:rsid w:val="002B4357"/>
    <w:rsid w:val="002B4755"/>
    <w:rsid w:val="002B4781"/>
    <w:rsid w:val="002B4BA5"/>
    <w:rsid w:val="002B4E2C"/>
    <w:rsid w:val="002B5D09"/>
    <w:rsid w:val="002B7733"/>
    <w:rsid w:val="002C0196"/>
    <w:rsid w:val="002C0748"/>
    <w:rsid w:val="002C0D28"/>
    <w:rsid w:val="002C1C9B"/>
    <w:rsid w:val="002C266F"/>
    <w:rsid w:val="002C38C2"/>
    <w:rsid w:val="002C395F"/>
    <w:rsid w:val="002C3C78"/>
    <w:rsid w:val="002C4E2E"/>
    <w:rsid w:val="002C501D"/>
    <w:rsid w:val="002C52FB"/>
    <w:rsid w:val="002C5965"/>
    <w:rsid w:val="002C6142"/>
    <w:rsid w:val="002C6AD4"/>
    <w:rsid w:val="002C6F61"/>
    <w:rsid w:val="002C7D3F"/>
    <w:rsid w:val="002D0526"/>
    <w:rsid w:val="002D0722"/>
    <w:rsid w:val="002D0C33"/>
    <w:rsid w:val="002D15A3"/>
    <w:rsid w:val="002D173A"/>
    <w:rsid w:val="002D2098"/>
    <w:rsid w:val="002D2D46"/>
    <w:rsid w:val="002D355B"/>
    <w:rsid w:val="002D3950"/>
    <w:rsid w:val="002D3CDD"/>
    <w:rsid w:val="002D3D77"/>
    <w:rsid w:val="002D439A"/>
    <w:rsid w:val="002D47C2"/>
    <w:rsid w:val="002D56A3"/>
    <w:rsid w:val="002D7CC8"/>
    <w:rsid w:val="002D7DFD"/>
    <w:rsid w:val="002E05DC"/>
    <w:rsid w:val="002E188A"/>
    <w:rsid w:val="002E1AF1"/>
    <w:rsid w:val="002E3079"/>
    <w:rsid w:val="002E3113"/>
    <w:rsid w:val="002E3401"/>
    <w:rsid w:val="002E37DF"/>
    <w:rsid w:val="002E4B17"/>
    <w:rsid w:val="002E5534"/>
    <w:rsid w:val="002E72AC"/>
    <w:rsid w:val="002E74AA"/>
    <w:rsid w:val="002E7626"/>
    <w:rsid w:val="002E7F31"/>
    <w:rsid w:val="002F0300"/>
    <w:rsid w:val="002F096D"/>
    <w:rsid w:val="002F0F82"/>
    <w:rsid w:val="002F1937"/>
    <w:rsid w:val="002F1AEF"/>
    <w:rsid w:val="002F201D"/>
    <w:rsid w:val="002F2202"/>
    <w:rsid w:val="002F3865"/>
    <w:rsid w:val="002F3CB0"/>
    <w:rsid w:val="002F3E4E"/>
    <w:rsid w:val="002F69E9"/>
    <w:rsid w:val="003001EB"/>
    <w:rsid w:val="0030023B"/>
    <w:rsid w:val="00301E31"/>
    <w:rsid w:val="003037EE"/>
    <w:rsid w:val="0030460F"/>
    <w:rsid w:val="00304734"/>
    <w:rsid w:val="00304CB0"/>
    <w:rsid w:val="00305EA1"/>
    <w:rsid w:val="00307733"/>
    <w:rsid w:val="00310729"/>
    <w:rsid w:val="00310C75"/>
    <w:rsid w:val="00310DD2"/>
    <w:rsid w:val="00313A59"/>
    <w:rsid w:val="00313AD4"/>
    <w:rsid w:val="00313BCC"/>
    <w:rsid w:val="0031450C"/>
    <w:rsid w:val="00316AA9"/>
    <w:rsid w:val="003173EA"/>
    <w:rsid w:val="00320403"/>
    <w:rsid w:val="00321127"/>
    <w:rsid w:val="00321766"/>
    <w:rsid w:val="0032339F"/>
    <w:rsid w:val="00323648"/>
    <w:rsid w:val="00323BC0"/>
    <w:rsid w:val="00323FA7"/>
    <w:rsid w:val="00324627"/>
    <w:rsid w:val="00324C12"/>
    <w:rsid w:val="0032525E"/>
    <w:rsid w:val="00326406"/>
    <w:rsid w:val="003272DE"/>
    <w:rsid w:val="00327CEB"/>
    <w:rsid w:val="003325AE"/>
    <w:rsid w:val="00332B5D"/>
    <w:rsid w:val="00332EF4"/>
    <w:rsid w:val="003337D1"/>
    <w:rsid w:val="003349B1"/>
    <w:rsid w:val="003357D0"/>
    <w:rsid w:val="00335D78"/>
    <w:rsid w:val="00335FCA"/>
    <w:rsid w:val="003362C3"/>
    <w:rsid w:val="00336C72"/>
    <w:rsid w:val="0033788E"/>
    <w:rsid w:val="00340648"/>
    <w:rsid w:val="0034145E"/>
    <w:rsid w:val="00342146"/>
    <w:rsid w:val="00342AA6"/>
    <w:rsid w:val="00343552"/>
    <w:rsid w:val="00343801"/>
    <w:rsid w:val="003441B4"/>
    <w:rsid w:val="00344864"/>
    <w:rsid w:val="00344BC5"/>
    <w:rsid w:val="00344DDB"/>
    <w:rsid w:val="00345658"/>
    <w:rsid w:val="00345E8B"/>
    <w:rsid w:val="003467AD"/>
    <w:rsid w:val="00346D65"/>
    <w:rsid w:val="00350C20"/>
    <w:rsid w:val="00351AE9"/>
    <w:rsid w:val="00351EDA"/>
    <w:rsid w:val="00354185"/>
    <w:rsid w:val="0035448F"/>
    <w:rsid w:val="0035460B"/>
    <w:rsid w:val="00354CEF"/>
    <w:rsid w:val="00355D14"/>
    <w:rsid w:val="00356BD9"/>
    <w:rsid w:val="0035701B"/>
    <w:rsid w:val="0036088A"/>
    <w:rsid w:val="003608AD"/>
    <w:rsid w:val="00360917"/>
    <w:rsid w:val="00361272"/>
    <w:rsid w:val="00361BF8"/>
    <w:rsid w:val="00362130"/>
    <w:rsid w:val="00362F2B"/>
    <w:rsid w:val="00364B8C"/>
    <w:rsid w:val="0036636D"/>
    <w:rsid w:val="0036672C"/>
    <w:rsid w:val="00366F8C"/>
    <w:rsid w:val="0037036C"/>
    <w:rsid w:val="00371529"/>
    <w:rsid w:val="00372C4D"/>
    <w:rsid w:val="00372F77"/>
    <w:rsid w:val="003733B4"/>
    <w:rsid w:val="003733DC"/>
    <w:rsid w:val="0037367A"/>
    <w:rsid w:val="0037385E"/>
    <w:rsid w:val="00373C9A"/>
    <w:rsid w:val="003778C2"/>
    <w:rsid w:val="00377DF3"/>
    <w:rsid w:val="00380A68"/>
    <w:rsid w:val="00381FA0"/>
    <w:rsid w:val="00382BB5"/>
    <w:rsid w:val="003831BC"/>
    <w:rsid w:val="003837AA"/>
    <w:rsid w:val="00383893"/>
    <w:rsid w:val="00385525"/>
    <w:rsid w:val="00385E67"/>
    <w:rsid w:val="00386B53"/>
    <w:rsid w:val="00387EFF"/>
    <w:rsid w:val="0039059C"/>
    <w:rsid w:val="0039114F"/>
    <w:rsid w:val="00391A0F"/>
    <w:rsid w:val="00391DAE"/>
    <w:rsid w:val="00391E24"/>
    <w:rsid w:val="00392C2F"/>
    <w:rsid w:val="00392EF5"/>
    <w:rsid w:val="0039301A"/>
    <w:rsid w:val="00394DAF"/>
    <w:rsid w:val="00395219"/>
    <w:rsid w:val="00395400"/>
    <w:rsid w:val="00396010"/>
    <w:rsid w:val="003A0320"/>
    <w:rsid w:val="003A0421"/>
    <w:rsid w:val="003A0B8A"/>
    <w:rsid w:val="003A13B2"/>
    <w:rsid w:val="003A151C"/>
    <w:rsid w:val="003A21B1"/>
    <w:rsid w:val="003A2390"/>
    <w:rsid w:val="003A2D15"/>
    <w:rsid w:val="003A2E21"/>
    <w:rsid w:val="003A437E"/>
    <w:rsid w:val="003A6293"/>
    <w:rsid w:val="003A7366"/>
    <w:rsid w:val="003A7891"/>
    <w:rsid w:val="003B03E9"/>
    <w:rsid w:val="003B0449"/>
    <w:rsid w:val="003B1669"/>
    <w:rsid w:val="003B1BDA"/>
    <w:rsid w:val="003B1C23"/>
    <w:rsid w:val="003B2519"/>
    <w:rsid w:val="003B2FE5"/>
    <w:rsid w:val="003B395A"/>
    <w:rsid w:val="003B44F9"/>
    <w:rsid w:val="003B470F"/>
    <w:rsid w:val="003B596C"/>
    <w:rsid w:val="003B638A"/>
    <w:rsid w:val="003B70B4"/>
    <w:rsid w:val="003B76FC"/>
    <w:rsid w:val="003C00DA"/>
    <w:rsid w:val="003C177B"/>
    <w:rsid w:val="003C19EF"/>
    <w:rsid w:val="003C4688"/>
    <w:rsid w:val="003C4809"/>
    <w:rsid w:val="003C5C08"/>
    <w:rsid w:val="003C70B1"/>
    <w:rsid w:val="003C73E7"/>
    <w:rsid w:val="003C755C"/>
    <w:rsid w:val="003D0BBE"/>
    <w:rsid w:val="003D1701"/>
    <w:rsid w:val="003D19EF"/>
    <w:rsid w:val="003D21EE"/>
    <w:rsid w:val="003D3BD2"/>
    <w:rsid w:val="003D3D62"/>
    <w:rsid w:val="003D407C"/>
    <w:rsid w:val="003D45AE"/>
    <w:rsid w:val="003D4680"/>
    <w:rsid w:val="003D4A61"/>
    <w:rsid w:val="003D4AAD"/>
    <w:rsid w:val="003D5220"/>
    <w:rsid w:val="003D6525"/>
    <w:rsid w:val="003D721B"/>
    <w:rsid w:val="003D77A0"/>
    <w:rsid w:val="003E078D"/>
    <w:rsid w:val="003E1B98"/>
    <w:rsid w:val="003E3A24"/>
    <w:rsid w:val="003E3C48"/>
    <w:rsid w:val="003E4065"/>
    <w:rsid w:val="003E449E"/>
    <w:rsid w:val="003E7913"/>
    <w:rsid w:val="003E79E0"/>
    <w:rsid w:val="003E7D07"/>
    <w:rsid w:val="003E7FED"/>
    <w:rsid w:val="003F062D"/>
    <w:rsid w:val="003F0654"/>
    <w:rsid w:val="003F0C60"/>
    <w:rsid w:val="003F11D1"/>
    <w:rsid w:val="003F3C3D"/>
    <w:rsid w:val="003F3CE1"/>
    <w:rsid w:val="003F412E"/>
    <w:rsid w:val="003F4695"/>
    <w:rsid w:val="003F495D"/>
    <w:rsid w:val="003F5157"/>
    <w:rsid w:val="003F53F4"/>
    <w:rsid w:val="003F6A93"/>
    <w:rsid w:val="0040006F"/>
    <w:rsid w:val="0040018E"/>
    <w:rsid w:val="00400C37"/>
    <w:rsid w:val="00401032"/>
    <w:rsid w:val="00401E95"/>
    <w:rsid w:val="0040229F"/>
    <w:rsid w:val="0040262A"/>
    <w:rsid w:val="00402EE7"/>
    <w:rsid w:val="004031C1"/>
    <w:rsid w:val="00403529"/>
    <w:rsid w:val="00404176"/>
    <w:rsid w:val="004048BB"/>
    <w:rsid w:val="00404E5C"/>
    <w:rsid w:val="0040526D"/>
    <w:rsid w:val="00405652"/>
    <w:rsid w:val="00405F13"/>
    <w:rsid w:val="00406A98"/>
    <w:rsid w:val="00407B49"/>
    <w:rsid w:val="00407EFC"/>
    <w:rsid w:val="00410236"/>
    <w:rsid w:val="004107A4"/>
    <w:rsid w:val="004111ED"/>
    <w:rsid w:val="00411306"/>
    <w:rsid w:val="0041286C"/>
    <w:rsid w:val="00412CA3"/>
    <w:rsid w:val="0041370B"/>
    <w:rsid w:val="00415099"/>
    <w:rsid w:val="0041523C"/>
    <w:rsid w:val="0041572E"/>
    <w:rsid w:val="0041605B"/>
    <w:rsid w:val="00416959"/>
    <w:rsid w:val="00416EE6"/>
    <w:rsid w:val="004219BC"/>
    <w:rsid w:val="0042245A"/>
    <w:rsid w:val="00422EC4"/>
    <w:rsid w:val="0042332B"/>
    <w:rsid w:val="00423A3D"/>
    <w:rsid w:val="00424973"/>
    <w:rsid w:val="004250E8"/>
    <w:rsid w:val="0042532E"/>
    <w:rsid w:val="0042697B"/>
    <w:rsid w:val="00430E19"/>
    <w:rsid w:val="00432C50"/>
    <w:rsid w:val="00432ECE"/>
    <w:rsid w:val="004335BB"/>
    <w:rsid w:val="00433C75"/>
    <w:rsid w:val="00434906"/>
    <w:rsid w:val="00434B51"/>
    <w:rsid w:val="00436D67"/>
    <w:rsid w:val="004378A4"/>
    <w:rsid w:val="00437927"/>
    <w:rsid w:val="00437C4A"/>
    <w:rsid w:val="00441158"/>
    <w:rsid w:val="00441DA1"/>
    <w:rsid w:val="00442CAF"/>
    <w:rsid w:val="0044334B"/>
    <w:rsid w:val="004433F5"/>
    <w:rsid w:val="00443751"/>
    <w:rsid w:val="00443D33"/>
    <w:rsid w:val="004451CE"/>
    <w:rsid w:val="004451E5"/>
    <w:rsid w:val="00445346"/>
    <w:rsid w:val="004454B1"/>
    <w:rsid w:val="0044550D"/>
    <w:rsid w:val="00445A80"/>
    <w:rsid w:val="00445BDC"/>
    <w:rsid w:val="00446085"/>
    <w:rsid w:val="0045061E"/>
    <w:rsid w:val="004506FF"/>
    <w:rsid w:val="00451A58"/>
    <w:rsid w:val="00452BE0"/>
    <w:rsid w:val="00452C92"/>
    <w:rsid w:val="004535E7"/>
    <w:rsid w:val="004548DB"/>
    <w:rsid w:val="00454CE3"/>
    <w:rsid w:val="00454E1B"/>
    <w:rsid w:val="00455C20"/>
    <w:rsid w:val="00457086"/>
    <w:rsid w:val="0045751C"/>
    <w:rsid w:val="0046050A"/>
    <w:rsid w:val="00461068"/>
    <w:rsid w:val="004610AB"/>
    <w:rsid w:val="00461226"/>
    <w:rsid w:val="004613E3"/>
    <w:rsid w:val="00462189"/>
    <w:rsid w:val="00464152"/>
    <w:rsid w:val="004645F2"/>
    <w:rsid w:val="00464B52"/>
    <w:rsid w:val="0046547B"/>
    <w:rsid w:val="00465C26"/>
    <w:rsid w:val="00465F4D"/>
    <w:rsid w:val="00467AB4"/>
    <w:rsid w:val="00470250"/>
    <w:rsid w:val="0047042C"/>
    <w:rsid w:val="004705BF"/>
    <w:rsid w:val="00470A86"/>
    <w:rsid w:val="00470BE2"/>
    <w:rsid w:val="00471186"/>
    <w:rsid w:val="004720BF"/>
    <w:rsid w:val="004724FC"/>
    <w:rsid w:val="00474043"/>
    <w:rsid w:val="00474CFD"/>
    <w:rsid w:val="004753EA"/>
    <w:rsid w:val="00475414"/>
    <w:rsid w:val="00476550"/>
    <w:rsid w:val="0047679A"/>
    <w:rsid w:val="00476F7A"/>
    <w:rsid w:val="00477101"/>
    <w:rsid w:val="004774AB"/>
    <w:rsid w:val="004779CB"/>
    <w:rsid w:val="00477F62"/>
    <w:rsid w:val="00480A45"/>
    <w:rsid w:val="00483858"/>
    <w:rsid w:val="0048460B"/>
    <w:rsid w:val="00485049"/>
    <w:rsid w:val="004857C9"/>
    <w:rsid w:val="004858B1"/>
    <w:rsid w:val="00487548"/>
    <w:rsid w:val="00491D5C"/>
    <w:rsid w:val="0049201F"/>
    <w:rsid w:val="004926DD"/>
    <w:rsid w:val="00492D95"/>
    <w:rsid w:val="00492DFD"/>
    <w:rsid w:val="004942CA"/>
    <w:rsid w:val="00494AB7"/>
    <w:rsid w:val="004950F2"/>
    <w:rsid w:val="00496965"/>
    <w:rsid w:val="00497655"/>
    <w:rsid w:val="0049786B"/>
    <w:rsid w:val="004A06C8"/>
    <w:rsid w:val="004A06D3"/>
    <w:rsid w:val="004A0919"/>
    <w:rsid w:val="004A093B"/>
    <w:rsid w:val="004A1359"/>
    <w:rsid w:val="004A1DAD"/>
    <w:rsid w:val="004A211D"/>
    <w:rsid w:val="004A38B8"/>
    <w:rsid w:val="004A3934"/>
    <w:rsid w:val="004A4B5D"/>
    <w:rsid w:val="004A5B04"/>
    <w:rsid w:val="004A645E"/>
    <w:rsid w:val="004A649D"/>
    <w:rsid w:val="004A7039"/>
    <w:rsid w:val="004A767C"/>
    <w:rsid w:val="004A7C1A"/>
    <w:rsid w:val="004B1F96"/>
    <w:rsid w:val="004B2102"/>
    <w:rsid w:val="004B2DF5"/>
    <w:rsid w:val="004B3B9B"/>
    <w:rsid w:val="004B3F73"/>
    <w:rsid w:val="004B4ABC"/>
    <w:rsid w:val="004B74EA"/>
    <w:rsid w:val="004B7524"/>
    <w:rsid w:val="004C0494"/>
    <w:rsid w:val="004C0EB6"/>
    <w:rsid w:val="004C33C5"/>
    <w:rsid w:val="004C616A"/>
    <w:rsid w:val="004C6927"/>
    <w:rsid w:val="004C6C50"/>
    <w:rsid w:val="004C7FCF"/>
    <w:rsid w:val="004D0A19"/>
    <w:rsid w:val="004D107B"/>
    <w:rsid w:val="004D165B"/>
    <w:rsid w:val="004D1B5A"/>
    <w:rsid w:val="004D2FC1"/>
    <w:rsid w:val="004D342E"/>
    <w:rsid w:val="004D3ED9"/>
    <w:rsid w:val="004D3F90"/>
    <w:rsid w:val="004D3FDC"/>
    <w:rsid w:val="004D4412"/>
    <w:rsid w:val="004D4670"/>
    <w:rsid w:val="004D538E"/>
    <w:rsid w:val="004D5680"/>
    <w:rsid w:val="004D618A"/>
    <w:rsid w:val="004D6AA5"/>
    <w:rsid w:val="004D6FD3"/>
    <w:rsid w:val="004D78C3"/>
    <w:rsid w:val="004E05D9"/>
    <w:rsid w:val="004E0658"/>
    <w:rsid w:val="004E0BE5"/>
    <w:rsid w:val="004E0CA2"/>
    <w:rsid w:val="004E23BA"/>
    <w:rsid w:val="004E3859"/>
    <w:rsid w:val="004E5E36"/>
    <w:rsid w:val="004E6DA5"/>
    <w:rsid w:val="004E7825"/>
    <w:rsid w:val="004E7967"/>
    <w:rsid w:val="004E7D15"/>
    <w:rsid w:val="004F09D2"/>
    <w:rsid w:val="004F0FED"/>
    <w:rsid w:val="004F1FB0"/>
    <w:rsid w:val="004F26FA"/>
    <w:rsid w:val="004F439A"/>
    <w:rsid w:val="004F4902"/>
    <w:rsid w:val="004F5743"/>
    <w:rsid w:val="004F5920"/>
    <w:rsid w:val="004F608F"/>
    <w:rsid w:val="004F7B77"/>
    <w:rsid w:val="004F7BA6"/>
    <w:rsid w:val="00500629"/>
    <w:rsid w:val="005013FE"/>
    <w:rsid w:val="005014B5"/>
    <w:rsid w:val="00501D05"/>
    <w:rsid w:val="00502316"/>
    <w:rsid w:val="005023DB"/>
    <w:rsid w:val="005029DB"/>
    <w:rsid w:val="00503BB7"/>
    <w:rsid w:val="00503C89"/>
    <w:rsid w:val="0050435C"/>
    <w:rsid w:val="00505678"/>
    <w:rsid w:val="00506501"/>
    <w:rsid w:val="00506B29"/>
    <w:rsid w:val="00507D25"/>
    <w:rsid w:val="0051080F"/>
    <w:rsid w:val="00510D90"/>
    <w:rsid w:val="0051168C"/>
    <w:rsid w:val="0051198B"/>
    <w:rsid w:val="00513705"/>
    <w:rsid w:val="005149E5"/>
    <w:rsid w:val="00515C36"/>
    <w:rsid w:val="00516C77"/>
    <w:rsid w:val="0051765A"/>
    <w:rsid w:val="00520CA8"/>
    <w:rsid w:val="005219A1"/>
    <w:rsid w:val="00521DEE"/>
    <w:rsid w:val="0052209A"/>
    <w:rsid w:val="00522209"/>
    <w:rsid w:val="00522586"/>
    <w:rsid w:val="005228FD"/>
    <w:rsid w:val="00522AAB"/>
    <w:rsid w:val="0052492D"/>
    <w:rsid w:val="00524A93"/>
    <w:rsid w:val="00524AFB"/>
    <w:rsid w:val="00525DF5"/>
    <w:rsid w:val="0052737A"/>
    <w:rsid w:val="005274BA"/>
    <w:rsid w:val="005275AB"/>
    <w:rsid w:val="005303B6"/>
    <w:rsid w:val="00530593"/>
    <w:rsid w:val="00530D33"/>
    <w:rsid w:val="00531CDC"/>
    <w:rsid w:val="0053267B"/>
    <w:rsid w:val="005326CE"/>
    <w:rsid w:val="00532932"/>
    <w:rsid w:val="0053355D"/>
    <w:rsid w:val="0053402C"/>
    <w:rsid w:val="0053485F"/>
    <w:rsid w:val="0053573D"/>
    <w:rsid w:val="00535D2B"/>
    <w:rsid w:val="005362BD"/>
    <w:rsid w:val="005366DE"/>
    <w:rsid w:val="00536986"/>
    <w:rsid w:val="0053747D"/>
    <w:rsid w:val="0054019C"/>
    <w:rsid w:val="005403F5"/>
    <w:rsid w:val="00540975"/>
    <w:rsid w:val="00540B1D"/>
    <w:rsid w:val="005413D8"/>
    <w:rsid w:val="00541710"/>
    <w:rsid w:val="00541C1C"/>
    <w:rsid w:val="00542C47"/>
    <w:rsid w:val="0054363F"/>
    <w:rsid w:val="0054417C"/>
    <w:rsid w:val="005447E7"/>
    <w:rsid w:val="00545006"/>
    <w:rsid w:val="00545150"/>
    <w:rsid w:val="005458A6"/>
    <w:rsid w:val="005459BE"/>
    <w:rsid w:val="00545EE4"/>
    <w:rsid w:val="005463FB"/>
    <w:rsid w:val="00546419"/>
    <w:rsid w:val="00550451"/>
    <w:rsid w:val="00550958"/>
    <w:rsid w:val="00550A18"/>
    <w:rsid w:val="00550E15"/>
    <w:rsid w:val="00551106"/>
    <w:rsid w:val="00551642"/>
    <w:rsid w:val="0055166E"/>
    <w:rsid w:val="0055261D"/>
    <w:rsid w:val="00552BAB"/>
    <w:rsid w:val="00552C30"/>
    <w:rsid w:val="00553FC6"/>
    <w:rsid w:val="00554555"/>
    <w:rsid w:val="005560FE"/>
    <w:rsid w:val="0055614F"/>
    <w:rsid w:val="00560381"/>
    <w:rsid w:val="00560886"/>
    <w:rsid w:val="00560D4E"/>
    <w:rsid w:val="00560D70"/>
    <w:rsid w:val="0056164F"/>
    <w:rsid w:val="0056183F"/>
    <w:rsid w:val="00563EC6"/>
    <w:rsid w:val="005640CE"/>
    <w:rsid w:val="005643E3"/>
    <w:rsid w:val="0056554D"/>
    <w:rsid w:val="00565C91"/>
    <w:rsid w:val="005666A5"/>
    <w:rsid w:val="005671CC"/>
    <w:rsid w:val="00567F3A"/>
    <w:rsid w:val="0057050F"/>
    <w:rsid w:val="00571651"/>
    <w:rsid w:val="005721A3"/>
    <w:rsid w:val="005724EB"/>
    <w:rsid w:val="005724FF"/>
    <w:rsid w:val="00572804"/>
    <w:rsid w:val="005733B2"/>
    <w:rsid w:val="00573DCC"/>
    <w:rsid w:val="00574CB8"/>
    <w:rsid w:val="005752D2"/>
    <w:rsid w:val="00575777"/>
    <w:rsid w:val="00575DA4"/>
    <w:rsid w:val="00576F07"/>
    <w:rsid w:val="00577476"/>
    <w:rsid w:val="005778CD"/>
    <w:rsid w:val="00577CD7"/>
    <w:rsid w:val="00581191"/>
    <w:rsid w:val="005814EA"/>
    <w:rsid w:val="00581D44"/>
    <w:rsid w:val="005825A4"/>
    <w:rsid w:val="0058267B"/>
    <w:rsid w:val="00583B32"/>
    <w:rsid w:val="00583F27"/>
    <w:rsid w:val="00585A3F"/>
    <w:rsid w:val="00587B31"/>
    <w:rsid w:val="00590D7C"/>
    <w:rsid w:val="005912A1"/>
    <w:rsid w:val="00592627"/>
    <w:rsid w:val="00592EE5"/>
    <w:rsid w:val="00594FEA"/>
    <w:rsid w:val="005960C1"/>
    <w:rsid w:val="00596AD3"/>
    <w:rsid w:val="005A0B46"/>
    <w:rsid w:val="005A0F2D"/>
    <w:rsid w:val="005A11AD"/>
    <w:rsid w:val="005A1734"/>
    <w:rsid w:val="005A1CD1"/>
    <w:rsid w:val="005A2432"/>
    <w:rsid w:val="005A323C"/>
    <w:rsid w:val="005A3B3E"/>
    <w:rsid w:val="005A544B"/>
    <w:rsid w:val="005A6A65"/>
    <w:rsid w:val="005B0066"/>
    <w:rsid w:val="005B1095"/>
    <w:rsid w:val="005B1773"/>
    <w:rsid w:val="005B177D"/>
    <w:rsid w:val="005B24BD"/>
    <w:rsid w:val="005B281E"/>
    <w:rsid w:val="005B336E"/>
    <w:rsid w:val="005B40DA"/>
    <w:rsid w:val="005B4685"/>
    <w:rsid w:val="005B4CA4"/>
    <w:rsid w:val="005B5AB6"/>
    <w:rsid w:val="005B614D"/>
    <w:rsid w:val="005B6427"/>
    <w:rsid w:val="005B787E"/>
    <w:rsid w:val="005C0A3A"/>
    <w:rsid w:val="005C2ADE"/>
    <w:rsid w:val="005C373C"/>
    <w:rsid w:val="005C37D7"/>
    <w:rsid w:val="005C3BC5"/>
    <w:rsid w:val="005C42D6"/>
    <w:rsid w:val="005C4688"/>
    <w:rsid w:val="005C53DA"/>
    <w:rsid w:val="005C6E90"/>
    <w:rsid w:val="005C72DD"/>
    <w:rsid w:val="005C7AD7"/>
    <w:rsid w:val="005D029D"/>
    <w:rsid w:val="005D09F9"/>
    <w:rsid w:val="005D13BC"/>
    <w:rsid w:val="005D1C58"/>
    <w:rsid w:val="005D2348"/>
    <w:rsid w:val="005D4257"/>
    <w:rsid w:val="005D5288"/>
    <w:rsid w:val="005D557F"/>
    <w:rsid w:val="005E0623"/>
    <w:rsid w:val="005E0B10"/>
    <w:rsid w:val="005E183F"/>
    <w:rsid w:val="005E27A2"/>
    <w:rsid w:val="005E3A93"/>
    <w:rsid w:val="005E490C"/>
    <w:rsid w:val="005E4FEA"/>
    <w:rsid w:val="005E5D5F"/>
    <w:rsid w:val="005E61B2"/>
    <w:rsid w:val="005E6F8C"/>
    <w:rsid w:val="005E6F98"/>
    <w:rsid w:val="005E71F0"/>
    <w:rsid w:val="005F12B4"/>
    <w:rsid w:val="005F1556"/>
    <w:rsid w:val="005F1636"/>
    <w:rsid w:val="005F2214"/>
    <w:rsid w:val="005F35F0"/>
    <w:rsid w:val="005F36A4"/>
    <w:rsid w:val="005F40BE"/>
    <w:rsid w:val="005F46FE"/>
    <w:rsid w:val="005F4FDB"/>
    <w:rsid w:val="005F561D"/>
    <w:rsid w:val="005F6335"/>
    <w:rsid w:val="005F7C16"/>
    <w:rsid w:val="006002BB"/>
    <w:rsid w:val="0060107B"/>
    <w:rsid w:val="00601349"/>
    <w:rsid w:val="00601449"/>
    <w:rsid w:val="00601F84"/>
    <w:rsid w:val="006021B3"/>
    <w:rsid w:val="006045BD"/>
    <w:rsid w:val="00606C0F"/>
    <w:rsid w:val="00607651"/>
    <w:rsid w:val="00607D0A"/>
    <w:rsid w:val="00607F99"/>
    <w:rsid w:val="006102F8"/>
    <w:rsid w:val="00610800"/>
    <w:rsid w:val="0061087B"/>
    <w:rsid w:val="00610C27"/>
    <w:rsid w:val="00611C2B"/>
    <w:rsid w:val="0061376E"/>
    <w:rsid w:val="00613E46"/>
    <w:rsid w:val="006141A2"/>
    <w:rsid w:val="00615444"/>
    <w:rsid w:val="0061691A"/>
    <w:rsid w:val="00617CB5"/>
    <w:rsid w:val="00617DC0"/>
    <w:rsid w:val="00621536"/>
    <w:rsid w:val="0062172B"/>
    <w:rsid w:val="006222B1"/>
    <w:rsid w:val="00623BC0"/>
    <w:rsid w:val="00624607"/>
    <w:rsid w:val="00624A47"/>
    <w:rsid w:val="00625309"/>
    <w:rsid w:val="00625640"/>
    <w:rsid w:val="00625747"/>
    <w:rsid w:val="00625962"/>
    <w:rsid w:val="00625BEA"/>
    <w:rsid w:val="0062681F"/>
    <w:rsid w:val="0062693C"/>
    <w:rsid w:val="00631430"/>
    <w:rsid w:val="00631AD2"/>
    <w:rsid w:val="00631E94"/>
    <w:rsid w:val="0063235C"/>
    <w:rsid w:val="006338ED"/>
    <w:rsid w:val="00634166"/>
    <w:rsid w:val="00634773"/>
    <w:rsid w:val="006347AE"/>
    <w:rsid w:val="00635F68"/>
    <w:rsid w:val="00636BFC"/>
    <w:rsid w:val="00637054"/>
    <w:rsid w:val="006415B6"/>
    <w:rsid w:val="00642006"/>
    <w:rsid w:val="006426D7"/>
    <w:rsid w:val="00642D8B"/>
    <w:rsid w:val="0064476F"/>
    <w:rsid w:val="00645A80"/>
    <w:rsid w:val="006464F1"/>
    <w:rsid w:val="00646566"/>
    <w:rsid w:val="00646745"/>
    <w:rsid w:val="00646821"/>
    <w:rsid w:val="0064693F"/>
    <w:rsid w:val="00647073"/>
    <w:rsid w:val="0064790A"/>
    <w:rsid w:val="00651290"/>
    <w:rsid w:val="00651B19"/>
    <w:rsid w:val="00654AEE"/>
    <w:rsid w:val="00654E2B"/>
    <w:rsid w:val="00656051"/>
    <w:rsid w:val="0065612F"/>
    <w:rsid w:val="00657352"/>
    <w:rsid w:val="0065736F"/>
    <w:rsid w:val="006579F3"/>
    <w:rsid w:val="00657FDB"/>
    <w:rsid w:val="00660CED"/>
    <w:rsid w:val="00661AF9"/>
    <w:rsid w:val="00661D94"/>
    <w:rsid w:val="00661E96"/>
    <w:rsid w:val="00662E1C"/>
    <w:rsid w:val="00663449"/>
    <w:rsid w:val="006639AA"/>
    <w:rsid w:val="00663B4C"/>
    <w:rsid w:val="00664199"/>
    <w:rsid w:val="00664273"/>
    <w:rsid w:val="00665041"/>
    <w:rsid w:val="006651A4"/>
    <w:rsid w:val="0066541A"/>
    <w:rsid w:val="00666786"/>
    <w:rsid w:val="006668CD"/>
    <w:rsid w:val="0067132D"/>
    <w:rsid w:val="00671700"/>
    <w:rsid w:val="0067312A"/>
    <w:rsid w:val="0067339C"/>
    <w:rsid w:val="0067367A"/>
    <w:rsid w:val="00675D9B"/>
    <w:rsid w:val="00676DED"/>
    <w:rsid w:val="00680495"/>
    <w:rsid w:val="00681663"/>
    <w:rsid w:val="00682121"/>
    <w:rsid w:val="00682510"/>
    <w:rsid w:val="00682B98"/>
    <w:rsid w:val="006839E0"/>
    <w:rsid w:val="00683E92"/>
    <w:rsid w:val="00685488"/>
    <w:rsid w:val="00685884"/>
    <w:rsid w:val="006878E3"/>
    <w:rsid w:val="00690133"/>
    <w:rsid w:val="0069032A"/>
    <w:rsid w:val="00690721"/>
    <w:rsid w:val="00690B33"/>
    <w:rsid w:val="006915CA"/>
    <w:rsid w:val="00693223"/>
    <w:rsid w:val="0069378E"/>
    <w:rsid w:val="00694262"/>
    <w:rsid w:val="0069444B"/>
    <w:rsid w:val="00694F32"/>
    <w:rsid w:val="006951F0"/>
    <w:rsid w:val="00696419"/>
    <w:rsid w:val="00697E81"/>
    <w:rsid w:val="00697ECA"/>
    <w:rsid w:val="006A00D4"/>
    <w:rsid w:val="006A01F0"/>
    <w:rsid w:val="006A0D37"/>
    <w:rsid w:val="006A0DDE"/>
    <w:rsid w:val="006A1306"/>
    <w:rsid w:val="006A1912"/>
    <w:rsid w:val="006A207A"/>
    <w:rsid w:val="006A2C8C"/>
    <w:rsid w:val="006A302A"/>
    <w:rsid w:val="006A323B"/>
    <w:rsid w:val="006A3AC3"/>
    <w:rsid w:val="006A3D0B"/>
    <w:rsid w:val="006A6172"/>
    <w:rsid w:val="006A6230"/>
    <w:rsid w:val="006A6397"/>
    <w:rsid w:val="006A75D4"/>
    <w:rsid w:val="006A7D49"/>
    <w:rsid w:val="006B05AB"/>
    <w:rsid w:val="006B0733"/>
    <w:rsid w:val="006B5795"/>
    <w:rsid w:val="006B5E50"/>
    <w:rsid w:val="006B5E7E"/>
    <w:rsid w:val="006B719F"/>
    <w:rsid w:val="006C0A86"/>
    <w:rsid w:val="006C0D9E"/>
    <w:rsid w:val="006C127A"/>
    <w:rsid w:val="006C1C09"/>
    <w:rsid w:val="006C1F56"/>
    <w:rsid w:val="006C24BC"/>
    <w:rsid w:val="006C2948"/>
    <w:rsid w:val="006C3239"/>
    <w:rsid w:val="006C3600"/>
    <w:rsid w:val="006C3E2D"/>
    <w:rsid w:val="006C4301"/>
    <w:rsid w:val="006C6EC9"/>
    <w:rsid w:val="006C751E"/>
    <w:rsid w:val="006C7909"/>
    <w:rsid w:val="006D0663"/>
    <w:rsid w:val="006D0AF9"/>
    <w:rsid w:val="006D11EA"/>
    <w:rsid w:val="006D16E0"/>
    <w:rsid w:val="006D1C50"/>
    <w:rsid w:val="006D2338"/>
    <w:rsid w:val="006D2A56"/>
    <w:rsid w:val="006D5503"/>
    <w:rsid w:val="006D5792"/>
    <w:rsid w:val="006D592E"/>
    <w:rsid w:val="006D5F75"/>
    <w:rsid w:val="006D676B"/>
    <w:rsid w:val="006D6F68"/>
    <w:rsid w:val="006D70D8"/>
    <w:rsid w:val="006D741D"/>
    <w:rsid w:val="006E0C2F"/>
    <w:rsid w:val="006E10CB"/>
    <w:rsid w:val="006E3B18"/>
    <w:rsid w:val="006E3E79"/>
    <w:rsid w:val="006E3E8E"/>
    <w:rsid w:val="006E3EC9"/>
    <w:rsid w:val="006E5303"/>
    <w:rsid w:val="006E5821"/>
    <w:rsid w:val="006E58B5"/>
    <w:rsid w:val="006E634D"/>
    <w:rsid w:val="006E69F3"/>
    <w:rsid w:val="006E6FE9"/>
    <w:rsid w:val="006E7447"/>
    <w:rsid w:val="006F0D0E"/>
    <w:rsid w:val="006F1FB7"/>
    <w:rsid w:val="006F208B"/>
    <w:rsid w:val="006F25DD"/>
    <w:rsid w:val="006F3D6D"/>
    <w:rsid w:val="006F59DA"/>
    <w:rsid w:val="006F61F7"/>
    <w:rsid w:val="006F6693"/>
    <w:rsid w:val="0070138F"/>
    <w:rsid w:val="007040F8"/>
    <w:rsid w:val="00705D28"/>
    <w:rsid w:val="007070A6"/>
    <w:rsid w:val="00707147"/>
    <w:rsid w:val="007100F4"/>
    <w:rsid w:val="00710CD7"/>
    <w:rsid w:val="00710F23"/>
    <w:rsid w:val="007118B3"/>
    <w:rsid w:val="00711D6F"/>
    <w:rsid w:val="00712956"/>
    <w:rsid w:val="007138FC"/>
    <w:rsid w:val="00713CC4"/>
    <w:rsid w:val="0071473D"/>
    <w:rsid w:val="007148A6"/>
    <w:rsid w:val="00714EE0"/>
    <w:rsid w:val="007152BF"/>
    <w:rsid w:val="007175A1"/>
    <w:rsid w:val="00717A6E"/>
    <w:rsid w:val="00717FDF"/>
    <w:rsid w:val="0072019D"/>
    <w:rsid w:val="0072248D"/>
    <w:rsid w:val="00722714"/>
    <w:rsid w:val="007227F1"/>
    <w:rsid w:val="00722D76"/>
    <w:rsid w:val="00723113"/>
    <w:rsid w:val="00723EC6"/>
    <w:rsid w:val="00724090"/>
    <w:rsid w:val="00725FBF"/>
    <w:rsid w:val="0072745A"/>
    <w:rsid w:val="0072750A"/>
    <w:rsid w:val="0073056C"/>
    <w:rsid w:val="0073188D"/>
    <w:rsid w:val="00732404"/>
    <w:rsid w:val="0073365F"/>
    <w:rsid w:val="0073428E"/>
    <w:rsid w:val="007347F4"/>
    <w:rsid w:val="00734DDC"/>
    <w:rsid w:val="00735832"/>
    <w:rsid w:val="00736682"/>
    <w:rsid w:val="00736F0F"/>
    <w:rsid w:val="007371EF"/>
    <w:rsid w:val="00741505"/>
    <w:rsid w:val="007420C0"/>
    <w:rsid w:val="00742495"/>
    <w:rsid w:val="0074377C"/>
    <w:rsid w:val="00743AE6"/>
    <w:rsid w:val="00743F57"/>
    <w:rsid w:val="00744536"/>
    <w:rsid w:val="00744AAF"/>
    <w:rsid w:val="007454E2"/>
    <w:rsid w:val="00751E0F"/>
    <w:rsid w:val="007520CE"/>
    <w:rsid w:val="007529BF"/>
    <w:rsid w:val="00752A8F"/>
    <w:rsid w:val="00752BA2"/>
    <w:rsid w:val="00752D2B"/>
    <w:rsid w:val="00752FCB"/>
    <w:rsid w:val="0075394A"/>
    <w:rsid w:val="00753D12"/>
    <w:rsid w:val="00753FCC"/>
    <w:rsid w:val="00754326"/>
    <w:rsid w:val="00754EDE"/>
    <w:rsid w:val="0075511A"/>
    <w:rsid w:val="0075566E"/>
    <w:rsid w:val="00755806"/>
    <w:rsid w:val="00756C33"/>
    <w:rsid w:val="00756E24"/>
    <w:rsid w:val="00757A5E"/>
    <w:rsid w:val="00760570"/>
    <w:rsid w:val="00760C13"/>
    <w:rsid w:val="00760C90"/>
    <w:rsid w:val="00760CD5"/>
    <w:rsid w:val="00761656"/>
    <w:rsid w:val="00761B78"/>
    <w:rsid w:val="007620C1"/>
    <w:rsid w:val="0076217F"/>
    <w:rsid w:val="00762548"/>
    <w:rsid w:val="00763FD4"/>
    <w:rsid w:val="0076555A"/>
    <w:rsid w:val="00765880"/>
    <w:rsid w:val="00765B29"/>
    <w:rsid w:val="007660DE"/>
    <w:rsid w:val="0076697C"/>
    <w:rsid w:val="00767655"/>
    <w:rsid w:val="00770CA3"/>
    <w:rsid w:val="0077109C"/>
    <w:rsid w:val="00773998"/>
    <w:rsid w:val="00775A2B"/>
    <w:rsid w:val="00777422"/>
    <w:rsid w:val="007779F0"/>
    <w:rsid w:val="00777BF1"/>
    <w:rsid w:val="00777ED7"/>
    <w:rsid w:val="00780112"/>
    <w:rsid w:val="00780501"/>
    <w:rsid w:val="00780F28"/>
    <w:rsid w:val="00780FF7"/>
    <w:rsid w:val="00783291"/>
    <w:rsid w:val="00785CF6"/>
    <w:rsid w:val="007870C8"/>
    <w:rsid w:val="007875A2"/>
    <w:rsid w:val="00791043"/>
    <w:rsid w:val="0079117D"/>
    <w:rsid w:val="00791734"/>
    <w:rsid w:val="0079243A"/>
    <w:rsid w:val="007962DE"/>
    <w:rsid w:val="007964A7"/>
    <w:rsid w:val="00796581"/>
    <w:rsid w:val="007966AF"/>
    <w:rsid w:val="00796F3A"/>
    <w:rsid w:val="00797382"/>
    <w:rsid w:val="007A06F5"/>
    <w:rsid w:val="007A1457"/>
    <w:rsid w:val="007A1ACA"/>
    <w:rsid w:val="007A1CF1"/>
    <w:rsid w:val="007A1E34"/>
    <w:rsid w:val="007A3492"/>
    <w:rsid w:val="007A452D"/>
    <w:rsid w:val="007A48AD"/>
    <w:rsid w:val="007A58B1"/>
    <w:rsid w:val="007A5DFB"/>
    <w:rsid w:val="007A690C"/>
    <w:rsid w:val="007A6CFD"/>
    <w:rsid w:val="007A7295"/>
    <w:rsid w:val="007B12FD"/>
    <w:rsid w:val="007B2351"/>
    <w:rsid w:val="007B2474"/>
    <w:rsid w:val="007B2BBC"/>
    <w:rsid w:val="007B37EF"/>
    <w:rsid w:val="007B414E"/>
    <w:rsid w:val="007B4188"/>
    <w:rsid w:val="007B44DB"/>
    <w:rsid w:val="007B5B4E"/>
    <w:rsid w:val="007B76F5"/>
    <w:rsid w:val="007C0F5A"/>
    <w:rsid w:val="007C1117"/>
    <w:rsid w:val="007C1AF9"/>
    <w:rsid w:val="007C21A8"/>
    <w:rsid w:val="007C26E1"/>
    <w:rsid w:val="007C3247"/>
    <w:rsid w:val="007C381D"/>
    <w:rsid w:val="007C7693"/>
    <w:rsid w:val="007C7926"/>
    <w:rsid w:val="007D039B"/>
    <w:rsid w:val="007D0896"/>
    <w:rsid w:val="007D1732"/>
    <w:rsid w:val="007D2C17"/>
    <w:rsid w:val="007D2E71"/>
    <w:rsid w:val="007D36C6"/>
    <w:rsid w:val="007D4DD3"/>
    <w:rsid w:val="007D4F54"/>
    <w:rsid w:val="007D63CB"/>
    <w:rsid w:val="007D69CE"/>
    <w:rsid w:val="007D72E7"/>
    <w:rsid w:val="007E0EA5"/>
    <w:rsid w:val="007E10BA"/>
    <w:rsid w:val="007E1252"/>
    <w:rsid w:val="007E1EF0"/>
    <w:rsid w:val="007E3021"/>
    <w:rsid w:val="007E31E8"/>
    <w:rsid w:val="007E4755"/>
    <w:rsid w:val="007E5148"/>
    <w:rsid w:val="007E5AF5"/>
    <w:rsid w:val="007E5BDB"/>
    <w:rsid w:val="007E5F47"/>
    <w:rsid w:val="007E68BC"/>
    <w:rsid w:val="007E715A"/>
    <w:rsid w:val="007E77DB"/>
    <w:rsid w:val="007E7F81"/>
    <w:rsid w:val="007F07D6"/>
    <w:rsid w:val="007F140D"/>
    <w:rsid w:val="007F232E"/>
    <w:rsid w:val="007F29E7"/>
    <w:rsid w:val="007F3A0A"/>
    <w:rsid w:val="007F3DC1"/>
    <w:rsid w:val="007F3FED"/>
    <w:rsid w:val="007F45F0"/>
    <w:rsid w:val="007F4D14"/>
    <w:rsid w:val="007F56FD"/>
    <w:rsid w:val="007F60E8"/>
    <w:rsid w:val="007F6190"/>
    <w:rsid w:val="007F68CD"/>
    <w:rsid w:val="007F6CB8"/>
    <w:rsid w:val="007F7DC5"/>
    <w:rsid w:val="007F7E7C"/>
    <w:rsid w:val="00800C89"/>
    <w:rsid w:val="00803B0F"/>
    <w:rsid w:val="00804080"/>
    <w:rsid w:val="00806254"/>
    <w:rsid w:val="0080632E"/>
    <w:rsid w:val="008063CD"/>
    <w:rsid w:val="008067F1"/>
    <w:rsid w:val="00806E9B"/>
    <w:rsid w:val="0080732D"/>
    <w:rsid w:val="0080766E"/>
    <w:rsid w:val="00807AB9"/>
    <w:rsid w:val="00807DC1"/>
    <w:rsid w:val="00807DFE"/>
    <w:rsid w:val="00810347"/>
    <w:rsid w:val="00811564"/>
    <w:rsid w:val="00813167"/>
    <w:rsid w:val="008131C5"/>
    <w:rsid w:val="0081434A"/>
    <w:rsid w:val="008146FD"/>
    <w:rsid w:val="00816168"/>
    <w:rsid w:val="00816B24"/>
    <w:rsid w:val="00816C56"/>
    <w:rsid w:val="0082009E"/>
    <w:rsid w:val="008204A8"/>
    <w:rsid w:val="00821F5A"/>
    <w:rsid w:val="00822319"/>
    <w:rsid w:val="00822E59"/>
    <w:rsid w:val="00823110"/>
    <w:rsid w:val="00823638"/>
    <w:rsid w:val="00824D28"/>
    <w:rsid w:val="00824F3C"/>
    <w:rsid w:val="00826270"/>
    <w:rsid w:val="00827870"/>
    <w:rsid w:val="00827B9F"/>
    <w:rsid w:val="0083016E"/>
    <w:rsid w:val="00831956"/>
    <w:rsid w:val="0083225B"/>
    <w:rsid w:val="00832A25"/>
    <w:rsid w:val="00833E16"/>
    <w:rsid w:val="00834258"/>
    <w:rsid w:val="00836015"/>
    <w:rsid w:val="00840964"/>
    <w:rsid w:val="00841386"/>
    <w:rsid w:val="00842C4D"/>
    <w:rsid w:val="00842C6C"/>
    <w:rsid w:val="008431AD"/>
    <w:rsid w:val="00843298"/>
    <w:rsid w:val="008446C8"/>
    <w:rsid w:val="00844DAB"/>
    <w:rsid w:val="00844EE0"/>
    <w:rsid w:val="008455EE"/>
    <w:rsid w:val="00846121"/>
    <w:rsid w:val="008469E1"/>
    <w:rsid w:val="00846B9E"/>
    <w:rsid w:val="00846F89"/>
    <w:rsid w:val="00847256"/>
    <w:rsid w:val="008502F8"/>
    <w:rsid w:val="00850D76"/>
    <w:rsid w:val="00850F83"/>
    <w:rsid w:val="00851CA7"/>
    <w:rsid w:val="00852460"/>
    <w:rsid w:val="008524F3"/>
    <w:rsid w:val="008533A9"/>
    <w:rsid w:val="00853A92"/>
    <w:rsid w:val="00854017"/>
    <w:rsid w:val="0085538D"/>
    <w:rsid w:val="00855431"/>
    <w:rsid w:val="00855A6A"/>
    <w:rsid w:val="00856824"/>
    <w:rsid w:val="00856E3A"/>
    <w:rsid w:val="00856F14"/>
    <w:rsid w:val="00857322"/>
    <w:rsid w:val="00857572"/>
    <w:rsid w:val="00857BED"/>
    <w:rsid w:val="0086036B"/>
    <w:rsid w:val="00860788"/>
    <w:rsid w:val="00861068"/>
    <w:rsid w:val="00861519"/>
    <w:rsid w:val="008618B8"/>
    <w:rsid w:val="008618EB"/>
    <w:rsid w:val="0086198B"/>
    <w:rsid w:val="00861BD8"/>
    <w:rsid w:val="008621A7"/>
    <w:rsid w:val="00862B3C"/>
    <w:rsid w:val="00863ADD"/>
    <w:rsid w:val="00863B6B"/>
    <w:rsid w:val="008652F2"/>
    <w:rsid w:val="00865E28"/>
    <w:rsid w:val="0086620D"/>
    <w:rsid w:val="00867658"/>
    <w:rsid w:val="008702C1"/>
    <w:rsid w:val="00872524"/>
    <w:rsid w:val="00872797"/>
    <w:rsid w:val="008738EA"/>
    <w:rsid w:val="00874113"/>
    <w:rsid w:val="00876A99"/>
    <w:rsid w:val="0087712A"/>
    <w:rsid w:val="00877A99"/>
    <w:rsid w:val="00877F1D"/>
    <w:rsid w:val="008800E6"/>
    <w:rsid w:val="00881432"/>
    <w:rsid w:val="00881E14"/>
    <w:rsid w:val="00882CED"/>
    <w:rsid w:val="0088408E"/>
    <w:rsid w:val="00884532"/>
    <w:rsid w:val="00884818"/>
    <w:rsid w:val="0088490F"/>
    <w:rsid w:val="00885DD7"/>
    <w:rsid w:val="0088691B"/>
    <w:rsid w:val="00886AF9"/>
    <w:rsid w:val="008872BB"/>
    <w:rsid w:val="00887593"/>
    <w:rsid w:val="00887821"/>
    <w:rsid w:val="00887CE9"/>
    <w:rsid w:val="008906E2"/>
    <w:rsid w:val="0089143A"/>
    <w:rsid w:val="00891904"/>
    <w:rsid w:val="00892D8E"/>
    <w:rsid w:val="00893326"/>
    <w:rsid w:val="00893E6A"/>
    <w:rsid w:val="00895AF5"/>
    <w:rsid w:val="00897FE0"/>
    <w:rsid w:val="008A1361"/>
    <w:rsid w:val="008A3219"/>
    <w:rsid w:val="008A397A"/>
    <w:rsid w:val="008A42D9"/>
    <w:rsid w:val="008A45CD"/>
    <w:rsid w:val="008A4E8F"/>
    <w:rsid w:val="008A55C4"/>
    <w:rsid w:val="008A78E1"/>
    <w:rsid w:val="008A792B"/>
    <w:rsid w:val="008B0514"/>
    <w:rsid w:val="008B059F"/>
    <w:rsid w:val="008B0FBF"/>
    <w:rsid w:val="008B1041"/>
    <w:rsid w:val="008B16DB"/>
    <w:rsid w:val="008B3B0C"/>
    <w:rsid w:val="008B3DE5"/>
    <w:rsid w:val="008B496F"/>
    <w:rsid w:val="008B5073"/>
    <w:rsid w:val="008B5573"/>
    <w:rsid w:val="008B5E2D"/>
    <w:rsid w:val="008B789B"/>
    <w:rsid w:val="008C01E5"/>
    <w:rsid w:val="008C190F"/>
    <w:rsid w:val="008C377A"/>
    <w:rsid w:val="008C3DCC"/>
    <w:rsid w:val="008C3E67"/>
    <w:rsid w:val="008C5708"/>
    <w:rsid w:val="008C5894"/>
    <w:rsid w:val="008C5F5C"/>
    <w:rsid w:val="008C61FB"/>
    <w:rsid w:val="008D0484"/>
    <w:rsid w:val="008D0862"/>
    <w:rsid w:val="008D1331"/>
    <w:rsid w:val="008D3135"/>
    <w:rsid w:val="008D3BB9"/>
    <w:rsid w:val="008D4702"/>
    <w:rsid w:val="008D5002"/>
    <w:rsid w:val="008D54C7"/>
    <w:rsid w:val="008D621B"/>
    <w:rsid w:val="008D65C3"/>
    <w:rsid w:val="008D75C2"/>
    <w:rsid w:val="008D7717"/>
    <w:rsid w:val="008E1166"/>
    <w:rsid w:val="008E1873"/>
    <w:rsid w:val="008E187A"/>
    <w:rsid w:val="008E28F3"/>
    <w:rsid w:val="008E2B36"/>
    <w:rsid w:val="008E2B77"/>
    <w:rsid w:val="008E2F3D"/>
    <w:rsid w:val="008E3B65"/>
    <w:rsid w:val="008E42A1"/>
    <w:rsid w:val="008E4649"/>
    <w:rsid w:val="008E4ABB"/>
    <w:rsid w:val="008E4AFD"/>
    <w:rsid w:val="008E4BC8"/>
    <w:rsid w:val="008E50D4"/>
    <w:rsid w:val="008E521F"/>
    <w:rsid w:val="008E72B7"/>
    <w:rsid w:val="008E781C"/>
    <w:rsid w:val="008F0124"/>
    <w:rsid w:val="008F04DD"/>
    <w:rsid w:val="008F130A"/>
    <w:rsid w:val="008F1343"/>
    <w:rsid w:val="008F1FB1"/>
    <w:rsid w:val="008F2213"/>
    <w:rsid w:val="008F2802"/>
    <w:rsid w:val="008F2F46"/>
    <w:rsid w:val="008F3E76"/>
    <w:rsid w:val="008F3EEE"/>
    <w:rsid w:val="008F4A2F"/>
    <w:rsid w:val="008F4FDA"/>
    <w:rsid w:val="00900A8E"/>
    <w:rsid w:val="009028B9"/>
    <w:rsid w:val="00902FFB"/>
    <w:rsid w:val="00903263"/>
    <w:rsid w:val="00903331"/>
    <w:rsid w:val="00904D8E"/>
    <w:rsid w:val="0090527F"/>
    <w:rsid w:val="009070FF"/>
    <w:rsid w:val="00910963"/>
    <w:rsid w:val="00910FA3"/>
    <w:rsid w:val="00911C29"/>
    <w:rsid w:val="00912953"/>
    <w:rsid w:val="00913BBE"/>
    <w:rsid w:val="00913D05"/>
    <w:rsid w:val="00913F82"/>
    <w:rsid w:val="009150F6"/>
    <w:rsid w:val="00915C87"/>
    <w:rsid w:val="00915DE7"/>
    <w:rsid w:val="00916657"/>
    <w:rsid w:val="00916C37"/>
    <w:rsid w:val="00916F1E"/>
    <w:rsid w:val="00917057"/>
    <w:rsid w:val="009176FE"/>
    <w:rsid w:val="0092210B"/>
    <w:rsid w:val="00925D11"/>
    <w:rsid w:val="00925F35"/>
    <w:rsid w:val="00925F52"/>
    <w:rsid w:val="00927400"/>
    <w:rsid w:val="00927B19"/>
    <w:rsid w:val="00931A60"/>
    <w:rsid w:val="00931D42"/>
    <w:rsid w:val="00932759"/>
    <w:rsid w:val="00932900"/>
    <w:rsid w:val="00933D3A"/>
    <w:rsid w:val="00933FE4"/>
    <w:rsid w:val="00934780"/>
    <w:rsid w:val="009360D9"/>
    <w:rsid w:val="009363AF"/>
    <w:rsid w:val="009379D4"/>
    <w:rsid w:val="0094039F"/>
    <w:rsid w:val="009405BB"/>
    <w:rsid w:val="00940986"/>
    <w:rsid w:val="00940EC4"/>
    <w:rsid w:val="00941753"/>
    <w:rsid w:val="0094316F"/>
    <w:rsid w:val="00944015"/>
    <w:rsid w:val="00944973"/>
    <w:rsid w:val="0094577A"/>
    <w:rsid w:val="00945823"/>
    <w:rsid w:val="009459A8"/>
    <w:rsid w:val="009470A4"/>
    <w:rsid w:val="0094774D"/>
    <w:rsid w:val="009509F7"/>
    <w:rsid w:val="00952D0F"/>
    <w:rsid w:val="00953F19"/>
    <w:rsid w:val="009563DD"/>
    <w:rsid w:val="00956ADB"/>
    <w:rsid w:val="00957636"/>
    <w:rsid w:val="00957F70"/>
    <w:rsid w:val="009618C1"/>
    <w:rsid w:val="0096190D"/>
    <w:rsid w:val="009624E0"/>
    <w:rsid w:val="009630D2"/>
    <w:rsid w:val="00963724"/>
    <w:rsid w:val="00963F22"/>
    <w:rsid w:val="0096402C"/>
    <w:rsid w:val="0096402D"/>
    <w:rsid w:val="00964445"/>
    <w:rsid w:val="0096574A"/>
    <w:rsid w:val="00966388"/>
    <w:rsid w:val="00966461"/>
    <w:rsid w:val="00966D70"/>
    <w:rsid w:val="009671EF"/>
    <w:rsid w:val="009710D6"/>
    <w:rsid w:val="00971820"/>
    <w:rsid w:val="0097189F"/>
    <w:rsid w:val="00971E85"/>
    <w:rsid w:val="00972516"/>
    <w:rsid w:val="009728B9"/>
    <w:rsid w:val="00974B95"/>
    <w:rsid w:val="00975320"/>
    <w:rsid w:val="009756B1"/>
    <w:rsid w:val="00977A5E"/>
    <w:rsid w:val="0098251A"/>
    <w:rsid w:val="00983820"/>
    <w:rsid w:val="0098424C"/>
    <w:rsid w:val="009847B3"/>
    <w:rsid w:val="00984852"/>
    <w:rsid w:val="00984B4C"/>
    <w:rsid w:val="009855C8"/>
    <w:rsid w:val="009855EA"/>
    <w:rsid w:val="009859CE"/>
    <w:rsid w:val="00985E49"/>
    <w:rsid w:val="00985EF9"/>
    <w:rsid w:val="009871FC"/>
    <w:rsid w:val="00990408"/>
    <w:rsid w:val="00990409"/>
    <w:rsid w:val="00990F47"/>
    <w:rsid w:val="009912BB"/>
    <w:rsid w:val="00991A38"/>
    <w:rsid w:val="00991AD2"/>
    <w:rsid w:val="00993452"/>
    <w:rsid w:val="00993A09"/>
    <w:rsid w:val="00994E06"/>
    <w:rsid w:val="00995725"/>
    <w:rsid w:val="009957C4"/>
    <w:rsid w:val="00997350"/>
    <w:rsid w:val="009976C2"/>
    <w:rsid w:val="00997AB9"/>
    <w:rsid w:val="009A01AD"/>
    <w:rsid w:val="009A0292"/>
    <w:rsid w:val="009A0EAF"/>
    <w:rsid w:val="009A2C49"/>
    <w:rsid w:val="009A43C2"/>
    <w:rsid w:val="009A458C"/>
    <w:rsid w:val="009A4637"/>
    <w:rsid w:val="009A4DC9"/>
    <w:rsid w:val="009A77BD"/>
    <w:rsid w:val="009A7CCB"/>
    <w:rsid w:val="009A7F13"/>
    <w:rsid w:val="009B1016"/>
    <w:rsid w:val="009B1697"/>
    <w:rsid w:val="009B1ADF"/>
    <w:rsid w:val="009B1CD6"/>
    <w:rsid w:val="009B2244"/>
    <w:rsid w:val="009B396B"/>
    <w:rsid w:val="009B45E0"/>
    <w:rsid w:val="009B6B2E"/>
    <w:rsid w:val="009B6FB5"/>
    <w:rsid w:val="009C0319"/>
    <w:rsid w:val="009C0436"/>
    <w:rsid w:val="009C1B0D"/>
    <w:rsid w:val="009C24AC"/>
    <w:rsid w:val="009C2B31"/>
    <w:rsid w:val="009C3740"/>
    <w:rsid w:val="009C3AD6"/>
    <w:rsid w:val="009C3DA4"/>
    <w:rsid w:val="009C3EDE"/>
    <w:rsid w:val="009C4016"/>
    <w:rsid w:val="009C452E"/>
    <w:rsid w:val="009C5486"/>
    <w:rsid w:val="009C7C3B"/>
    <w:rsid w:val="009D08A5"/>
    <w:rsid w:val="009D0BC5"/>
    <w:rsid w:val="009D29C2"/>
    <w:rsid w:val="009D2C9E"/>
    <w:rsid w:val="009D310E"/>
    <w:rsid w:val="009D343F"/>
    <w:rsid w:val="009D379F"/>
    <w:rsid w:val="009D4A28"/>
    <w:rsid w:val="009D503B"/>
    <w:rsid w:val="009D54A0"/>
    <w:rsid w:val="009D5D2F"/>
    <w:rsid w:val="009D6365"/>
    <w:rsid w:val="009D7791"/>
    <w:rsid w:val="009D77A1"/>
    <w:rsid w:val="009E032A"/>
    <w:rsid w:val="009E135F"/>
    <w:rsid w:val="009E1C6F"/>
    <w:rsid w:val="009E2A89"/>
    <w:rsid w:val="009E42FE"/>
    <w:rsid w:val="009E453A"/>
    <w:rsid w:val="009E4D07"/>
    <w:rsid w:val="009E56F3"/>
    <w:rsid w:val="009E5B44"/>
    <w:rsid w:val="009E6E01"/>
    <w:rsid w:val="009E78AC"/>
    <w:rsid w:val="009F1A45"/>
    <w:rsid w:val="009F1F42"/>
    <w:rsid w:val="009F2D49"/>
    <w:rsid w:val="009F3932"/>
    <w:rsid w:val="009F3BCC"/>
    <w:rsid w:val="009F3BDC"/>
    <w:rsid w:val="009F3EF6"/>
    <w:rsid w:val="009F42DA"/>
    <w:rsid w:val="009F4D1B"/>
    <w:rsid w:val="009F59A9"/>
    <w:rsid w:val="009F5D67"/>
    <w:rsid w:val="009F5EA4"/>
    <w:rsid w:val="009F5FB5"/>
    <w:rsid w:val="009F694D"/>
    <w:rsid w:val="009F6C35"/>
    <w:rsid w:val="009F7039"/>
    <w:rsid w:val="009F79CE"/>
    <w:rsid w:val="009F7D04"/>
    <w:rsid w:val="00A01E3B"/>
    <w:rsid w:val="00A02150"/>
    <w:rsid w:val="00A026B6"/>
    <w:rsid w:val="00A0279E"/>
    <w:rsid w:val="00A02C4B"/>
    <w:rsid w:val="00A047DB"/>
    <w:rsid w:val="00A04CD2"/>
    <w:rsid w:val="00A05338"/>
    <w:rsid w:val="00A076D9"/>
    <w:rsid w:val="00A1018B"/>
    <w:rsid w:val="00A12877"/>
    <w:rsid w:val="00A128DB"/>
    <w:rsid w:val="00A13503"/>
    <w:rsid w:val="00A13C55"/>
    <w:rsid w:val="00A13F3A"/>
    <w:rsid w:val="00A149F1"/>
    <w:rsid w:val="00A14C7B"/>
    <w:rsid w:val="00A14E3A"/>
    <w:rsid w:val="00A153FF"/>
    <w:rsid w:val="00A16536"/>
    <w:rsid w:val="00A204EE"/>
    <w:rsid w:val="00A2159B"/>
    <w:rsid w:val="00A2204E"/>
    <w:rsid w:val="00A2234B"/>
    <w:rsid w:val="00A230A6"/>
    <w:rsid w:val="00A241FA"/>
    <w:rsid w:val="00A25CFA"/>
    <w:rsid w:val="00A26230"/>
    <w:rsid w:val="00A27097"/>
    <w:rsid w:val="00A271DB"/>
    <w:rsid w:val="00A274AE"/>
    <w:rsid w:val="00A276C5"/>
    <w:rsid w:val="00A32513"/>
    <w:rsid w:val="00A346DE"/>
    <w:rsid w:val="00A350A6"/>
    <w:rsid w:val="00A3516E"/>
    <w:rsid w:val="00A351B5"/>
    <w:rsid w:val="00A355BA"/>
    <w:rsid w:val="00A35D1F"/>
    <w:rsid w:val="00A364A3"/>
    <w:rsid w:val="00A36EFC"/>
    <w:rsid w:val="00A370BA"/>
    <w:rsid w:val="00A37871"/>
    <w:rsid w:val="00A379E9"/>
    <w:rsid w:val="00A40BB4"/>
    <w:rsid w:val="00A41CAC"/>
    <w:rsid w:val="00A4294A"/>
    <w:rsid w:val="00A43951"/>
    <w:rsid w:val="00A43CE1"/>
    <w:rsid w:val="00A43CF1"/>
    <w:rsid w:val="00A43D2D"/>
    <w:rsid w:val="00A44686"/>
    <w:rsid w:val="00A4479A"/>
    <w:rsid w:val="00A448E2"/>
    <w:rsid w:val="00A46E8A"/>
    <w:rsid w:val="00A4708E"/>
    <w:rsid w:val="00A47B50"/>
    <w:rsid w:val="00A47BDE"/>
    <w:rsid w:val="00A504C0"/>
    <w:rsid w:val="00A52646"/>
    <w:rsid w:val="00A52D10"/>
    <w:rsid w:val="00A5349D"/>
    <w:rsid w:val="00A53789"/>
    <w:rsid w:val="00A552BE"/>
    <w:rsid w:val="00A55734"/>
    <w:rsid w:val="00A558BD"/>
    <w:rsid w:val="00A55B09"/>
    <w:rsid w:val="00A569E2"/>
    <w:rsid w:val="00A56EE1"/>
    <w:rsid w:val="00A60489"/>
    <w:rsid w:val="00A60F68"/>
    <w:rsid w:val="00A6163B"/>
    <w:rsid w:val="00A61D1B"/>
    <w:rsid w:val="00A6252B"/>
    <w:rsid w:val="00A6401B"/>
    <w:rsid w:val="00A64225"/>
    <w:rsid w:val="00A64425"/>
    <w:rsid w:val="00A644D1"/>
    <w:rsid w:val="00A64EEF"/>
    <w:rsid w:val="00A6568B"/>
    <w:rsid w:val="00A67C4C"/>
    <w:rsid w:val="00A71E80"/>
    <w:rsid w:val="00A72934"/>
    <w:rsid w:val="00A74338"/>
    <w:rsid w:val="00A74602"/>
    <w:rsid w:val="00A747FD"/>
    <w:rsid w:val="00A74E14"/>
    <w:rsid w:val="00A76306"/>
    <w:rsid w:val="00A776E8"/>
    <w:rsid w:val="00A77E2A"/>
    <w:rsid w:val="00A77E48"/>
    <w:rsid w:val="00A80824"/>
    <w:rsid w:val="00A80C89"/>
    <w:rsid w:val="00A81782"/>
    <w:rsid w:val="00A819CD"/>
    <w:rsid w:val="00A82650"/>
    <w:rsid w:val="00A830A5"/>
    <w:rsid w:val="00A83459"/>
    <w:rsid w:val="00A83891"/>
    <w:rsid w:val="00A83D3C"/>
    <w:rsid w:val="00A853A3"/>
    <w:rsid w:val="00A85EC8"/>
    <w:rsid w:val="00A87593"/>
    <w:rsid w:val="00A87E11"/>
    <w:rsid w:val="00A90928"/>
    <w:rsid w:val="00A91142"/>
    <w:rsid w:val="00A937A2"/>
    <w:rsid w:val="00A93E29"/>
    <w:rsid w:val="00A94E27"/>
    <w:rsid w:val="00A95483"/>
    <w:rsid w:val="00A95573"/>
    <w:rsid w:val="00A95850"/>
    <w:rsid w:val="00A958A1"/>
    <w:rsid w:val="00A96A4C"/>
    <w:rsid w:val="00A96AC8"/>
    <w:rsid w:val="00A9760A"/>
    <w:rsid w:val="00AA0D7B"/>
    <w:rsid w:val="00AA1FDC"/>
    <w:rsid w:val="00AA30C6"/>
    <w:rsid w:val="00AA392B"/>
    <w:rsid w:val="00AA546A"/>
    <w:rsid w:val="00AA5AA7"/>
    <w:rsid w:val="00AA6813"/>
    <w:rsid w:val="00AA79FC"/>
    <w:rsid w:val="00AB0C2F"/>
    <w:rsid w:val="00AB143A"/>
    <w:rsid w:val="00AB19A0"/>
    <w:rsid w:val="00AB2D81"/>
    <w:rsid w:val="00AB4612"/>
    <w:rsid w:val="00AB514C"/>
    <w:rsid w:val="00AB6850"/>
    <w:rsid w:val="00AB7FEB"/>
    <w:rsid w:val="00AC0474"/>
    <w:rsid w:val="00AC132F"/>
    <w:rsid w:val="00AC3496"/>
    <w:rsid w:val="00AC45A2"/>
    <w:rsid w:val="00AC48D1"/>
    <w:rsid w:val="00AC5773"/>
    <w:rsid w:val="00AC610C"/>
    <w:rsid w:val="00AC69B7"/>
    <w:rsid w:val="00AC7696"/>
    <w:rsid w:val="00AC7B49"/>
    <w:rsid w:val="00AC7C6E"/>
    <w:rsid w:val="00AC7C84"/>
    <w:rsid w:val="00AC7CAC"/>
    <w:rsid w:val="00AD233E"/>
    <w:rsid w:val="00AD28E1"/>
    <w:rsid w:val="00AD2B71"/>
    <w:rsid w:val="00AD33AB"/>
    <w:rsid w:val="00AD3D3D"/>
    <w:rsid w:val="00AD3EA4"/>
    <w:rsid w:val="00AD40CD"/>
    <w:rsid w:val="00AD4E2D"/>
    <w:rsid w:val="00AD5191"/>
    <w:rsid w:val="00AD546B"/>
    <w:rsid w:val="00AD591E"/>
    <w:rsid w:val="00AD7024"/>
    <w:rsid w:val="00AD720C"/>
    <w:rsid w:val="00AD7491"/>
    <w:rsid w:val="00AD7697"/>
    <w:rsid w:val="00AD7764"/>
    <w:rsid w:val="00AE0005"/>
    <w:rsid w:val="00AE0CAC"/>
    <w:rsid w:val="00AE2E64"/>
    <w:rsid w:val="00AE37FD"/>
    <w:rsid w:val="00AE51E9"/>
    <w:rsid w:val="00AE51F1"/>
    <w:rsid w:val="00AE5710"/>
    <w:rsid w:val="00AE70C3"/>
    <w:rsid w:val="00AE7825"/>
    <w:rsid w:val="00AE7D4F"/>
    <w:rsid w:val="00AE7F71"/>
    <w:rsid w:val="00AF0B13"/>
    <w:rsid w:val="00AF0D60"/>
    <w:rsid w:val="00AF0FA4"/>
    <w:rsid w:val="00AF1A4D"/>
    <w:rsid w:val="00AF22F0"/>
    <w:rsid w:val="00AF2A1B"/>
    <w:rsid w:val="00AF2B7C"/>
    <w:rsid w:val="00AF2CDD"/>
    <w:rsid w:val="00AF3AC4"/>
    <w:rsid w:val="00AF3C49"/>
    <w:rsid w:val="00AF5106"/>
    <w:rsid w:val="00AF70E0"/>
    <w:rsid w:val="00AF7B9C"/>
    <w:rsid w:val="00AF7FFD"/>
    <w:rsid w:val="00B008EC"/>
    <w:rsid w:val="00B010D6"/>
    <w:rsid w:val="00B02894"/>
    <w:rsid w:val="00B04718"/>
    <w:rsid w:val="00B04A8F"/>
    <w:rsid w:val="00B054D5"/>
    <w:rsid w:val="00B05D5C"/>
    <w:rsid w:val="00B06F2A"/>
    <w:rsid w:val="00B07E17"/>
    <w:rsid w:val="00B1014E"/>
    <w:rsid w:val="00B106DE"/>
    <w:rsid w:val="00B11146"/>
    <w:rsid w:val="00B1174F"/>
    <w:rsid w:val="00B12DA4"/>
    <w:rsid w:val="00B12E53"/>
    <w:rsid w:val="00B137C7"/>
    <w:rsid w:val="00B13888"/>
    <w:rsid w:val="00B13AA1"/>
    <w:rsid w:val="00B14C51"/>
    <w:rsid w:val="00B153DF"/>
    <w:rsid w:val="00B154AE"/>
    <w:rsid w:val="00B160AA"/>
    <w:rsid w:val="00B163C2"/>
    <w:rsid w:val="00B17147"/>
    <w:rsid w:val="00B215CA"/>
    <w:rsid w:val="00B217DD"/>
    <w:rsid w:val="00B21EAD"/>
    <w:rsid w:val="00B22038"/>
    <w:rsid w:val="00B22EB3"/>
    <w:rsid w:val="00B22EBC"/>
    <w:rsid w:val="00B23068"/>
    <w:rsid w:val="00B239FC"/>
    <w:rsid w:val="00B241B7"/>
    <w:rsid w:val="00B24462"/>
    <w:rsid w:val="00B24869"/>
    <w:rsid w:val="00B24C01"/>
    <w:rsid w:val="00B260E5"/>
    <w:rsid w:val="00B26F60"/>
    <w:rsid w:val="00B30FFD"/>
    <w:rsid w:val="00B31231"/>
    <w:rsid w:val="00B33819"/>
    <w:rsid w:val="00B33B57"/>
    <w:rsid w:val="00B33CF0"/>
    <w:rsid w:val="00B3476C"/>
    <w:rsid w:val="00B3488D"/>
    <w:rsid w:val="00B34DE4"/>
    <w:rsid w:val="00B34E7F"/>
    <w:rsid w:val="00B35E17"/>
    <w:rsid w:val="00B36103"/>
    <w:rsid w:val="00B36140"/>
    <w:rsid w:val="00B36A52"/>
    <w:rsid w:val="00B373D7"/>
    <w:rsid w:val="00B375D7"/>
    <w:rsid w:val="00B37A6E"/>
    <w:rsid w:val="00B37D4F"/>
    <w:rsid w:val="00B40185"/>
    <w:rsid w:val="00B4085D"/>
    <w:rsid w:val="00B42216"/>
    <w:rsid w:val="00B4313A"/>
    <w:rsid w:val="00B4450E"/>
    <w:rsid w:val="00B44C36"/>
    <w:rsid w:val="00B44C56"/>
    <w:rsid w:val="00B44E8C"/>
    <w:rsid w:val="00B451A7"/>
    <w:rsid w:val="00B45E05"/>
    <w:rsid w:val="00B4678F"/>
    <w:rsid w:val="00B46BEF"/>
    <w:rsid w:val="00B46FED"/>
    <w:rsid w:val="00B4778C"/>
    <w:rsid w:val="00B478AF"/>
    <w:rsid w:val="00B5001B"/>
    <w:rsid w:val="00B50ECA"/>
    <w:rsid w:val="00B52305"/>
    <w:rsid w:val="00B53A7F"/>
    <w:rsid w:val="00B53C3B"/>
    <w:rsid w:val="00B54E5D"/>
    <w:rsid w:val="00B54EF4"/>
    <w:rsid w:val="00B5524C"/>
    <w:rsid w:val="00B557E4"/>
    <w:rsid w:val="00B560DE"/>
    <w:rsid w:val="00B56292"/>
    <w:rsid w:val="00B617E4"/>
    <w:rsid w:val="00B619B6"/>
    <w:rsid w:val="00B619F5"/>
    <w:rsid w:val="00B61C21"/>
    <w:rsid w:val="00B61CE1"/>
    <w:rsid w:val="00B631A3"/>
    <w:rsid w:val="00B63239"/>
    <w:rsid w:val="00B63656"/>
    <w:rsid w:val="00B649AD"/>
    <w:rsid w:val="00B65098"/>
    <w:rsid w:val="00B664AF"/>
    <w:rsid w:val="00B67194"/>
    <w:rsid w:val="00B7005E"/>
    <w:rsid w:val="00B70086"/>
    <w:rsid w:val="00B70B56"/>
    <w:rsid w:val="00B71043"/>
    <w:rsid w:val="00B71322"/>
    <w:rsid w:val="00B71978"/>
    <w:rsid w:val="00B721A0"/>
    <w:rsid w:val="00B73111"/>
    <w:rsid w:val="00B736F9"/>
    <w:rsid w:val="00B740AD"/>
    <w:rsid w:val="00B7500F"/>
    <w:rsid w:val="00B75363"/>
    <w:rsid w:val="00B7665A"/>
    <w:rsid w:val="00B77902"/>
    <w:rsid w:val="00B8028F"/>
    <w:rsid w:val="00B80DD5"/>
    <w:rsid w:val="00B81CE9"/>
    <w:rsid w:val="00B822E3"/>
    <w:rsid w:val="00B8306F"/>
    <w:rsid w:val="00B83243"/>
    <w:rsid w:val="00B83269"/>
    <w:rsid w:val="00B846D5"/>
    <w:rsid w:val="00B85243"/>
    <w:rsid w:val="00B85390"/>
    <w:rsid w:val="00B85F5D"/>
    <w:rsid w:val="00B85FB0"/>
    <w:rsid w:val="00B862FD"/>
    <w:rsid w:val="00B86828"/>
    <w:rsid w:val="00B8684E"/>
    <w:rsid w:val="00B874E8"/>
    <w:rsid w:val="00B87884"/>
    <w:rsid w:val="00B87F43"/>
    <w:rsid w:val="00B90D79"/>
    <w:rsid w:val="00B90FE0"/>
    <w:rsid w:val="00B91A33"/>
    <w:rsid w:val="00B92B24"/>
    <w:rsid w:val="00B9331E"/>
    <w:rsid w:val="00B93863"/>
    <w:rsid w:val="00B94572"/>
    <w:rsid w:val="00B94948"/>
    <w:rsid w:val="00B951EE"/>
    <w:rsid w:val="00B95ABF"/>
    <w:rsid w:val="00B95FA4"/>
    <w:rsid w:val="00B962B0"/>
    <w:rsid w:val="00BA0014"/>
    <w:rsid w:val="00BA037E"/>
    <w:rsid w:val="00BA09A1"/>
    <w:rsid w:val="00BA2873"/>
    <w:rsid w:val="00BA2DEA"/>
    <w:rsid w:val="00BA48CB"/>
    <w:rsid w:val="00BA57DC"/>
    <w:rsid w:val="00BA67AD"/>
    <w:rsid w:val="00BA7F58"/>
    <w:rsid w:val="00BB1625"/>
    <w:rsid w:val="00BB220A"/>
    <w:rsid w:val="00BB2AEC"/>
    <w:rsid w:val="00BB2EA8"/>
    <w:rsid w:val="00BB3031"/>
    <w:rsid w:val="00BB32FF"/>
    <w:rsid w:val="00BB3C4A"/>
    <w:rsid w:val="00BB46A8"/>
    <w:rsid w:val="00BB5BBF"/>
    <w:rsid w:val="00BB6D20"/>
    <w:rsid w:val="00BB7182"/>
    <w:rsid w:val="00BC173F"/>
    <w:rsid w:val="00BC1D8A"/>
    <w:rsid w:val="00BC2422"/>
    <w:rsid w:val="00BC3C75"/>
    <w:rsid w:val="00BC3EFE"/>
    <w:rsid w:val="00BC405F"/>
    <w:rsid w:val="00BC40D2"/>
    <w:rsid w:val="00BC4160"/>
    <w:rsid w:val="00BC44DD"/>
    <w:rsid w:val="00BC4577"/>
    <w:rsid w:val="00BC46CD"/>
    <w:rsid w:val="00BC4C26"/>
    <w:rsid w:val="00BC4FAD"/>
    <w:rsid w:val="00BC5D37"/>
    <w:rsid w:val="00BC5E06"/>
    <w:rsid w:val="00BC638D"/>
    <w:rsid w:val="00BC7AAD"/>
    <w:rsid w:val="00BC7AC1"/>
    <w:rsid w:val="00BD03AF"/>
    <w:rsid w:val="00BD1363"/>
    <w:rsid w:val="00BD15DB"/>
    <w:rsid w:val="00BD180E"/>
    <w:rsid w:val="00BD3DD4"/>
    <w:rsid w:val="00BD47B0"/>
    <w:rsid w:val="00BD5F57"/>
    <w:rsid w:val="00BD6A89"/>
    <w:rsid w:val="00BD7358"/>
    <w:rsid w:val="00BE0145"/>
    <w:rsid w:val="00BE0721"/>
    <w:rsid w:val="00BE11DA"/>
    <w:rsid w:val="00BE1B46"/>
    <w:rsid w:val="00BE271E"/>
    <w:rsid w:val="00BE297D"/>
    <w:rsid w:val="00BE2EB0"/>
    <w:rsid w:val="00BE4176"/>
    <w:rsid w:val="00BE50F7"/>
    <w:rsid w:val="00BE5C5D"/>
    <w:rsid w:val="00BE61DF"/>
    <w:rsid w:val="00BE7920"/>
    <w:rsid w:val="00BE7AC3"/>
    <w:rsid w:val="00BE7F07"/>
    <w:rsid w:val="00BF0BBD"/>
    <w:rsid w:val="00BF0D83"/>
    <w:rsid w:val="00BF2B12"/>
    <w:rsid w:val="00BF2F5E"/>
    <w:rsid w:val="00BF3CC3"/>
    <w:rsid w:val="00BF48F1"/>
    <w:rsid w:val="00BF7A16"/>
    <w:rsid w:val="00BF7FC3"/>
    <w:rsid w:val="00C0010F"/>
    <w:rsid w:val="00C00454"/>
    <w:rsid w:val="00C00C3F"/>
    <w:rsid w:val="00C015E5"/>
    <w:rsid w:val="00C0164D"/>
    <w:rsid w:val="00C01E6F"/>
    <w:rsid w:val="00C025C5"/>
    <w:rsid w:val="00C04C40"/>
    <w:rsid w:val="00C07316"/>
    <w:rsid w:val="00C074A8"/>
    <w:rsid w:val="00C07709"/>
    <w:rsid w:val="00C10243"/>
    <w:rsid w:val="00C10492"/>
    <w:rsid w:val="00C115AF"/>
    <w:rsid w:val="00C1201D"/>
    <w:rsid w:val="00C13520"/>
    <w:rsid w:val="00C15535"/>
    <w:rsid w:val="00C15552"/>
    <w:rsid w:val="00C15D9F"/>
    <w:rsid w:val="00C16059"/>
    <w:rsid w:val="00C20C3C"/>
    <w:rsid w:val="00C20CA7"/>
    <w:rsid w:val="00C21BC1"/>
    <w:rsid w:val="00C21D7E"/>
    <w:rsid w:val="00C22AA7"/>
    <w:rsid w:val="00C22B88"/>
    <w:rsid w:val="00C232CC"/>
    <w:rsid w:val="00C236E3"/>
    <w:rsid w:val="00C23E3A"/>
    <w:rsid w:val="00C25076"/>
    <w:rsid w:val="00C25269"/>
    <w:rsid w:val="00C258F2"/>
    <w:rsid w:val="00C25D7F"/>
    <w:rsid w:val="00C27785"/>
    <w:rsid w:val="00C3035A"/>
    <w:rsid w:val="00C307EF"/>
    <w:rsid w:val="00C30F62"/>
    <w:rsid w:val="00C32859"/>
    <w:rsid w:val="00C329B0"/>
    <w:rsid w:val="00C32A0D"/>
    <w:rsid w:val="00C32B1B"/>
    <w:rsid w:val="00C334EC"/>
    <w:rsid w:val="00C33F36"/>
    <w:rsid w:val="00C34984"/>
    <w:rsid w:val="00C3563E"/>
    <w:rsid w:val="00C35B9A"/>
    <w:rsid w:val="00C36798"/>
    <w:rsid w:val="00C40DD5"/>
    <w:rsid w:val="00C410E8"/>
    <w:rsid w:val="00C42147"/>
    <w:rsid w:val="00C42D14"/>
    <w:rsid w:val="00C436BC"/>
    <w:rsid w:val="00C439BE"/>
    <w:rsid w:val="00C43B8A"/>
    <w:rsid w:val="00C43B9E"/>
    <w:rsid w:val="00C4493F"/>
    <w:rsid w:val="00C44C4F"/>
    <w:rsid w:val="00C4569A"/>
    <w:rsid w:val="00C45E74"/>
    <w:rsid w:val="00C47111"/>
    <w:rsid w:val="00C471C2"/>
    <w:rsid w:val="00C473FA"/>
    <w:rsid w:val="00C4770F"/>
    <w:rsid w:val="00C47F7A"/>
    <w:rsid w:val="00C5028F"/>
    <w:rsid w:val="00C51664"/>
    <w:rsid w:val="00C52E69"/>
    <w:rsid w:val="00C53547"/>
    <w:rsid w:val="00C539B1"/>
    <w:rsid w:val="00C54355"/>
    <w:rsid w:val="00C55879"/>
    <w:rsid w:val="00C55919"/>
    <w:rsid w:val="00C5594D"/>
    <w:rsid w:val="00C56686"/>
    <w:rsid w:val="00C56F82"/>
    <w:rsid w:val="00C57721"/>
    <w:rsid w:val="00C60164"/>
    <w:rsid w:val="00C6020C"/>
    <w:rsid w:val="00C6117C"/>
    <w:rsid w:val="00C621DE"/>
    <w:rsid w:val="00C622A2"/>
    <w:rsid w:val="00C62998"/>
    <w:rsid w:val="00C62AC7"/>
    <w:rsid w:val="00C6313D"/>
    <w:rsid w:val="00C63218"/>
    <w:rsid w:val="00C63243"/>
    <w:rsid w:val="00C6341F"/>
    <w:rsid w:val="00C64A7E"/>
    <w:rsid w:val="00C65AAE"/>
    <w:rsid w:val="00C67676"/>
    <w:rsid w:val="00C7195D"/>
    <w:rsid w:val="00C72002"/>
    <w:rsid w:val="00C72A65"/>
    <w:rsid w:val="00C73217"/>
    <w:rsid w:val="00C739D6"/>
    <w:rsid w:val="00C7434C"/>
    <w:rsid w:val="00C748C9"/>
    <w:rsid w:val="00C750D5"/>
    <w:rsid w:val="00C7527A"/>
    <w:rsid w:val="00C75C44"/>
    <w:rsid w:val="00C75D1B"/>
    <w:rsid w:val="00C7602C"/>
    <w:rsid w:val="00C76455"/>
    <w:rsid w:val="00C76B21"/>
    <w:rsid w:val="00C77C7F"/>
    <w:rsid w:val="00C77E79"/>
    <w:rsid w:val="00C81832"/>
    <w:rsid w:val="00C81AD6"/>
    <w:rsid w:val="00C820F7"/>
    <w:rsid w:val="00C8276B"/>
    <w:rsid w:val="00C827E4"/>
    <w:rsid w:val="00C8360C"/>
    <w:rsid w:val="00C83C03"/>
    <w:rsid w:val="00C83DF4"/>
    <w:rsid w:val="00C85223"/>
    <w:rsid w:val="00C85E05"/>
    <w:rsid w:val="00C86470"/>
    <w:rsid w:val="00C86E4C"/>
    <w:rsid w:val="00C87690"/>
    <w:rsid w:val="00C9090B"/>
    <w:rsid w:val="00C9125A"/>
    <w:rsid w:val="00C9185A"/>
    <w:rsid w:val="00C91AFB"/>
    <w:rsid w:val="00C923BE"/>
    <w:rsid w:val="00C926A4"/>
    <w:rsid w:val="00C929E9"/>
    <w:rsid w:val="00C94B3B"/>
    <w:rsid w:val="00C94E48"/>
    <w:rsid w:val="00C957C1"/>
    <w:rsid w:val="00C95AB6"/>
    <w:rsid w:val="00C95F85"/>
    <w:rsid w:val="00C96658"/>
    <w:rsid w:val="00C97126"/>
    <w:rsid w:val="00CA0EB5"/>
    <w:rsid w:val="00CA1E94"/>
    <w:rsid w:val="00CA24F2"/>
    <w:rsid w:val="00CA4525"/>
    <w:rsid w:val="00CA458A"/>
    <w:rsid w:val="00CA4608"/>
    <w:rsid w:val="00CA54E5"/>
    <w:rsid w:val="00CA66BF"/>
    <w:rsid w:val="00CA7734"/>
    <w:rsid w:val="00CA7953"/>
    <w:rsid w:val="00CA7A27"/>
    <w:rsid w:val="00CB3562"/>
    <w:rsid w:val="00CB3860"/>
    <w:rsid w:val="00CB3A33"/>
    <w:rsid w:val="00CB3FF2"/>
    <w:rsid w:val="00CB598C"/>
    <w:rsid w:val="00CB59DD"/>
    <w:rsid w:val="00CB6146"/>
    <w:rsid w:val="00CB6209"/>
    <w:rsid w:val="00CB656B"/>
    <w:rsid w:val="00CB67DA"/>
    <w:rsid w:val="00CB7A81"/>
    <w:rsid w:val="00CB7B18"/>
    <w:rsid w:val="00CB7B4A"/>
    <w:rsid w:val="00CC027D"/>
    <w:rsid w:val="00CC0673"/>
    <w:rsid w:val="00CC0893"/>
    <w:rsid w:val="00CC1485"/>
    <w:rsid w:val="00CC17BC"/>
    <w:rsid w:val="00CC1956"/>
    <w:rsid w:val="00CC2BAF"/>
    <w:rsid w:val="00CC2F21"/>
    <w:rsid w:val="00CC303E"/>
    <w:rsid w:val="00CC41AC"/>
    <w:rsid w:val="00CC5588"/>
    <w:rsid w:val="00CC5763"/>
    <w:rsid w:val="00CC57FF"/>
    <w:rsid w:val="00CC6A12"/>
    <w:rsid w:val="00CC7237"/>
    <w:rsid w:val="00CC73C0"/>
    <w:rsid w:val="00CC743C"/>
    <w:rsid w:val="00CC7940"/>
    <w:rsid w:val="00CD2AD2"/>
    <w:rsid w:val="00CD3889"/>
    <w:rsid w:val="00CD4203"/>
    <w:rsid w:val="00CD4636"/>
    <w:rsid w:val="00CD5C24"/>
    <w:rsid w:val="00CD5E37"/>
    <w:rsid w:val="00CD5F64"/>
    <w:rsid w:val="00CD69A8"/>
    <w:rsid w:val="00CD7B24"/>
    <w:rsid w:val="00CE09C4"/>
    <w:rsid w:val="00CE1214"/>
    <w:rsid w:val="00CE12C3"/>
    <w:rsid w:val="00CE1E2A"/>
    <w:rsid w:val="00CE235D"/>
    <w:rsid w:val="00CE267B"/>
    <w:rsid w:val="00CE2C5A"/>
    <w:rsid w:val="00CE3AAA"/>
    <w:rsid w:val="00CE432E"/>
    <w:rsid w:val="00CE4C30"/>
    <w:rsid w:val="00CE4FAB"/>
    <w:rsid w:val="00CE56E4"/>
    <w:rsid w:val="00CE5874"/>
    <w:rsid w:val="00CE59EA"/>
    <w:rsid w:val="00CF053F"/>
    <w:rsid w:val="00CF08C9"/>
    <w:rsid w:val="00CF0CFC"/>
    <w:rsid w:val="00CF25B1"/>
    <w:rsid w:val="00CF2EFE"/>
    <w:rsid w:val="00CF35E1"/>
    <w:rsid w:val="00CF42AE"/>
    <w:rsid w:val="00CF4390"/>
    <w:rsid w:val="00CF4BD6"/>
    <w:rsid w:val="00CF4D8C"/>
    <w:rsid w:val="00CF5AE1"/>
    <w:rsid w:val="00CF64EC"/>
    <w:rsid w:val="00CF7B7E"/>
    <w:rsid w:val="00CF7FD4"/>
    <w:rsid w:val="00D000C8"/>
    <w:rsid w:val="00D01176"/>
    <w:rsid w:val="00D013F9"/>
    <w:rsid w:val="00D0168C"/>
    <w:rsid w:val="00D01E4B"/>
    <w:rsid w:val="00D026F0"/>
    <w:rsid w:val="00D02F63"/>
    <w:rsid w:val="00D0321B"/>
    <w:rsid w:val="00D03D4C"/>
    <w:rsid w:val="00D040E9"/>
    <w:rsid w:val="00D043D0"/>
    <w:rsid w:val="00D05FF6"/>
    <w:rsid w:val="00D06BC3"/>
    <w:rsid w:val="00D119DB"/>
    <w:rsid w:val="00D11DCC"/>
    <w:rsid w:val="00D13B04"/>
    <w:rsid w:val="00D140F8"/>
    <w:rsid w:val="00D14943"/>
    <w:rsid w:val="00D14E60"/>
    <w:rsid w:val="00D16E05"/>
    <w:rsid w:val="00D16E0E"/>
    <w:rsid w:val="00D2108F"/>
    <w:rsid w:val="00D21A1B"/>
    <w:rsid w:val="00D23D79"/>
    <w:rsid w:val="00D24925"/>
    <w:rsid w:val="00D25D68"/>
    <w:rsid w:val="00D2613A"/>
    <w:rsid w:val="00D26AB8"/>
    <w:rsid w:val="00D26C35"/>
    <w:rsid w:val="00D274D2"/>
    <w:rsid w:val="00D27D03"/>
    <w:rsid w:val="00D30BCD"/>
    <w:rsid w:val="00D30D80"/>
    <w:rsid w:val="00D31A4F"/>
    <w:rsid w:val="00D32388"/>
    <w:rsid w:val="00D336D3"/>
    <w:rsid w:val="00D33B88"/>
    <w:rsid w:val="00D33C7E"/>
    <w:rsid w:val="00D34192"/>
    <w:rsid w:val="00D36516"/>
    <w:rsid w:val="00D36D04"/>
    <w:rsid w:val="00D37C6D"/>
    <w:rsid w:val="00D40D81"/>
    <w:rsid w:val="00D40F17"/>
    <w:rsid w:val="00D410D5"/>
    <w:rsid w:val="00D425DB"/>
    <w:rsid w:val="00D439FA"/>
    <w:rsid w:val="00D43A75"/>
    <w:rsid w:val="00D43F34"/>
    <w:rsid w:val="00D44B0B"/>
    <w:rsid w:val="00D4507B"/>
    <w:rsid w:val="00D45DFF"/>
    <w:rsid w:val="00D469DE"/>
    <w:rsid w:val="00D501F7"/>
    <w:rsid w:val="00D505B4"/>
    <w:rsid w:val="00D50DE7"/>
    <w:rsid w:val="00D51009"/>
    <w:rsid w:val="00D514EF"/>
    <w:rsid w:val="00D5292B"/>
    <w:rsid w:val="00D52D3C"/>
    <w:rsid w:val="00D538C9"/>
    <w:rsid w:val="00D544A7"/>
    <w:rsid w:val="00D559DE"/>
    <w:rsid w:val="00D55AE9"/>
    <w:rsid w:val="00D55B9A"/>
    <w:rsid w:val="00D610DD"/>
    <w:rsid w:val="00D615B4"/>
    <w:rsid w:val="00D63378"/>
    <w:rsid w:val="00D6435B"/>
    <w:rsid w:val="00D64380"/>
    <w:rsid w:val="00D64A63"/>
    <w:rsid w:val="00D64BCF"/>
    <w:rsid w:val="00D65A47"/>
    <w:rsid w:val="00D661CC"/>
    <w:rsid w:val="00D66437"/>
    <w:rsid w:val="00D6689D"/>
    <w:rsid w:val="00D707C8"/>
    <w:rsid w:val="00D70ACC"/>
    <w:rsid w:val="00D70E7B"/>
    <w:rsid w:val="00D70EB9"/>
    <w:rsid w:val="00D714B3"/>
    <w:rsid w:val="00D726C4"/>
    <w:rsid w:val="00D731CC"/>
    <w:rsid w:val="00D736D3"/>
    <w:rsid w:val="00D73771"/>
    <w:rsid w:val="00D73910"/>
    <w:rsid w:val="00D739A6"/>
    <w:rsid w:val="00D73D64"/>
    <w:rsid w:val="00D7486A"/>
    <w:rsid w:val="00D75ACF"/>
    <w:rsid w:val="00D76EE8"/>
    <w:rsid w:val="00D77402"/>
    <w:rsid w:val="00D77766"/>
    <w:rsid w:val="00D80442"/>
    <w:rsid w:val="00D80AEB"/>
    <w:rsid w:val="00D8160B"/>
    <w:rsid w:val="00D81723"/>
    <w:rsid w:val="00D82679"/>
    <w:rsid w:val="00D82EEB"/>
    <w:rsid w:val="00D83DF5"/>
    <w:rsid w:val="00D85A32"/>
    <w:rsid w:val="00D8666C"/>
    <w:rsid w:val="00D905AC"/>
    <w:rsid w:val="00D91880"/>
    <w:rsid w:val="00D9188C"/>
    <w:rsid w:val="00D91ABD"/>
    <w:rsid w:val="00D93112"/>
    <w:rsid w:val="00D93509"/>
    <w:rsid w:val="00D944E1"/>
    <w:rsid w:val="00D94884"/>
    <w:rsid w:val="00D97159"/>
    <w:rsid w:val="00D9734D"/>
    <w:rsid w:val="00DA0CC5"/>
    <w:rsid w:val="00DA208A"/>
    <w:rsid w:val="00DA208C"/>
    <w:rsid w:val="00DA2605"/>
    <w:rsid w:val="00DA2B94"/>
    <w:rsid w:val="00DA2C77"/>
    <w:rsid w:val="00DA3B69"/>
    <w:rsid w:val="00DA4362"/>
    <w:rsid w:val="00DA518D"/>
    <w:rsid w:val="00DA6F09"/>
    <w:rsid w:val="00DA74BD"/>
    <w:rsid w:val="00DA7EDB"/>
    <w:rsid w:val="00DB095B"/>
    <w:rsid w:val="00DB0DF4"/>
    <w:rsid w:val="00DB385A"/>
    <w:rsid w:val="00DB454C"/>
    <w:rsid w:val="00DB533E"/>
    <w:rsid w:val="00DB5ADA"/>
    <w:rsid w:val="00DB6671"/>
    <w:rsid w:val="00DB7348"/>
    <w:rsid w:val="00DC20CA"/>
    <w:rsid w:val="00DC283C"/>
    <w:rsid w:val="00DC3674"/>
    <w:rsid w:val="00DC42D2"/>
    <w:rsid w:val="00DC4D82"/>
    <w:rsid w:val="00DC50DA"/>
    <w:rsid w:val="00DC5FD9"/>
    <w:rsid w:val="00DC605E"/>
    <w:rsid w:val="00DC6231"/>
    <w:rsid w:val="00DC67DA"/>
    <w:rsid w:val="00DC68DA"/>
    <w:rsid w:val="00DD12C5"/>
    <w:rsid w:val="00DD2A84"/>
    <w:rsid w:val="00DD2E5F"/>
    <w:rsid w:val="00DD3CDF"/>
    <w:rsid w:val="00DD3D76"/>
    <w:rsid w:val="00DD3E9E"/>
    <w:rsid w:val="00DD40AA"/>
    <w:rsid w:val="00DD4683"/>
    <w:rsid w:val="00DD4C9E"/>
    <w:rsid w:val="00DD5F5A"/>
    <w:rsid w:val="00DD6CD9"/>
    <w:rsid w:val="00DD6D2D"/>
    <w:rsid w:val="00DD6EF6"/>
    <w:rsid w:val="00DD7BE8"/>
    <w:rsid w:val="00DE0DCE"/>
    <w:rsid w:val="00DE2DB3"/>
    <w:rsid w:val="00DE306E"/>
    <w:rsid w:val="00DE33E0"/>
    <w:rsid w:val="00DE496B"/>
    <w:rsid w:val="00DE4BB5"/>
    <w:rsid w:val="00DE57BB"/>
    <w:rsid w:val="00DE5C45"/>
    <w:rsid w:val="00DE5C86"/>
    <w:rsid w:val="00DE5F1C"/>
    <w:rsid w:val="00DF1CBC"/>
    <w:rsid w:val="00DF2101"/>
    <w:rsid w:val="00DF2ADA"/>
    <w:rsid w:val="00DF2BA2"/>
    <w:rsid w:val="00DF3CFC"/>
    <w:rsid w:val="00DF4245"/>
    <w:rsid w:val="00DF6E23"/>
    <w:rsid w:val="00DF6FFA"/>
    <w:rsid w:val="00DF7397"/>
    <w:rsid w:val="00DF7615"/>
    <w:rsid w:val="00DF7A98"/>
    <w:rsid w:val="00E00CD1"/>
    <w:rsid w:val="00E01C9B"/>
    <w:rsid w:val="00E01FBC"/>
    <w:rsid w:val="00E026B9"/>
    <w:rsid w:val="00E0277E"/>
    <w:rsid w:val="00E029C8"/>
    <w:rsid w:val="00E02F4E"/>
    <w:rsid w:val="00E0301F"/>
    <w:rsid w:val="00E0332D"/>
    <w:rsid w:val="00E03BC8"/>
    <w:rsid w:val="00E03BE4"/>
    <w:rsid w:val="00E0573E"/>
    <w:rsid w:val="00E07841"/>
    <w:rsid w:val="00E079F7"/>
    <w:rsid w:val="00E07B06"/>
    <w:rsid w:val="00E10644"/>
    <w:rsid w:val="00E10AAA"/>
    <w:rsid w:val="00E10E58"/>
    <w:rsid w:val="00E11B47"/>
    <w:rsid w:val="00E11DD5"/>
    <w:rsid w:val="00E12B2D"/>
    <w:rsid w:val="00E12CD9"/>
    <w:rsid w:val="00E12D72"/>
    <w:rsid w:val="00E133EF"/>
    <w:rsid w:val="00E13E1D"/>
    <w:rsid w:val="00E14BCD"/>
    <w:rsid w:val="00E14CE7"/>
    <w:rsid w:val="00E152B8"/>
    <w:rsid w:val="00E156ED"/>
    <w:rsid w:val="00E157B6"/>
    <w:rsid w:val="00E15E33"/>
    <w:rsid w:val="00E165A5"/>
    <w:rsid w:val="00E16608"/>
    <w:rsid w:val="00E1761C"/>
    <w:rsid w:val="00E17790"/>
    <w:rsid w:val="00E216E8"/>
    <w:rsid w:val="00E223A4"/>
    <w:rsid w:val="00E22E6F"/>
    <w:rsid w:val="00E2476B"/>
    <w:rsid w:val="00E24D06"/>
    <w:rsid w:val="00E253AB"/>
    <w:rsid w:val="00E25CB3"/>
    <w:rsid w:val="00E267B8"/>
    <w:rsid w:val="00E26F79"/>
    <w:rsid w:val="00E27ECC"/>
    <w:rsid w:val="00E30CA1"/>
    <w:rsid w:val="00E30F42"/>
    <w:rsid w:val="00E310B0"/>
    <w:rsid w:val="00E3234F"/>
    <w:rsid w:val="00E32726"/>
    <w:rsid w:val="00E32AEC"/>
    <w:rsid w:val="00E33A31"/>
    <w:rsid w:val="00E3459F"/>
    <w:rsid w:val="00E34988"/>
    <w:rsid w:val="00E34F81"/>
    <w:rsid w:val="00E34FD2"/>
    <w:rsid w:val="00E372F8"/>
    <w:rsid w:val="00E37618"/>
    <w:rsid w:val="00E40527"/>
    <w:rsid w:val="00E4068C"/>
    <w:rsid w:val="00E40C7A"/>
    <w:rsid w:val="00E4118A"/>
    <w:rsid w:val="00E412C8"/>
    <w:rsid w:val="00E42751"/>
    <w:rsid w:val="00E43278"/>
    <w:rsid w:val="00E44EB0"/>
    <w:rsid w:val="00E458D0"/>
    <w:rsid w:val="00E46579"/>
    <w:rsid w:val="00E47BA0"/>
    <w:rsid w:val="00E47E88"/>
    <w:rsid w:val="00E50267"/>
    <w:rsid w:val="00E51988"/>
    <w:rsid w:val="00E5199D"/>
    <w:rsid w:val="00E51A42"/>
    <w:rsid w:val="00E51B05"/>
    <w:rsid w:val="00E51FF3"/>
    <w:rsid w:val="00E529A0"/>
    <w:rsid w:val="00E534E4"/>
    <w:rsid w:val="00E53B82"/>
    <w:rsid w:val="00E5404F"/>
    <w:rsid w:val="00E5412F"/>
    <w:rsid w:val="00E5494B"/>
    <w:rsid w:val="00E54BCE"/>
    <w:rsid w:val="00E54D38"/>
    <w:rsid w:val="00E54E76"/>
    <w:rsid w:val="00E55340"/>
    <w:rsid w:val="00E55E7D"/>
    <w:rsid w:val="00E56000"/>
    <w:rsid w:val="00E60606"/>
    <w:rsid w:val="00E6070A"/>
    <w:rsid w:val="00E60926"/>
    <w:rsid w:val="00E60966"/>
    <w:rsid w:val="00E61737"/>
    <w:rsid w:val="00E61F2B"/>
    <w:rsid w:val="00E62019"/>
    <w:rsid w:val="00E627E3"/>
    <w:rsid w:val="00E62AC3"/>
    <w:rsid w:val="00E6354E"/>
    <w:rsid w:val="00E638F9"/>
    <w:rsid w:val="00E63F6B"/>
    <w:rsid w:val="00E64550"/>
    <w:rsid w:val="00E649BF"/>
    <w:rsid w:val="00E65C0D"/>
    <w:rsid w:val="00E66538"/>
    <w:rsid w:val="00E67CB5"/>
    <w:rsid w:val="00E71F4E"/>
    <w:rsid w:val="00E721CD"/>
    <w:rsid w:val="00E73F18"/>
    <w:rsid w:val="00E74306"/>
    <w:rsid w:val="00E76046"/>
    <w:rsid w:val="00E76422"/>
    <w:rsid w:val="00E76993"/>
    <w:rsid w:val="00E7728F"/>
    <w:rsid w:val="00E77600"/>
    <w:rsid w:val="00E77A7C"/>
    <w:rsid w:val="00E77C8B"/>
    <w:rsid w:val="00E77F3F"/>
    <w:rsid w:val="00E80240"/>
    <w:rsid w:val="00E80496"/>
    <w:rsid w:val="00E80629"/>
    <w:rsid w:val="00E80B60"/>
    <w:rsid w:val="00E8179F"/>
    <w:rsid w:val="00E82308"/>
    <w:rsid w:val="00E826BA"/>
    <w:rsid w:val="00E82773"/>
    <w:rsid w:val="00E830E2"/>
    <w:rsid w:val="00E8323C"/>
    <w:rsid w:val="00E83FBA"/>
    <w:rsid w:val="00E84462"/>
    <w:rsid w:val="00E859F7"/>
    <w:rsid w:val="00E8655D"/>
    <w:rsid w:val="00E8696D"/>
    <w:rsid w:val="00E87258"/>
    <w:rsid w:val="00E874CE"/>
    <w:rsid w:val="00E878B4"/>
    <w:rsid w:val="00E879E4"/>
    <w:rsid w:val="00E9197E"/>
    <w:rsid w:val="00E91D76"/>
    <w:rsid w:val="00E92CCC"/>
    <w:rsid w:val="00E93FE0"/>
    <w:rsid w:val="00E95125"/>
    <w:rsid w:val="00E96325"/>
    <w:rsid w:val="00E96724"/>
    <w:rsid w:val="00E96D2B"/>
    <w:rsid w:val="00E970B1"/>
    <w:rsid w:val="00E970DF"/>
    <w:rsid w:val="00E97AD4"/>
    <w:rsid w:val="00EA04AC"/>
    <w:rsid w:val="00EA0CDA"/>
    <w:rsid w:val="00EA1E6D"/>
    <w:rsid w:val="00EA2287"/>
    <w:rsid w:val="00EA3241"/>
    <w:rsid w:val="00EA4908"/>
    <w:rsid w:val="00EA59DE"/>
    <w:rsid w:val="00EA5C3A"/>
    <w:rsid w:val="00EA5F30"/>
    <w:rsid w:val="00EA603A"/>
    <w:rsid w:val="00EA6741"/>
    <w:rsid w:val="00EA6883"/>
    <w:rsid w:val="00EB027D"/>
    <w:rsid w:val="00EB0A34"/>
    <w:rsid w:val="00EB0BDC"/>
    <w:rsid w:val="00EB2138"/>
    <w:rsid w:val="00EB25C5"/>
    <w:rsid w:val="00EB315E"/>
    <w:rsid w:val="00EB3540"/>
    <w:rsid w:val="00EB3D97"/>
    <w:rsid w:val="00EB455F"/>
    <w:rsid w:val="00EB4618"/>
    <w:rsid w:val="00EB4971"/>
    <w:rsid w:val="00EB4B86"/>
    <w:rsid w:val="00EB5942"/>
    <w:rsid w:val="00EB67CB"/>
    <w:rsid w:val="00EB6818"/>
    <w:rsid w:val="00EC05BF"/>
    <w:rsid w:val="00EC0E6E"/>
    <w:rsid w:val="00EC17D4"/>
    <w:rsid w:val="00EC268E"/>
    <w:rsid w:val="00EC27FC"/>
    <w:rsid w:val="00EC285C"/>
    <w:rsid w:val="00EC2D07"/>
    <w:rsid w:val="00EC2DDF"/>
    <w:rsid w:val="00EC2E49"/>
    <w:rsid w:val="00EC36CC"/>
    <w:rsid w:val="00EC3FA5"/>
    <w:rsid w:val="00EC5032"/>
    <w:rsid w:val="00EC50BF"/>
    <w:rsid w:val="00EC78B9"/>
    <w:rsid w:val="00ED0634"/>
    <w:rsid w:val="00ED09CE"/>
    <w:rsid w:val="00ED0D8E"/>
    <w:rsid w:val="00ED0DED"/>
    <w:rsid w:val="00ED0F89"/>
    <w:rsid w:val="00ED15D9"/>
    <w:rsid w:val="00ED1745"/>
    <w:rsid w:val="00ED1848"/>
    <w:rsid w:val="00ED18C5"/>
    <w:rsid w:val="00ED231D"/>
    <w:rsid w:val="00ED2BD6"/>
    <w:rsid w:val="00ED2CF9"/>
    <w:rsid w:val="00ED4DE3"/>
    <w:rsid w:val="00ED6786"/>
    <w:rsid w:val="00ED770B"/>
    <w:rsid w:val="00EE0AFE"/>
    <w:rsid w:val="00EE5A64"/>
    <w:rsid w:val="00EE5FF2"/>
    <w:rsid w:val="00EE6A2D"/>
    <w:rsid w:val="00EF1481"/>
    <w:rsid w:val="00EF1CFD"/>
    <w:rsid w:val="00EF2762"/>
    <w:rsid w:val="00EF2A1E"/>
    <w:rsid w:val="00EF388C"/>
    <w:rsid w:val="00EF460D"/>
    <w:rsid w:val="00EF4699"/>
    <w:rsid w:val="00EF469D"/>
    <w:rsid w:val="00EF4E2D"/>
    <w:rsid w:val="00EF5555"/>
    <w:rsid w:val="00EF56B9"/>
    <w:rsid w:val="00EF5F93"/>
    <w:rsid w:val="00EF6413"/>
    <w:rsid w:val="00EF695D"/>
    <w:rsid w:val="00EF6A9F"/>
    <w:rsid w:val="00EF78EB"/>
    <w:rsid w:val="00EF7E42"/>
    <w:rsid w:val="00F01C2F"/>
    <w:rsid w:val="00F01CC2"/>
    <w:rsid w:val="00F02548"/>
    <w:rsid w:val="00F02A87"/>
    <w:rsid w:val="00F0344F"/>
    <w:rsid w:val="00F035B4"/>
    <w:rsid w:val="00F03943"/>
    <w:rsid w:val="00F04D5A"/>
    <w:rsid w:val="00F058E1"/>
    <w:rsid w:val="00F07648"/>
    <w:rsid w:val="00F07D2B"/>
    <w:rsid w:val="00F10179"/>
    <w:rsid w:val="00F1245E"/>
    <w:rsid w:val="00F12711"/>
    <w:rsid w:val="00F139FC"/>
    <w:rsid w:val="00F13CC2"/>
    <w:rsid w:val="00F13CC4"/>
    <w:rsid w:val="00F13E1E"/>
    <w:rsid w:val="00F140AE"/>
    <w:rsid w:val="00F1469F"/>
    <w:rsid w:val="00F149A9"/>
    <w:rsid w:val="00F15466"/>
    <w:rsid w:val="00F155C9"/>
    <w:rsid w:val="00F16FCF"/>
    <w:rsid w:val="00F20153"/>
    <w:rsid w:val="00F21B9A"/>
    <w:rsid w:val="00F21D4E"/>
    <w:rsid w:val="00F225C6"/>
    <w:rsid w:val="00F23117"/>
    <w:rsid w:val="00F234E0"/>
    <w:rsid w:val="00F23EB6"/>
    <w:rsid w:val="00F248E3"/>
    <w:rsid w:val="00F25C03"/>
    <w:rsid w:val="00F26594"/>
    <w:rsid w:val="00F268CE"/>
    <w:rsid w:val="00F26B7D"/>
    <w:rsid w:val="00F30F05"/>
    <w:rsid w:val="00F3102F"/>
    <w:rsid w:val="00F3125A"/>
    <w:rsid w:val="00F331C1"/>
    <w:rsid w:val="00F334C5"/>
    <w:rsid w:val="00F34085"/>
    <w:rsid w:val="00F34955"/>
    <w:rsid w:val="00F34C22"/>
    <w:rsid w:val="00F34C91"/>
    <w:rsid w:val="00F35686"/>
    <w:rsid w:val="00F35BE0"/>
    <w:rsid w:val="00F36E89"/>
    <w:rsid w:val="00F36FC1"/>
    <w:rsid w:val="00F370A3"/>
    <w:rsid w:val="00F40213"/>
    <w:rsid w:val="00F40A03"/>
    <w:rsid w:val="00F40A31"/>
    <w:rsid w:val="00F40EBC"/>
    <w:rsid w:val="00F43219"/>
    <w:rsid w:val="00F434E9"/>
    <w:rsid w:val="00F43B74"/>
    <w:rsid w:val="00F43E9C"/>
    <w:rsid w:val="00F45B48"/>
    <w:rsid w:val="00F46107"/>
    <w:rsid w:val="00F470F2"/>
    <w:rsid w:val="00F4782B"/>
    <w:rsid w:val="00F51801"/>
    <w:rsid w:val="00F52BB5"/>
    <w:rsid w:val="00F53860"/>
    <w:rsid w:val="00F5522B"/>
    <w:rsid w:val="00F556E9"/>
    <w:rsid w:val="00F55B30"/>
    <w:rsid w:val="00F562FB"/>
    <w:rsid w:val="00F565A8"/>
    <w:rsid w:val="00F5661A"/>
    <w:rsid w:val="00F56E2C"/>
    <w:rsid w:val="00F57554"/>
    <w:rsid w:val="00F57E22"/>
    <w:rsid w:val="00F57E3E"/>
    <w:rsid w:val="00F60914"/>
    <w:rsid w:val="00F6197D"/>
    <w:rsid w:val="00F62A77"/>
    <w:rsid w:val="00F62EF3"/>
    <w:rsid w:val="00F64B4A"/>
    <w:rsid w:val="00F64BFD"/>
    <w:rsid w:val="00F64DD5"/>
    <w:rsid w:val="00F67177"/>
    <w:rsid w:val="00F70B07"/>
    <w:rsid w:val="00F717A0"/>
    <w:rsid w:val="00F717D6"/>
    <w:rsid w:val="00F71AB9"/>
    <w:rsid w:val="00F71FDE"/>
    <w:rsid w:val="00F72076"/>
    <w:rsid w:val="00F72C59"/>
    <w:rsid w:val="00F73086"/>
    <w:rsid w:val="00F732E0"/>
    <w:rsid w:val="00F741D8"/>
    <w:rsid w:val="00F7424A"/>
    <w:rsid w:val="00F7445E"/>
    <w:rsid w:val="00F74F97"/>
    <w:rsid w:val="00F75798"/>
    <w:rsid w:val="00F75FD6"/>
    <w:rsid w:val="00F766F8"/>
    <w:rsid w:val="00F7739E"/>
    <w:rsid w:val="00F811B0"/>
    <w:rsid w:val="00F817A0"/>
    <w:rsid w:val="00F822F7"/>
    <w:rsid w:val="00F83035"/>
    <w:rsid w:val="00F837E7"/>
    <w:rsid w:val="00F83A21"/>
    <w:rsid w:val="00F83F57"/>
    <w:rsid w:val="00F847AD"/>
    <w:rsid w:val="00F85CC6"/>
    <w:rsid w:val="00F866DD"/>
    <w:rsid w:val="00F875C0"/>
    <w:rsid w:val="00F875CE"/>
    <w:rsid w:val="00F906EE"/>
    <w:rsid w:val="00F90DE0"/>
    <w:rsid w:val="00F91B7C"/>
    <w:rsid w:val="00F92362"/>
    <w:rsid w:val="00F931D2"/>
    <w:rsid w:val="00F933B2"/>
    <w:rsid w:val="00F93A03"/>
    <w:rsid w:val="00F940A6"/>
    <w:rsid w:val="00F946A3"/>
    <w:rsid w:val="00F94973"/>
    <w:rsid w:val="00F9553D"/>
    <w:rsid w:val="00F96622"/>
    <w:rsid w:val="00F96D65"/>
    <w:rsid w:val="00F96E3D"/>
    <w:rsid w:val="00F973DF"/>
    <w:rsid w:val="00F97C7B"/>
    <w:rsid w:val="00F97C8D"/>
    <w:rsid w:val="00F97D69"/>
    <w:rsid w:val="00FA03F1"/>
    <w:rsid w:val="00FA0CDF"/>
    <w:rsid w:val="00FA0F72"/>
    <w:rsid w:val="00FA1421"/>
    <w:rsid w:val="00FA14BB"/>
    <w:rsid w:val="00FA1A3C"/>
    <w:rsid w:val="00FA1E00"/>
    <w:rsid w:val="00FA1EC5"/>
    <w:rsid w:val="00FA2C59"/>
    <w:rsid w:val="00FA3060"/>
    <w:rsid w:val="00FA3ACD"/>
    <w:rsid w:val="00FA4D42"/>
    <w:rsid w:val="00FA569C"/>
    <w:rsid w:val="00FA5868"/>
    <w:rsid w:val="00FA5A48"/>
    <w:rsid w:val="00FA6E62"/>
    <w:rsid w:val="00FA7C42"/>
    <w:rsid w:val="00FB0095"/>
    <w:rsid w:val="00FB0178"/>
    <w:rsid w:val="00FB0DBF"/>
    <w:rsid w:val="00FB1486"/>
    <w:rsid w:val="00FB21BD"/>
    <w:rsid w:val="00FB24D6"/>
    <w:rsid w:val="00FB2A45"/>
    <w:rsid w:val="00FB2AE0"/>
    <w:rsid w:val="00FB3040"/>
    <w:rsid w:val="00FB3E27"/>
    <w:rsid w:val="00FB46B5"/>
    <w:rsid w:val="00FB474A"/>
    <w:rsid w:val="00FB51B3"/>
    <w:rsid w:val="00FB5924"/>
    <w:rsid w:val="00FB5956"/>
    <w:rsid w:val="00FB613E"/>
    <w:rsid w:val="00FB61BE"/>
    <w:rsid w:val="00FB7A38"/>
    <w:rsid w:val="00FB7EB2"/>
    <w:rsid w:val="00FB7F6E"/>
    <w:rsid w:val="00FC05E9"/>
    <w:rsid w:val="00FC08AE"/>
    <w:rsid w:val="00FC1ACE"/>
    <w:rsid w:val="00FC220E"/>
    <w:rsid w:val="00FC223E"/>
    <w:rsid w:val="00FC239E"/>
    <w:rsid w:val="00FC2AF9"/>
    <w:rsid w:val="00FC2BE0"/>
    <w:rsid w:val="00FC36EC"/>
    <w:rsid w:val="00FC4664"/>
    <w:rsid w:val="00FC520B"/>
    <w:rsid w:val="00FC5732"/>
    <w:rsid w:val="00FC5EF4"/>
    <w:rsid w:val="00FC6167"/>
    <w:rsid w:val="00FC6854"/>
    <w:rsid w:val="00FC6D21"/>
    <w:rsid w:val="00FC7DAC"/>
    <w:rsid w:val="00FD02A8"/>
    <w:rsid w:val="00FD0E95"/>
    <w:rsid w:val="00FD2A91"/>
    <w:rsid w:val="00FD2B92"/>
    <w:rsid w:val="00FD2D2B"/>
    <w:rsid w:val="00FD3139"/>
    <w:rsid w:val="00FD3F32"/>
    <w:rsid w:val="00FD455B"/>
    <w:rsid w:val="00FD4577"/>
    <w:rsid w:val="00FD47C1"/>
    <w:rsid w:val="00FD542E"/>
    <w:rsid w:val="00FD5FE8"/>
    <w:rsid w:val="00FD6D87"/>
    <w:rsid w:val="00FE0B1C"/>
    <w:rsid w:val="00FE0B7D"/>
    <w:rsid w:val="00FE0CB9"/>
    <w:rsid w:val="00FE18A0"/>
    <w:rsid w:val="00FE2835"/>
    <w:rsid w:val="00FE31F4"/>
    <w:rsid w:val="00FE3406"/>
    <w:rsid w:val="00FE379D"/>
    <w:rsid w:val="00FE4304"/>
    <w:rsid w:val="00FE45AD"/>
    <w:rsid w:val="00FE54E3"/>
    <w:rsid w:val="00FE58B6"/>
    <w:rsid w:val="00FE5DC6"/>
    <w:rsid w:val="00FE73B7"/>
    <w:rsid w:val="00FE7A0F"/>
    <w:rsid w:val="00FF0580"/>
    <w:rsid w:val="00FF160F"/>
    <w:rsid w:val="00FF174D"/>
    <w:rsid w:val="00FF178B"/>
    <w:rsid w:val="00FF2146"/>
    <w:rsid w:val="00FF27F9"/>
    <w:rsid w:val="00FF3185"/>
    <w:rsid w:val="00FF32B7"/>
    <w:rsid w:val="00FF3407"/>
    <w:rsid w:val="00FF6A08"/>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46081" o:allowincell="f" fillcolor="white">
      <v:fill color="white"/>
    </o:shapedefaults>
    <o:shapelayout v:ext="edit">
      <o:idmap v:ext="edit" data="1"/>
    </o:shapelayout>
  </w:shapeDefaults>
  <w:decimalSymbol w:val="."/>
  <w:listSeparator w:val=","/>
  <w14:docId w14:val="28EB6ADF"/>
  <w15:chartTrackingRefBased/>
  <w15:docId w15:val="{ADD36DA7-8197-47A6-84F5-15111E9F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bCs/>
        <w:color w:val="000000"/>
        <w:spacing w:val="-6"/>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FCA"/>
    <w:pPr>
      <w:spacing w:before="60" w:after="60"/>
    </w:pPr>
  </w:style>
  <w:style w:type="paragraph" w:styleId="Heading1">
    <w:name w:val="heading 1"/>
    <w:basedOn w:val="Normal"/>
    <w:next w:val="Normal"/>
    <w:link w:val="Heading1Char"/>
    <w:qFormat/>
    <w:rsid w:val="009D5D2F"/>
    <w:pPr>
      <w:keepNext/>
      <w:pageBreakBefore/>
      <w:numPr>
        <w:numId w:val="14"/>
      </w:numPr>
      <w:spacing w:before="240" w:after="240"/>
      <w:outlineLvl w:val="0"/>
    </w:pPr>
    <w:rPr>
      <w:rFonts w:cs="Arial"/>
      <w:b/>
      <w:bCs w:val="0"/>
      <w:kern w:val="32"/>
      <w:sz w:val="32"/>
      <w:szCs w:val="32"/>
    </w:rPr>
  </w:style>
  <w:style w:type="paragraph" w:styleId="Heading2">
    <w:name w:val="heading 2"/>
    <w:basedOn w:val="Normal"/>
    <w:next w:val="Normal"/>
    <w:link w:val="Heading2Char"/>
    <w:qFormat/>
    <w:rsid w:val="00477101"/>
    <w:pPr>
      <w:widowControl w:val="0"/>
      <w:numPr>
        <w:ilvl w:val="1"/>
        <w:numId w:val="14"/>
      </w:numPr>
      <w:autoSpaceDE w:val="0"/>
      <w:autoSpaceDN w:val="0"/>
      <w:adjustRightInd w:val="0"/>
      <w:spacing w:before="120" w:after="120"/>
      <w:outlineLvl w:val="1"/>
    </w:pPr>
    <w:rPr>
      <w:b/>
      <w:lang w:val="en-GB"/>
    </w:rPr>
  </w:style>
  <w:style w:type="paragraph" w:styleId="Heading3">
    <w:name w:val="heading 3"/>
    <w:basedOn w:val="Normal"/>
    <w:next w:val="Normal"/>
    <w:link w:val="Heading3Char"/>
    <w:qFormat/>
    <w:rsid w:val="006639AA"/>
    <w:pPr>
      <w:keepNext/>
      <w:widowControl w:val="0"/>
      <w:numPr>
        <w:ilvl w:val="2"/>
        <w:numId w:val="14"/>
      </w:numPr>
      <w:tabs>
        <w:tab w:val="center" w:pos="4860"/>
      </w:tabs>
      <w:spacing w:before="120"/>
      <w:ind w:left="1344" w:hanging="624"/>
      <w:outlineLvl w:val="2"/>
    </w:pPr>
    <w:rPr>
      <w:u w:val="single"/>
      <w:lang w:val="en-GB"/>
    </w:rPr>
  </w:style>
  <w:style w:type="paragraph" w:styleId="Heading4">
    <w:name w:val="heading 4"/>
    <w:basedOn w:val="Normal"/>
    <w:next w:val="Normal"/>
    <w:qFormat/>
    <w:rsid w:val="00477101"/>
    <w:pPr>
      <w:keepNext/>
      <w:numPr>
        <w:ilvl w:val="3"/>
        <w:numId w:val="14"/>
      </w:numPr>
      <w:tabs>
        <w:tab w:val="left" w:pos="1080"/>
      </w:tabs>
      <w:spacing w:before="120"/>
      <w:outlineLvl w:val="3"/>
    </w:pPr>
    <w:rPr>
      <w:u w:val="single"/>
    </w:rPr>
  </w:style>
  <w:style w:type="paragraph" w:styleId="Heading5">
    <w:name w:val="heading 5"/>
    <w:basedOn w:val="Normal"/>
    <w:next w:val="Normal"/>
    <w:qFormat/>
    <w:rsid w:val="0053573D"/>
    <w:pPr>
      <w:keepNext/>
      <w:outlineLvl w:val="4"/>
    </w:pPr>
    <w:rPr>
      <w:u w:val="single"/>
      <w:lang w:val="en-GB"/>
    </w:rPr>
  </w:style>
  <w:style w:type="paragraph" w:styleId="Heading6">
    <w:name w:val="heading 6"/>
    <w:basedOn w:val="Normal"/>
    <w:next w:val="Normal"/>
    <w:qFormat/>
    <w:rsid w:val="0053573D"/>
    <w:pPr>
      <w:spacing w:before="240"/>
      <w:outlineLvl w:val="5"/>
    </w:pPr>
    <w:rPr>
      <w:i/>
      <w:sz w:val="22"/>
    </w:rPr>
  </w:style>
  <w:style w:type="paragraph" w:styleId="Heading7">
    <w:name w:val="heading 7"/>
    <w:basedOn w:val="Normal"/>
    <w:next w:val="Normal"/>
    <w:qFormat/>
    <w:rsid w:val="0053573D"/>
    <w:pPr>
      <w:spacing w:before="240"/>
      <w:outlineLvl w:val="6"/>
    </w:pPr>
    <w:rPr>
      <w:sz w:val="20"/>
    </w:rPr>
  </w:style>
  <w:style w:type="paragraph" w:styleId="Heading8">
    <w:name w:val="heading 8"/>
    <w:basedOn w:val="Normal"/>
    <w:next w:val="Normal"/>
    <w:qFormat/>
    <w:rsid w:val="0053573D"/>
    <w:pPr>
      <w:spacing w:before="240"/>
      <w:outlineLvl w:val="7"/>
    </w:pPr>
    <w:rPr>
      <w:i/>
      <w:sz w:val="20"/>
    </w:rPr>
  </w:style>
  <w:style w:type="paragraph" w:styleId="Heading9">
    <w:name w:val="heading 9"/>
    <w:basedOn w:val="Normal"/>
    <w:next w:val="Normal"/>
    <w:qFormat/>
    <w:rsid w:val="0053573D"/>
    <w:p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styleId="TOC1">
    <w:name w:val="toc 1"/>
    <w:basedOn w:val="Normal"/>
    <w:next w:val="Normal"/>
    <w:autoRedefine/>
    <w:uiPriority w:val="39"/>
    <w:rsid w:val="00DB0DF4"/>
    <w:pPr>
      <w:tabs>
        <w:tab w:val="left" w:pos="1530"/>
        <w:tab w:val="right" w:leader="dot" w:pos="9350"/>
      </w:tabs>
      <w:ind w:left="1530" w:hanging="1530"/>
    </w:pPr>
    <w:rPr>
      <w:rFonts w:cs="Arial"/>
      <w:b/>
      <w:bCs w:val="0"/>
      <w:noProof/>
    </w:rPr>
  </w:style>
  <w:style w:type="paragraph" w:styleId="TOC2">
    <w:name w:val="toc 2"/>
    <w:basedOn w:val="Normal"/>
    <w:next w:val="Normal"/>
    <w:autoRedefine/>
    <w:uiPriority w:val="39"/>
    <w:rsid w:val="00477101"/>
    <w:pPr>
      <w:tabs>
        <w:tab w:val="left" w:pos="270"/>
        <w:tab w:val="left" w:pos="720"/>
        <w:tab w:val="right" w:leader="dot" w:pos="9350"/>
      </w:tabs>
    </w:pPr>
    <w:rPr>
      <w:bCs w:val="0"/>
      <w:noProof/>
    </w:rPr>
  </w:style>
  <w:style w:type="paragraph" w:styleId="TOC3">
    <w:name w:val="toc 3"/>
    <w:basedOn w:val="Normal"/>
    <w:next w:val="Normal"/>
    <w:autoRedefine/>
    <w:uiPriority w:val="39"/>
    <w:rsid w:val="0065612F"/>
    <w:pPr>
      <w:tabs>
        <w:tab w:val="left" w:pos="1200"/>
        <w:tab w:val="right" w:leader="dot" w:pos="9360"/>
      </w:tabs>
      <w:ind w:left="1170" w:hanging="810"/>
    </w:pPr>
    <w:rPr>
      <w:szCs w:val="20"/>
    </w:rPr>
  </w:style>
  <w:style w:type="paragraph" w:customStyle="1" w:styleId="TITLE2">
    <w:name w:val="TITLE2"/>
    <w:basedOn w:val="Normal"/>
    <w:pPr>
      <w:keepNext/>
      <w:spacing w:before="3480" w:after="1680"/>
      <w:jc w:val="center"/>
      <w:outlineLvl w:val="0"/>
    </w:pPr>
    <w:rPr>
      <w:bCs w:val="0"/>
      <w:sz w:val="36"/>
      <w:lang w:val="en-GB"/>
    </w:rPr>
  </w:style>
  <w:style w:type="character" w:styleId="Strong">
    <w:name w:val="Strong"/>
    <w:qFormat/>
    <w:rPr>
      <w:b/>
    </w:rPr>
  </w:style>
  <w:style w:type="paragraph" w:customStyle="1" w:styleId="TITLE3">
    <w:name w:val="TITLE3"/>
    <w:basedOn w:val="TITLE2"/>
    <w:pPr>
      <w:spacing w:before="120" w:after="8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4">
    <w:name w:val="toc 4"/>
    <w:basedOn w:val="Normal"/>
    <w:next w:val="Normal"/>
    <w:autoRedefine/>
    <w:uiPriority w:val="39"/>
    <w:rsid w:val="009D5D2F"/>
    <w:pPr>
      <w:ind w:left="480"/>
    </w:pPr>
    <w:rPr>
      <w:szCs w:val="20"/>
    </w:rPr>
  </w:style>
  <w:style w:type="paragraph" w:styleId="TOC5">
    <w:name w:val="toc 5"/>
    <w:basedOn w:val="Normal"/>
    <w:next w:val="Normal"/>
    <w:autoRedefine/>
    <w:uiPriority w:val="39"/>
    <w:pPr>
      <w:ind w:left="720"/>
    </w:pPr>
    <w:rPr>
      <w:sz w:val="20"/>
      <w:szCs w:val="20"/>
    </w:rPr>
  </w:style>
  <w:style w:type="paragraph" w:styleId="TOC6">
    <w:name w:val="toc 6"/>
    <w:basedOn w:val="Normal"/>
    <w:next w:val="Normal"/>
    <w:autoRedefine/>
    <w:uiPriority w:val="39"/>
    <w:pPr>
      <w:ind w:left="960"/>
    </w:pPr>
    <w:rPr>
      <w:sz w:val="20"/>
      <w:szCs w:val="20"/>
    </w:rPr>
  </w:style>
  <w:style w:type="paragraph" w:styleId="TOC7">
    <w:name w:val="toc 7"/>
    <w:basedOn w:val="Normal"/>
    <w:next w:val="Normal"/>
    <w:autoRedefine/>
    <w:uiPriority w:val="39"/>
    <w:pPr>
      <w:ind w:left="1200"/>
    </w:pPr>
    <w:rPr>
      <w:sz w:val="20"/>
      <w:szCs w:val="20"/>
    </w:rPr>
  </w:style>
  <w:style w:type="paragraph" w:styleId="TOC8">
    <w:name w:val="toc 8"/>
    <w:basedOn w:val="Normal"/>
    <w:next w:val="Normal"/>
    <w:autoRedefine/>
    <w:uiPriority w:val="39"/>
    <w:pPr>
      <w:ind w:left="1440"/>
    </w:pPr>
    <w:rPr>
      <w:sz w:val="20"/>
      <w:szCs w:val="20"/>
    </w:rPr>
  </w:style>
  <w:style w:type="paragraph" w:styleId="TOC9">
    <w:name w:val="toc 9"/>
    <w:basedOn w:val="Normal"/>
    <w:next w:val="Normal"/>
    <w:autoRedefine/>
    <w:uiPriority w:val="39"/>
    <w:pPr>
      <w:ind w:left="1680"/>
    </w:pPr>
    <w:rPr>
      <w:sz w:val="20"/>
      <w:szCs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character" w:styleId="PageNumber">
    <w:name w:val="page number"/>
    <w:basedOn w:val="DefaultParagraphFont"/>
  </w:style>
  <w:style w:type="paragraph" w:styleId="ListBullet">
    <w:name w:val="List Bullet"/>
    <w:basedOn w:val="Normal"/>
    <w:pPr>
      <w:numPr>
        <w:numId w:val="10"/>
      </w:numPr>
      <w:tabs>
        <w:tab w:val="left" w:pos="567"/>
      </w:tabs>
      <w:spacing w:before="120"/>
    </w:pPr>
    <w:rPr>
      <w:lang w:val="en-GB"/>
    </w:rPr>
  </w:style>
  <w:style w:type="paragraph" w:styleId="BodyText2">
    <w:name w:val="Body Text 2"/>
    <w:basedOn w:val="Normal"/>
    <w:rPr>
      <w:b/>
    </w:rPr>
  </w:style>
  <w:style w:type="character" w:customStyle="1" w:styleId="Heading1Char">
    <w:name w:val="Heading 1 Char"/>
    <w:link w:val="Heading1"/>
    <w:rsid w:val="009D5D2F"/>
    <w:rPr>
      <w:rFonts w:cs="Arial"/>
      <w:b/>
      <w:bCs w:val="0"/>
      <w:kern w:val="32"/>
      <w:sz w:val="32"/>
      <w:szCs w:val="32"/>
    </w:rPr>
  </w:style>
  <w:style w:type="paragraph" w:customStyle="1" w:styleId="table-e">
    <w:name w:val="table-e"/>
    <w:link w:val="table-eChar"/>
    <w:rsid w:val="006F61F7"/>
    <w:pPr>
      <w:suppressAutoHyphens/>
      <w:spacing w:before="11" w:line="189" w:lineRule="exact"/>
    </w:pPr>
    <w:rPr>
      <w:snapToGrid w:val="0"/>
      <w:sz w:val="18"/>
      <w:lang w:val="en-GB"/>
    </w:rPr>
  </w:style>
  <w:style w:type="paragraph" w:customStyle="1" w:styleId="WP9BodyText">
    <w:name w:val="WP9_Body Text"/>
    <w:basedOn w:val="Normal"/>
    <w:pPr>
      <w:spacing w:line="220" w:lineRule="atLeast"/>
      <w:jc w:val="both"/>
    </w:pPr>
    <w:rPr>
      <w:rFonts w:ascii="Gill Sans" w:hAnsi="Gill Sans"/>
    </w:rPr>
  </w:style>
  <w:style w:type="character" w:styleId="Hyperlink">
    <w:name w:val="Hyperlink"/>
    <w:uiPriority w:val="99"/>
    <w:rPr>
      <w:color w:val="0000FF"/>
      <w:u w:val="single"/>
    </w:rPr>
  </w:style>
  <w:style w:type="paragraph" w:customStyle="1" w:styleId="tablebullet">
    <w:name w:val="table bullet"/>
    <w:basedOn w:val="ListBullet"/>
    <w:pPr>
      <w:numPr>
        <w:numId w:val="1"/>
      </w:numPr>
      <w:tabs>
        <w:tab w:val="clear" w:pos="567"/>
        <w:tab w:val="left" w:pos="162"/>
      </w:tabs>
      <w:spacing w:before="60"/>
    </w:pPr>
    <w:rPr>
      <w:sz w:val="18"/>
    </w:rPr>
  </w:style>
  <w:style w:type="paragraph" w:customStyle="1" w:styleId="ListBullet21">
    <w:name w:val="List Bullet 21"/>
    <w:basedOn w:val="ListBullet"/>
    <w:pPr>
      <w:spacing w:before="0" w:after="120"/>
    </w:pPr>
  </w:style>
  <w:style w:type="paragraph" w:customStyle="1" w:styleId="outlinebullet">
    <w:name w:val="outline bullet"/>
    <w:basedOn w:val="BodyText"/>
  </w:style>
  <w:style w:type="paragraph" w:styleId="DocumentMap">
    <w:name w:val="Document Map"/>
    <w:basedOn w:val="Normal"/>
    <w:semiHidden/>
    <w:pPr>
      <w:shd w:val="clear" w:color="auto" w:fill="000080"/>
    </w:pPr>
    <w:rPr>
      <w:rFonts w:ascii="Tahoma" w:hAnsi="Tahoma"/>
    </w:rPr>
  </w:style>
  <w:style w:type="paragraph" w:customStyle="1" w:styleId="FigureHeading">
    <w:name w:val="Figure Heading"/>
    <w:basedOn w:val="Level1"/>
    <w:pPr>
      <w:pageBreakBefore/>
    </w:pPr>
    <w:rPr>
      <w:b/>
    </w:rPr>
  </w:style>
  <w:style w:type="paragraph" w:customStyle="1" w:styleId="TH">
    <w:name w:val="TH"/>
    <w:basedOn w:val="BodyText"/>
    <w:rPr>
      <w:b/>
    </w:rPr>
  </w:style>
  <w:style w:type="paragraph" w:customStyle="1" w:styleId="TITLE1">
    <w:name w:val="TITLE1"/>
    <w:basedOn w:val="TITLE2"/>
    <w:pPr>
      <w:spacing w:before="480" w:after="360"/>
      <w:jc w:val="left"/>
    </w:pPr>
    <w:rPr>
      <w:bCs/>
      <w:sz w:val="28"/>
    </w:rPr>
  </w:style>
  <w:style w:type="paragraph" w:styleId="BlockText">
    <w:name w:val="Block Text"/>
    <w:basedOn w:val="Normal"/>
    <w:pPr>
      <w:spacing w:after="120"/>
      <w:ind w:left="1440" w:right="1440"/>
    </w:pPr>
  </w:style>
  <w:style w:type="character" w:styleId="Emphasis">
    <w:name w:val="Emphasis"/>
    <w:qFormat/>
    <w:rPr>
      <w:i/>
    </w:rPr>
  </w:style>
  <w:style w:type="paragraph" w:customStyle="1" w:styleId="BodyTextBullet">
    <w:name w:val="Body Text Bullet"/>
    <w:basedOn w:val="tablebullet"/>
    <w:pPr>
      <w:numPr>
        <w:numId w:val="0"/>
      </w:numPr>
    </w:pPr>
    <w:rPr>
      <w:sz w:val="24"/>
    </w:rPr>
  </w:style>
  <w:style w:type="character" w:customStyle="1" w:styleId="documenttitle">
    <w:name w:val="document title"/>
    <w:rPr>
      <w:i/>
      <w:noProof w:val="0"/>
      <w:lang w:val="en-GB"/>
    </w:rPr>
  </w:style>
  <w:style w:type="paragraph" w:customStyle="1" w:styleId="Heading05">
    <w:name w:val="Heading0.5"/>
    <w:basedOn w:val="Normal"/>
    <w:rsid w:val="0053573D"/>
    <w:pPr>
      <w:keepNext/>
      <w:pageBreakBefore/>
      <w:tabs>
        <w:tab w:val="num" w:pos="720"/>
      </w:tabs>
      <w:spacing w:before="360" w:after="240"/>
      <w:ind w:left="360" w:hanging="360"/>
      <w:jc w:val="center"/>
      <w:outlineLvl w:val="0"/>
    </w:pPr>
    <w:rPr>
      <w:sz w:val="32"/>
      <w:lang w:val="en-GB"/>
    </w:r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before="0"/>
      <w:ind w:firstLine="210"/>
    </w:pPr>
    <w:rPr>
      <w:color w:val="auto"/>
      <w:spacing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val="0"/>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val="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rsid w:val="00A43CE1"/>
    <w:pPr>
      <w:ind w:left="1440" w:hanging="360"/>
    </w:pPr>
    <w:rPr>
      <w:u w:val="single"/>
    </w:rPr>
  </w:style>
  <w:style w:type="paragraph" w:styleId="List5">
    <w:name w:val="List 5"/>
    <w:basedOn w:val="Normal"/>
    <w:pPr>
      <w:ind w:left="1800" w:hanging="360"/>
    </w:pPr>
  </w:style>
  <w:style w:type="paragraph" w:styleId="ListBullet2">
    <w:name w:val="List Bullet 2"/>
    <w:basedOn w:val="Normal"/>
    <w:link w:val="ListBullet2Char"/>
    <w:autoRedefine/>
    <w:rsid w:val="000E72E5"/>
    <w:pPr>
      <w:numPr>
        <w:numId w:val="34"/>
      </w:numPr>
    </w:pPr>
  </w:style>
  <w:style w:type="paragraph" w:styleId="ListBullet3">
    <w:name w:val="List Bullet 3"/>
    <w:basedOn w:val="Normal"/>
    <w:autoRedefine/>
    <w:rsid w:val="00756E24"/>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rsid w:val="00E4118A"/>
    <w:pPr>
      <w:numPr>
        <w:numId w:val="6"/>
      </w:numPr>
    </w:pPr>
    <w:rPr>
      <w:sz w:val="20"/>
    </w:rPr>
  </w:style>
  <w:style w:type="paragraph" w:styleId="ListNumber2">
    <w:name w:val="List Number 2"/>
    <w:basedOn w:val="Normal"/>
    <w:pPr>
      <w:numPr>
        <w:numId w:val="7"/>
      </w:numPr>
    </w:pPr>
  </w:style>
  <w:style w:type="paragraph" w:styleId="ListNumber3">
    <w:name w:val="List Number 3"/>
    <w:basedOn w:val="Normal"/>
    <w:pPr>
      <w:numPr>
        <w:numId w:val="2"/>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rPr>
      <w:caps/>
      <w:sz w:val="20"/>
      <w:szCs w:val="20"/>
    </w:rPr>
  </w:style>
  <w:style w:type="paragraph" w:styleId="Title">
    <w:name w:val="Title"/>
    <w:basedOn w:val="Normal"/>
    <w:link w:val="TitleChar"/>
    <w:qFormat/>
    <w:rsid w:val="00EC3FA5"/>
    <w:pPr>
      <w:spacing w:before="240"/>
      <w:jc w:val="center"/>
      <w:outlineLvl w:val="0"/>
    </w:pPr>
    <w:rPr>
      <w:rFonts w:cs="Arial"/>
      <w:b/>
      <w:bCs w:val="0"/>
      <w:kern w:val="28"/>
      <w:sz w:val="32"/>
      <w:szCs w:val="32"/>
    </w:rPr>
  </w:style>
  <w:style w:type="paragraph" w:styleId="TOAHeading">
    <w:name w:val="toa heading"/>
    <w:basedOn w:val="Normal"/>
    <w:next w:val="Normal"/>
    <w:semiHidden/>
    <w:pPr>
      <w:spacing w:before="120"/>
    </w:pPr>
    <w:rPr>
      <w:rFonts w:cs="Arial"/>
      <w:b/>
      <w:bCs w:val="0"/>
    </w:rPr>
  </w:style>
  <w:style w:type="paragraph" w:styleId="BalloonText">
    <w:name w:val="Balloon Text"/>
    <w:basedOn w:val="Normal"/>
    <w:semiHidden/>
    <w:rPr>
      <w:rFonts w:ascii="Tahoma" w:hAnsi="Tahoma" w:cs="Tahoma"/>
      <w:sz w:val="16"/>
      <w:szCs w:val="16"/>
    </w:rPr>
  </w:style>
  <w:style w:type="paragraph" w:customStyle="1" w:styleId="Section1">
    <w:name w:val="Section 1"/>
    <w:basedOn w:val="Normal"/>
    <w:pPr>
      <w:spacing w:before="360" w:after="240"/>
    </w:pPr>
    <w:rPr>
      <w:b/>
      <w:bCs w:val="0"/>
      <w:lang w:val="en-GB"/>
    </w:rPr>
  </w:style>
  <w:style w:type="paragraph" w:customStyle="1" w:styleId="paragraph-e">
    <w:name w:val="paragraph-e"/>
    <w:link w:val="paragraph-eChar"/>
    <w:pPr>
      <w:tabs>
        <w:tab w:val="right" w:pos="836"/>
        <w:tab w:val="left" w:pos="1076"/>
      </w:tabs>
      <w:spacing w:line="200" w:lineRule="atLeast"/>
      <w:ind w:left="1076" w:hanging="1076"/>
    </w:pPr>
    <w:rPr>
      <w:snapToGrid w:val="0"/>
      <w:sz w:val="26"/>
      <w:lang w:val="en-GB"/>
    </w:rPr>
  </w:style>
  <w:style w:type="paragraph" w:customStyle="1" w:styleId="tablelevel1-e">
    <w:name w:val="tablelevel1-e"/>
    <w:link w:val="tablelevel1-eChar"/>
    <w:rsid w:val="006F61F7"/>
    <w:pPr>
      <w:tabs>
        <w:tab w:val="right" w:pos="240"/>
        <w:tab w:val="left" w:pos="360"/>
      </w:tabs>
      <w:spacing w:before="11" w:line="190" w:lineRule="exact"/>
      <w:ind w:left="360" w:hanging="360"/>
    </w:pPr>
    <w:rPr>
      <w:sz w:val="18"/>
      <w:lang w:val="en-GB"/>
    </w:rPr>
  </w:style>
  <w:style w:type="character" w:customStyle="1" w:styleId="ListBullet2Char">
    <w:name w:val="List Bullet 2 Char"/>
    <w:link w:val="ListBullet2"/>
    <w:rsid w:val="000E72E5"/>
    <w:rPr>
      <w:sz w:val="24"/>
      <w:szCs w:val="24"/>
    </w:rPr>
  </w:style>
  <w:style w:type="paragraph" w:customStyle="1" w:styleId="section-e">
    <w:name w:val="section-e"/>
    <w:pPr>
      <w:tabs>
        <w:tab w:val="left" w:pos="0"/>
        <w:tab w:val="left" w:pos="378"/>
      </w:tabs>
      <w:spacing w:line="200" w:lineRule="atLeast"/>
    </w:pPr>
    <w:rPr>
      <w:snapToGrid w:val="0"/>
      <w:sz w:val="26"/>
      <w:lang w:val="en-GB"/>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val="0"/>
    </w:rPr>
  </w:style>
  <w:style w:type="paragraph" w:customStyle="1" w:styleId="headnote-e">
    <w:name w:val="headnote-e"/>
    <w:basedOn w:val="Normal"/>
    <w:rsid w:val="00B9331E"/>
    <w:pPr>
      <w:keepNext/>
      <w:keepLines/>
      <w:tabs>
        <w:tab w:val="left" w:pos="0"/>
      </w:tabs>
      <w:suppressAutoHyphens/>
      <w:snapToGrid w:val="0"/>
      <w:spacing w:line="200" w:lineRule="atLeast"/>
    </w:pPr>
    <w:rPr>
      <w:b/>
      <w:sz w:val="26"/>
      <w:szCs w:val="20"/>
      <w:lang w:val="en-GB"/>
    </w:rPr>
  </w:style>
  <w:style w:type="paragraph" w:customStyle="1" w:styleId="glossary">
    <w:name w:val="glossary"/>
    <w:basedOn w:val="Normal"/>
    <w:rsid w:val="00840964"/>
    <w:pPr>
      <w:jc w:val="center"/>
      <w:outlineLvl w:val="0"/>
    </w:pPr>
    <w:rPr>
      <w:b/>
      <w:sz w:val="28"/>
    </w:rPr>
  </w:style>
  <w:style w:type="character" w:styleId="FollowedHyperlink">
    <w:name w:val="FollowedHyperlink"/>
    <w:rPr>
      <w:color w:val="800080"/>
      <w:u w:val="single"/>
    </w:rPr>
  </w:style>
  <w:style w:type="paragraph" w:customStyle="1" w:styleId="ReferenceList">
    <w:name w:val="Reference List"/>
    <w:basedOn w:val="Normal"/>
    <w:pPr>
      <w:spacing w:after="120"/>
      <w:ind w:left="720" w:hanging="720"/>
    </w:pPr>
    <w:rPr>
      <w:szCs w:val="20"/>
      <w:lang w:val="en-CA"/>
    </w:rPr>
  </w:style>
  <w:style w:type="paragraph" w:customStyle="1" w:styleId="CEI-ReferenceList">
    <w:name w:val="CEI-Reference List"/>
    <w:basedOn w:val="Normal"/>
    <w:pPr>
      <w:spacing w:before="100" w:beforeAutospacing="1" w:after="120"/>
      <w:ind w:left="720" w:hanging="720"/>
    </w:pPr>
    <w:rPr>
      <w:szCs w:val="20"/>
      <w:lang w:val="en-CA"/>
    </w:rPr>
  </w:style>
  <w:style w:type="paragraph" w:customStyle="1" w:styleId="Standard-e">
    <w:name w:val="Standard-e"/>
    <w:basedOn w:val="section-e"/>
  </w:style>
  <w:style w:type="paragraph" w:customStyle="1" w:styleId="clause-e">
    <w:name w:val="clause-e"/>
    <w:link w:val="clause-eChar"/>
    <w:pPr>
      <w:tabs>
        <w:tab w:val="right" w:pos="836"/>
        <w:tab w:val="left" w:pos="1076"/>
      </w:tabs>
      <w:spacing w:line="200" w:lineRule="atLeast"/>
      <w:ind w:left="1066" w:hanging="1066"/>
    </w:pPr>
    <w:rPr>
      <w:snapToGrid w:val="0"/>
      <w:sz w:val="26"/>
      <w:lang w:val="en-GB"/>
    </w:rPr>
  </w:style>
  <w:style w:type="paragraph" w:customStyle="1" w:styleId="subclause-e">
    <w:name w:val="subclause-e"/>
    <w:pPr>
      <w:tabs>
        <w:tab w:val="right" w:pos="1674"/>
        <w:tab w:val="left" w:pos="1912"/>
      </w:tabs>
      <w:spacing w:line="200" w:lineRule="atLeast"/>
      <w:ind w:left="1910" w:hanging="1910"/>
    </w:pPr>
    <w:rPr>
      <w:snapToGrid w:val="0"/>
      <w:sz w:val="26"/>
      <w:lang w:val="en-GB"/>
    </w:rPr>
  </w:style>
  <w:style w:type="paragraph" w:customStyle="1" w:styleId="subpara-e">
    <w:name w:val="subpara-e"/>
    <w:pPr>
      <w:tabs>
        <w:tab w:val="right" w:pos="1674"/>
        <w:tab w:val="left" w:pos="1912"/>
      </w:tabs>
      <w:spacing w:line="200" w:lineRule="atLeast"/>
      <w:ind w:left="1910" w:hanging="1910"/>
    </w:pPr>
    <w:rPr>
      <w:snapToGrid w:val="0"/>
      <w:sz w:val="26"/>
      <w:lang w:val="en-GB"/>
    </w:rPr>
  </w:style>
  <w:style w:type="paragraph" w:customStyle="1" w:styleId="subsection-e">
    <w:name w:val="subsection-e"/>
    <w:basedOn w:val="section-e"/>
  </w:style>
  <w:style w:type="paragraph" w:customStyle="1" w:styleId="Ssubsection-e">
    <w:name w:val="Ssubsection-e"/>
    <w:basedOn w:val="subsection-e"/>
  </w:style>
  <w:style w:type="paragraph" w:customStyle="1" w:styleId="Standard-f">
    <w:name w:val="Standard-f"/>
    <w:basedOn w:val="Normal"/>
    <w:pPr>
      <w:tabs>
        <w:tab w:val="left" w:pos="0"/>
        <w:tab w:val="left" w:pos="378"/>
      </w:tabs>
      <w:spacing w:line="200" w:lineRule="atLeast"/>
    </w:pPr>
    <w:rPr>
      <w:snapToGrid w:val="0"/>
      <w:sz w:val="26"/>
      <w:szCs w:val="20"/>
      <w:lang w:val="fr-CA"/>
    </w:rPr>
  </w:style>
  <w:style w:type="paragraph" w:customStyle="1" w:styleId="Glossary0">
    <w:name w:val="Glossary"/>
    <w:basedOn w:val="Normal"/>
    <w:rsid w:val="009D5D2F"/>
    <w:pPr>
      <w:pageBreakBefore/>
      <w:jc w:val="center"/>
    </w:pPr>
    <w:rPr>
      <w:b/>
      <w:sz w:val="28"/>
    </w:rPr>
  </w:style>
  <w:style w:type="paragraph" w:customStyle="1" w:styleId="Glossaryitem">
    <w:name w:val="Glossary item"/>
    <w:basedOn w:val="Normal"/>
    <w:link w:val="GlossaryitemChar"/>
    <w:rsid w:val="002D0C33"/>
    <w:pPr>
      <w:tabs>
        <w:tab w:val="left" w:pos="360"/>
      </w:tabs>
      <w:ind w:left="2160" w:hanging="2160"/>
    </w:pPr>
  </w:style>
  <w:style w:type="character" w:customStyle="1" w:styleId="GlossaryitemChar">
    <w:name w:val="Glossary item Char"/>
    <w:link w:val="Glossaryitem"/>
    <w:rsid w:val="002D0C33"/>
    <w:rPr>
      <w:sz w:val="24"/>
      <w:szCs w:val="24"/>
      <w:lang w:val="en-US" w:eastAsia="en-US" w:bidi="ar-SA"/>
    </w:rPr>
  </w:style>
  <w:style w:type="paragraph" w:customStyle="1" w:styleId="Non-numberedheading">
    <w:name w:val="Non-numbered heading"/>
    <w:basedOn w:val="Heading1"/>
    <w:rsid w:val="009D5D2F"/>
  </w:style>
  <w:style w:type="paragraph" w:customStyle="1" w:styleId="nonumbering">
    <w:name w:val="no numbering"/>
    <w:basedOn w:val="Heading1"/>
    <w:rsid w:val="00A46E8A"/>
    <w:pPr>
      <w:numPr>
        <w:numId w:val="0"/>
      </w:numPr>
    </w:pPr>
  </w:style>
  <w:style w:type="paragraph" w:customStyle="1" w:styleId="TextboxNormal">
    <w:name w:val="Textbox Normal"/>
    <w:basedOn w:val="Normal"/>
    <w:rsid w:val="00F268CE"/>
    <w:rPr>
      <w:sz w:val="16"/>
    </w:rPr>
  </w:style>
  <w:style w:type="paragraph" w:customStyle="1" w:styleId="Textbox">
    <w:name w:val="Textbox #"/>
    <w:basedOn w:val="TextboxNormal"/>
    <w:rsid w:val="009F3932"/>
    <w:pPr>
      <w:numPr>
        <w:numId w:val="11"/>
      </w:numPr>
    </w:pPr>
  </w:style>
  <w:style w:type="paragraph" w:customStyle="1" w:styleId="TextboxA">
    <w:name w:val="Textbox A"/>
    <w:basedOn w:val="TextboxNormal"/>
    <w:rsid w:val="009F3932"/>
    <w:pPr>
      <w:numPr>
        <w:numId w:val="12"/>
      </w:numPr>
    </w:pPr>
  </w:style>
  <w:style w:type="paragraph" w:customStyle="1" w:styleId="Textboxi">
    <w:name w:val="Textbox i"/>
    <w:basedOn w:val="TextboxNormal"/>
    <w:rsid w:val="009F3932"/>
    <w:pPr>
      <w:numPr>
        <w:numId w:val="13"/>
      </w:numPr>
      <w:ind w:left="1080"/>
    </w:pPr>
  </w:style>
  <w:style w:type="table" w:styleId="TableClassic1">
    <w:name w:val="Table Classic 1"/>
    <w:basedOn w:val="TableNormal"/>
    <w:rsid w:val="00CD5E37"/>
    <w:pPr>
      <w:spacing w:before="60"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3F18"/>
    <w:pPr>
      <w:spacing w:before="60" w:after="60"/>
    </w:pPr>
    <w:rPr>
      <w:sz w:val="16"/>
    </w:rPr>
    <w:tblPr>
      <w:tblBorders>
        <w:top w:val="single" w:sz="12" w:space="0" w:color="000000"/>
        <w:bottom w:val="single" w:sz="12" w:space="0" w:color="000000"/>
      </w:tblBorders>
    </w:tblPr>
    <w:tcPr>
      <w:shd w:val="clear" w:color="auto" w:fill="CCFFFF"/>
    </w:tcPr>
    <w:tblStylePr w:type="firstRow">
      <w:rPr>
        <w:b/>
        <w:color w:val="FFFFFF"/>
      </w:rPr>
      <w:tblPr/>
      <w:tcPr>
        <w:shd w:val="clear" w:color="auto" w:fill="3366FF"/>
      </w:tcPr>
    </w:tblStylePr>
    <w:tblStylePr w:type="lastRow">
      <w:tblPr/>
      <w:tcPr>
        <w:tcBorders>
          <w:top w:val="single" w:sz="6" w:space="0" w:color="000000"/>
          <w:tl2br w:val="none" w:sz="0" w:space="0" w:color="auto"/>
          <w:tr2bl w:val="none" w:sz="0" w:space="0" w:color="auto"/>
        </w:tcBorders>
      </w:tcPr>
    </w:tblStylePr>
    <w:tblStylePr w:type="firstCol">
      <w:rPr>
        <w:b/>
        <w:bCs/>
      </w:rPr>
    </w:tblStylePr>
    <w:tblStylePr w:type="neCell">
      <w:rPr>
        <w:b/>
        <w:bCs/>
      </w:rPr>
      <w:tblPr/>
      <w:tcPr>
        <w:tcBorders>
          <w:tl2br w:val="none" w:sz="0" w:space="0" w:color="auto"/>
          <w:tr2bl w:val="none" w:sz="0" w:space="0" w:color="auto"/>
        </w:tcBorders>
      </w:tcPr>
    </w:tblStylePr>
    <w:tblStylePr w:type="nwCell">
      <w:rPr>
        <w:b/>
      </w:rPr>
      <w:tblPr/>
      <w:tcPr>
        <w:shd w:val="clear" w:color="auto" w:fill="3366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5E37"/>
    <w:pPr>
      <w:spacing w:before="60"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5E37"/>
    <w:pPr>
      <w:spacing w:before="60"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5E37"/>
    <w:pPr>
      <w:spacing w:before="60"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AF1A4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glossary"/>
    <w:rsid w:val="00207B99"/>
    <w:pPr>
      <w:pageBreakBefore/>
    </w:pPr>
    <w:rPr>
      <w:sz w:val="32"/>
    </w:rPr>
  </w:style>
  <w:style w:type="paragraph" w:customStyle="1" w:styleId="Standard-e10g">
    <w:name w:val="Standard-e 10g"/>
    <w:basedOn w:val="Standard-e"/>
    <w:rsid w:val="00A204EE"/>
    <w:pPr>
      <w:framePr w:w="9540" w:h="6140" w:hRule="exact" w:hSpace="180" w:wrap="around" w:vAnchor="text" w:hAnchor="page" w:x="1350" w:y="-194"/>
      <w:pBdr>
        <w:top w:val="single" w:sz="6" w:space="0" w:color="000000"/>
        <w:left w:val="single" w:sz="6" w:space="7" w:color="000000"/>
        <w:bottom w:val="single" w:sz="6" w:space="4" w:color="000000"/>
        <w:right w:val="single" w:sz="6" w:space="7" w:color="000000"/>
      </w:pBdr>
      <w:shd w:val="solid" w:color="CCFFCC" w:fill="CCFFCC"/>
    </w:pPr>
    <w:rPr>
      <w:sz w:val="20"/>
      <w:lang w:val="en-US"/>
    </w:rPr>
  </w:style>
  <w:style w:type="paragraph" w:customStyle="1" w:styleId="subsection-e10g">
    <w:name w:val="subsection-e 10g"/>
    <w:basedOn w:val="subsection-e"/>
    <w:rsid w:val="00833E16"/>
    <w:pPr>
      <w:pBdr>
        <w:top w:val="single" w:sz="6" w:space="4" w:color="000000"/>
        <w:left w:val="single" w:sz="6" w:space="7" w:color="000000"/>
        <w:bottom w:val="single" w:sz="6" w:space="4" w:color="000000"/>
        <w:right w:val="single" w:sz="6" w:space="7" w:color="000000"/>
      </w:pBdr>
      <w:shd w:val="clear" w:color="auto" w:fill="CCFFCC"/>
    </w:pPr>
    <w:rPr>
      <w:sz w:val="20"/>
    </w:rPr>
  </w:style>
  <w:style w:type="paragraph" w:customStyle="1" w:styleId="clause-e10g">
    <w:name w:val="clause -e 10g"/>
    <w:basedOn w:val="clause-e"/>
    <w:link w:val="clause-e10gChar"/>
    <w:rsid w:val="00833E16"/>
    <w:pPr>
      <w:pBdr>
        <w:top w:val="single" w:sz="6" w:space="4" w:color="000000"/>
        <w:left w:val="single" w:sz="6" w:space="7" w:color="000000"/>
        <w:bottom w:val="single" w:sz="6" w:space="4" w:color="000000"/>
        <w:right w:val="single" w:sz="6" w:space="7" w:color="000000"/>
      </w:pBdr>
      <w:shd w:val="clear" w:color="auto" w:fill="CCFFCC"/>
    </w:pPr>
    <w:rPr>
      <w:sz w:val="20"/>
    </w:rPr>
  </w:style>
  <w:style w:type="paragraph" w:customStyle="1" w:styleId="subclause-e10g">
    <w:name w:val="subclause-e 10g"/>
    <w:basedOn w:val="subclause-e"/>
    <w:rsid w:val="00A204EE"/>
    <w:pPr>
      <w:framePr w:w="9540" w:h="6140" w:hRule="exact" w:hSpace="180" w:wrap="around" w:vAnchor="text" w:hAnchor="page" w:x="1350" w:y="-194"/>
      <w:pBdr>
        <w:top w:val="single" w:sz="6" w:space="0" w:color="000000"/>
        <w:left w:val="single" w:sz="6" w:space="7" w:color="000000"/>
        <w:bottom w:val="single" w:sz="6" w:space="4" w:color="000000"/>
        <w:right w:val="single" w:sz="6" w:space="7" w:color="000000"/>
      </w:pBdr>
      <w:shd w:val="solid" w:color="CCFFCC" w:fill="CCFFCC"/>
    </w:pPr>
    <w:rPr>
      <w:sz w:val="20"/>
    </w:rPr>
  </w:style>
  <w:style w:type="table" w:styleId="TableColumns1">
    <w:name w:val="Table Columns 1"/>
    <w:basedOn w:val="TableNormal"/>
    <w:rsid w:val="00A204EE"/>
    <w:pPr>
      <w:spacing w:before="60" w:after="60"/>
    </w:pPr>
    <w:rPr>
      <w:b/>
      <w:bCs w:val="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04EE"/>
    <w:pPr>
      <w:spacing w:before="60" w:after="60"/>
    </w:pPr>
    <w:rPr>
      <w:b/>
      <w:bCs w:val="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A204EE"/>
    <w:pPr>
      <w:spacing w:before="60"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1">
    <w:name w:val="Table Web 1"/>
    <w:basedOn w:val="TableNormal"/>
    <w:rsid w:val="00A204EE"/>
    <w:pPr>
      <w:spacing w:before="60"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note-e10g">
    <w:name w:val="headnote-e 10g"/>
    <w:basedOn w:val="headnote-e"/>
    <w:rsid w:val="00833E16"/>
    <w:pPr>
      <w:pBdr>
        <w:top w:val="single" w:sz="6" w:space="4" w:color="000000"/>
        <w:left w:val="single" w:sz="6" w:space="7" w:color="000000"/>
        <w:bottom w:val="single" w:sz="6" w:space="4" w:color="000000"/>
        <w:right w:val="single" w:sz="6" w:space="7" w:color="000000"/>
      </w:pBdr>
      <w:shd w:val="clear" w:color="auto" w:fill="CCFFCC"/>
    </w:pPr>
    <w:rPr>
      <w:sz w:val="20"/>
    </w:rPr>
  </w:style>
  <w:style w:type="paragraph" w:customStyle="1" w:styleId="section-e10g">
    <w:name w:val="section-e 10g"/>
    <w:basedOn w:val="section-e"/>
    <w:rsid w:val="00833E16"/>
    <w:pPr>
      <w:pBdr>
        <w:top w:val="single" w:sz="6" w:space="4" w:color="000000"/>
        <w:left w:val="single" w:sz="6" w:space="7" w:color="000000"/>
        <w:bottom w:val="single" w:sz="6" w:space="4" w:color="000000"/>
        <w:right w:val="single" w:sz="6" w:space="7" w:color="000000"/>
      </w:pBdr>
      <w:shd w:val="clear" w:color="auto" w:fill="CCFFCC"/>
    </w:pPr>
    <w:rPr>
      <w:sz w:val="20"/>
    </w:rPr>
  </w:style>
  <w:style w:type="paragraph" w:customStyle="1" w:styleId="paragraph-e10g">
    <w:name w:val="paragraph-e 10g"/>
    <w:basedOn w:val="paragraph-e"/>
    <w:link w:val="paragraph-e10gChar"/>
    <w:rsid w:val="00833E16"/>
    <w:pPr>
      <w:pBdr>
        <w:top w:val="single" w:sz="6" w:space="4" w:color="000000"/>
        <w:left w:val="single" w:sz="6" w:space="7" w:color="000000"/>
        <w:bottom w:val="single" w:sz="6" w:space="4" w:color="000000"/>
        <w:right w:val="single" w:sz="6" w:space="7" w:color="000000"/>
      </w:pBdr>
      <w:shd w:val="clear" w:color="auto" w:fill="CCFFCC"/>
    </w:pPr>
    <w:rPr>
      <w:sz w:val="20"/>
    </w:rPr>
  </w:style>
  <w:style w:type="character" w:customStyle="1" w:styleId="paragraph-eChar">
    <w:name w:val="paragraph-e Char"/>
    <w:link w:val="paragraph-e"/>
    <w:rsid w:val="00833E16"/>
    <w:rPr>
      <w:snapToGrid w:val="0"/>
      <w:sz w:val="26"/>
      <w:lang w:val="en-GB" w:eastAsia="en-US" w:bidi="ar-SA"/>
    </w:rPr>
  </w:style>
  <w:style w:type="character" w:customStyle="1" w:styleId="paragraph-e10gChar">
    <w:name w:val="paragraph-e 10g Char"/>
    <w:basedOn w:val="paragraph-eChar"/>
    <w:link w:val="paragraph-e10g"/>
    <w:rsid w:val="00833E16"/>
    <w:rPr>
      <w:snapToGrid w:val="0"/>
      <w:sz w:val="26"/>
      <w:lang w:val="en-GB" w:eastAsia="en-US" w:bidi="ar-SA"/>
    </w:rPr>
  </w:style>
  <w:style w:type="character" w:customStyle="1" w:styleId="clause-eChar">
    <w:name w:val="clause-e Char"/>
    <w:link w:val="clause-e"/>
    <w:rsid w:val="00833E16"/>
    <w:rPr>
      <w:snapToGrid w:val="0"/>
      <w:sz w:val="26"/>
      <w:lang w:val="en-GB" w:eastAsia="en-US" w:bidi="ar-SA"/>
    </w:rPr>
  </w:style>
  <w:style w:type="character" w:customStyle="1" w:styleId="clause-e10gChar">
    <w:name w:val="clause -e 10g Char"/>
    <w:basedOn w:val="clause-eChar"/>
    <w:link w:val="clause-e10g"/>
    <w:rsid w:val="00833E16"/>
    <w:rPr>
      <w:snapToGrid w:val="0"/>
      <w:sz w:val="26"/>
      <w:lang w:val="en-GB" w:eastAsia="en-US" w:bidi="ar-SA"/>
    </w:rPr>
  </w:style>
  <w:style w:type="paragraph" w:customStyle="1" w:styleId="Default">
    <w:name w:val="Default"/>
    <w:rsid w:val="0007151A"/>
    <w:pPr>
      <w:autoSpaceDE w:val="0"/>
      <w:autoSpaceDN w:val="0"/>
      <w:adjustRightInd w:val="0"/>
    </w:pPr>
  </w:style>
  <w:style w:type="character" w:customStyle="1" w:styleId="TitleChar">
    <w:name w:val="Title Char"/>
    <w:link w:val="Title"/>
    <w:rsid w:val="00EC3FA5"/>
    <w:rPr>
      <w:rFonts w:ascii="Arial" w:hAnsi="Arial" w:cs="Arial"/>
      <w:b/>
      <w:bCs w:val="0"/>
      <w:kern w:val="28"/>
      <w:sz w:val="32"/>
      <w:szCs w:val="32"/>
      <w:lang w:val="en-US" w:eastAsia="en-US" w:bidi="ar-SA"/>
    </w:rPr>
  </w:style>
  <w:style w:type="paragraph" w:customStyle="1" w:styleId="bullet">
    <w:name w:val="bullet"/>
    <w:basedOn w:val="Normal"/>
    <w:rsid w:val="0089143A"/>
    <w:pPr>
      <w:numPr>
        <w:numId w:val="17"/>
      </w:numPr>
    </w:pPr>
  </w:style>
  <w:style w:type="character" w:customStyle="1" w:styleId="table-eChar">
    <w:name w:val="table-e Char"/>
    <w:link w:val="table-e"/>
    <w:locked/>
    <w:rsid w:val="00910FA3"/>
    <w:rPr>
      <w:snapToGrid w:val="0"/>
      <w:sz w:val="18"/>
      <w:lang w:val="en-GB" w:eastAsia="en-US"/>
    </w:rPr>
  </w:style>
  <w:style w:type="character" w:customStyle="1" w:styleId="tablelevel1-eChar">
    <w:name w:val="tablelevel1-e Char"/>
    <w:link w:val="tablelevel1-e"/>
    <w:locked/>
    <w:rsid w:val="00910FA3"/>
    <w:rPr>
      <w:snapToGrid/>
      <w:sz w:val="18"/>
      <w:lang w:val="en-GB" w:eastAsia="en-US"/>
    </w:rPr>
  </w:style>
  <w:style w:type="character" w:customStyle="1" w:styleId="FooterChar">
    <w:name w:val="Footer Char"/>
    <w:link w:val="Footer"/>
    <w:uiPriority w:val="99"/>
    <w:rsid w:val="00C3563E"/>
    <w:rPr>
      <w:sz w:val="24"/>
      <w:szCs w:val="24"/>
      <w:lang w:val="en-US" w:eastAsia="en-US"/>
    </w:rPr>
  </w:style>
  <w:style w:type="paragraph" w:customStyle="1" w:styleId="defclause-e">
    <w:name w:val="defclause-e"/>
    <w:basedOn w:val="Normal"/>
    <w:rsid w:val="00D75ACF"/>
    <w:pPr>
      <w:tabs>
        <w:tab w:val="right" w:pos="418"/>
        <w:tab w:val="left" w:pos="538"/>
      </w:tabs>
      <w:spacing w:before="111" w:after="0" w:line="209" w:lineRule="exact"/>
      <w:ind w:left="538" w:hanging="538"/>
      <w:jc w:val="both"/>
    </w:pPr>
    <w:rPr>
      <w:snapToGrid w:val="0"/>
      <w:sz w:val="20"/>
      <w:szCs w:val="20"/>
      <w:lang w:val="en-GB"/>
    </w:rPr>
  </w:style>
  <w:style w:type="paragraph" w:customStyle="1" w:styleId="definition-e">
    <w:name w:val="definition-e"/>
    <w:rsid w:val="00D75ACF"/>
    <w:pPr>
      <w:tabs>
        <w:tab w:val="left" w:pos="0"/>
      </w:tabs>
      <w:spacing w:before="111" w:line="209" w:lineRule="exact"/>
      <w:ind w:left="189" w:hanging="189"/>
      <w:jc w:val="both"/>
    </w:pPr>
    <w:rPr>
      <w:snapToGrid w:val="0"/>
      <w:lang w:val="en-GB"/>
    </w:rPr>
  </w:style>
  <w:style w:type="character" w:customStyle="1" w:styleId="Heading2Char">
    <w:name w:val="Heading 2 Char"/>
    <w:link w:val="Heading2"/>
    <w:rsid w:val="000E6AEE"/>
    <w:rPr>
      <w:b/>
      <w:sz w:val="24"/>
      <w:szCs w:val="24"/>
      <w:lang w:val="en-GB"/>
    </w:rPr>
  </w:style>
  <w:style w:type="paragraph" w:customStyle="1" w:styleId="Tablebullet0">
    <w:name w:val="Table bullet"/>
    <w:basedOn w:val="ListBullet"/>
    <w:link w:val="TablebulletChar"/>
    <w:rsid w:val="00296F79"/>
    <w:pPr>
      <w:numPr>
        <w:numId w:val="0"/>
      </w:numPr>
      <w:tabs>
        <w:tab w:val="clear" w:pos="567"/>
        <w:tab w:val="num" w:pos="360"/>
      </w:tabs>
      <w:spacing w:before="40" w:after="0"/>
      <w:ind w:left="360" w:hanging="360"/>
    </w:pPr>
    <w:rPr>
      <w:sz w:val="20"/>
      <w:szCs w:val="20"/>
      <w:lang w:val="en-US"/>
    </w:rPr>
  </w:style>
  <w:style w:type="character" w:customStyle="1" w:styleId="TablebulletChar">
    <w:name w:val="Table bullet Char"/>
    <w:link w:val="Tablebullet0"/>
    <w:rsid w:val="00296F79"/>
    <w:rPr>
      <w:rFonts w:ascii="Arial" w:hAnsi="Arial"/>
      <w:lang w:val="en-US" w:eastAsia="en-US"/>
    </w:rPr>
  </w:style>
  <w:style w:type="character" w:styleId="UnresolvedMention">
    <w:name w:val="Unresolved Mention"/>
    <w:uiPriority w:val="99"/>
    <w:semiHidden/>
    <w:unhideWhenUsed/>
    <w:rsid w:val="00124ED0"/>
    <w:rPr>
      <w:color w:val="605E5C"/>
      <w:shd w:val="clear" w:color="auto" w:fill="E1DFDD"/>
    </w:rPr>
  </w:style>
  <w:style w:type="character" w:customStyle="1" w:styleId="Heading3Char">
    <w:name w:val="Heading 3 Char"/>
    <w:link w:val="Heading3"/>
    <w:rsid w:val="006639AA"/>
    <w:rPr>
      <w:color w:val="000000"/>
      <w:spacing w:val="-6"/>
      <w:sz w:val="24"/>
      <w:szCs w:val="24"/>
      <w:u w:val="single"/>
      <w:lang w:val="en-GB"/>
    </w:rPr>
  </w:style>
  <w:style w:type="character" w:styleId="EndnoteReference">
    <w:name w:val="endnote reference"/>
    <w:uiPriority w:val="99"/>
    <w:semiHidden/>
    <w:unhideWhenUsed/>
    <w:rsid w:val="00C56F82"/>
    <w:rPr>
      <w:vertAlign w:val="superscript"/>
    </w:rPr>
  </w:style>
  <w:style w:type="character" w:customStyle="1" w:styleId="CommentTextChar">
    <w:name w:val="Comment Text Char"/>
    <w:basedOn w:val="DefaultParagraphFont"/>
    <w:link w:val="CommentText"/>
    <w:semiHidden/>
    <w:rsid w:val="0083016E"/>
  </w:style>
  <w:style w:type="paragraph" w:styleId="TOCHeading">
    <w:name w:val="TOC Heading"/>
    <w:basedOn w:val="Heading1"/>
    <w:next w:val="Normal"/>
    <w:uiPriority w:val="39"/>
    <w:unhideWhenUsed/>
    <w:qFormat/>
    <w:rsid w:val="00723EC6"/>
    <w:pPr>
      <w:keepLines/>
      <w:pageBreakBefore w:val="0"/>
      <w:numPr>
        <w:numId w:val="0"/>
      </w:numPr>
      <w:spacing w:after="0" w:line="259" w:lineRule="auto"/>
      <w:outlineLvl w:val="9"/>
    </w:pPr>
    <w:rPr>
      <w:rFonts w:asciiTheme="majorHAnsi" w:eastAsiaTheme="majorEastAsia" w:hAnsiTheme="majorHAnsi" w:cstheme="majorBidi"/>
      <w:b w:val="0"/>
      <w:bCs/>
      <w:color w:val="2F5496" w:themeColor="accent1" w:themeShade="BF"/>
      <w:kern w:val="0"/>
    </w:rPr>
  </w:style>
  <w:style w:type="paragraph" w:styleId="ListParagraph">
    <w:name w:val="List Paragraph"/>
    <w:basedOn w:val="Normal"/>
    <w:uiPriority w:val="34"/>
    <w:qFormat/>
    <w:rsid w:val="00F02A87"/>
    <w:pPr>
      <w:spacing w:before="0"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0012">
      <w:bodyDiv w:val="1"/>
      <w:marLeft w:val="0"/>
      <w:marRight w:val="0"/>
      <w:marTop w:val="0"/>
      <w:marBottom w:val="0"/>
      <w:divBdr>
        <w:top w:val="none" w:sz="0" w:space="0" w:color="auto"/>
        <w:left w:val="none" w:sz="0" w:space="0" w:color="auto"/>
        <w:bottom w:val="none" w:sz="0" w:space="0" w:color="auto"/>
        <w:right w:val="none" w:sz="0" w:space="0" w:color="auto"/>
      </w:divBdr>
      <w:divsChild>
        <w:div w:id="258026829">
          <w:marLeft w:val="0"/>
          <w:marRight w:val="0"/>
          <w:marTop w:val="0"/>
          <w:marBottom w:val="0"/>
          <w:divBdr>
            <w:top w:val="none" w:sz="0" w:space="0" w:color="auto"/>
            <w:left w:val="none" w:sz="0" w:space="0" w:color="auto"/>
            <w:bottom w:val="none" w:sz="0" w:space="0" w:color="auto"/>
            <w:right w:val="none" w:sz="0" w:space="0" w:color="auto"/>
          </w:divBdr>
        </w:div>
      </w:divsChild>
    </w:div>
    <w:div w:id="253518087">
      <w:bodyDiv w:val="1"/>
      <w:marLeft w:val="0"/>
      <w:marRight w:val="0"/>
      <w:marTop w:val="0"/>
      <w:marBottom w:val="0"/>
      <w:divBdr>
        <w:top w:val="none" w:sz="0" w:space="0" w:color="auto"/>
        <w:left w:val="none" w:sz="0" w:space="0" w:color="auto"/>
        <w:bottom w:val="none" w:sz="0" w:space="0" w:color="auto"/>
        <w:right w:val="none" w:sz="0" w:space="0" w:color="auto"/>
      </w:divBdr>
      <w:divsChild>
        <w:div w:id="491261216">
          <w:marLeft w:val="0"/>
          <w:marRight w:val="0"/>
          <w:marTop w:val="0"/>
          <w:marBottom w:val="0"/>
          <w:divBdr>
            <w:top w:val="none" w:sz="0" w:space="0" w:color="auto"/>
            <w:left w:val="none" w:sz="0" w:space="0" w:color="auto"/>
            <w:bottom w:val="none" w:sz="0" w:space="0" w:color="auto"/>
            <w:right w:val="none" w:sz="0" w:space="0" w:color="auto"/>
          </w:divBdr>
        </w:div>
      </w:divsChild>
    </w:div>
    <w:div w:id="624694671">
      <w:bodyDiv w:val="1"/>
      <w:marLeft w:val="0"/>
      <w:marRight w:val="0"/>
      <w:marTop w:val="0"/>
      <w:marBottom w:val="0"/>
      <w:divBdr>
        <w:top w:val="none" w:sz="0" w:space="0" w:color="auto"/>
        <w:left w:val="none" w:sz="0" w:space="0" w:color="auto"/>
        <w:bottom w:val="none" w:sz="0" w:space="0" w:color="auto"/>
        <w:right w:val="none" w:sz="0" w:space="0" w:color="auto"/>
      </w:divBdr>
    </w:div>
    <w:div w:id="632248959">
      <w:bodyDiv w:val="1"/>
      <w:marLeft w:val="0"/>
      <w:marRight w:val="0"/>
      <w:marTop w:val="0"/>
      <w:marBottom w:val="0"/>
      <w:divBdr>
        <w:top w:val="none" w:sz="0" w:space="0" w:color="auto"/>
        <w:left w:val="none" w:sz="0" w:space="0" w:color="auto"/>
        <w:bottom w:val="none" w:sz="0" w:space="0" w:color="auto"/>
        <w:right w:val="none" w:sz="0" w:space="0" w:color="auto"/>
      </w:divBdr>
      <w:divsChild>
        <w:div w:id="1048065679">
          <w:marLeft w:val="0"/>
          <w:marRight w:val="0"/>
          <w:marTop w:val="0"/>
          <w:marBottom w:val="0"/>
          <w:divBdr>
            <w:top w:val="none" w:sz="0" w:space="0" w:color="auto"/>
            <w:left w:val="none" w:sz="0" w:space="0" w:color="auto"/>
            <w:bottom w:val="none" w:sz="0" w:space="0" w:color="auto"/>
            <w:right w:val="none" w:sz="0" w:space="0" w:color="auto"/>
          </w:divBdr>
        </w:div>
      </w:divsChild>
    </w:div>
    <w:div w:id="643850138">
      <w:bodyDiv w:val="1"/>
      <w:marLeft w:val="0"/>
      <w:marRight w:val="0"/>
      <w:marTop w:val="0"/>
      <w:marBottom w:val="0"/>
      <w:divBdr>
        <w:top w:val="none" w:sz="0" w:space="0" w:color="auto"/>
        <w:left w:val="none" w:sz="0" w:space="0" w:color="auto"/>
        <w:bottom w:val="none" w:sz="0" w:space="0" w:color="auto"/>
        <w:right w:val="none" w:sz="0" w:space="0" w:color="auto"/>
      </w:divBdr>
    </w:div>
    <w:div w:id="762796621">
      <w:bodyDiv w:val="1"/>
      <w:marLeft w:val="0"/>
      <w:marRight w:val="0"/>
      <w:marTop w:val="0"/>
      <w:marBottom w:val="0"/>
      <w:divBdr>
        <w:top w:val="none" w:sz="0" w:space="0" w:color="auto"/>
        <w:left w:val="none" w:sz="0" w:space="0" w:color="auto"/>
        <w:bottom w:val="none" w:sz="0" w:space="0" w:color="auto"/>
        <w:right w:val="none" w:sz="0" w:space="0" w:color="auto"/>
      </w:divBdr>
    </w:div>
    <w:div w:id="811020561">
      <w:bodyDiv w:val="1"/>
      <w:marLeft w:val="0"/>
      <w:marRight w:val="0"/>
      <w:marTop w:val="0"/>
      <w:marBottom w:val="0"/>
      <w:divBdr>
        <w:top w:val="none" w:sz="0" w:space="0" w:color="auto"/>
        <w:left w:val="none" w:sz="0" w:space="0" w:color="auto"/>
        <w:bottom w:val="none" w:sz="0" w:space="0" w:color="auto"/>
        <w:right w:val="none" w:sz="0" w:space="0" w:color="auto"/>
      </w:divBdr>
    </w:div>
    <w:div w:id="890192635">
      <w:bodyDiv w:val="1"/>
      <w:marLeft w:val="0"/>
      <w:marRight w:val="0"/>
      <w:marTop w:val="0"/>
      <w:marBottom w:val="0"/>
      <w:divBdr>
        <w:top w:val="none" w:sz="0" w:space="0" w:color="auto"/>
        <w:left w:val="none" w:sz="0" w:space="0" w:color="auto"/>
        <w:bottom w:val="none" w:sz="0" w:space="0" w:color="auto"/>
        <w:right w:val="none" w:sz="0" w:space="0" w:color="auto"/>
      </w:divBdr>
      <w:divsChild>
        <w:div w:id="784350180">
          <w:marLeft w:val="0"/>
          <w:marRight w:val="0"/>
          <w:marTop w:val="0"/>
          <w:marBottom w:val="0"/>
          <w:divBdr>
            <w:top w:val="none" w:sz="0" w:space="0" w:color="auto"/>
            <w:left w:val="none" w:sz="0" w:space="0" w:color="auto"/>
            <w:bottom w:val="none" w:sz="0" w:space="0" w:color="auto"/>
            <w:right w:val="none" w:sz="0" w:space="0" w:color="auto"/>
          </w:divBdr>
        </w:div>
      </w:divsChild>
    </w:div>
    <w:div w:id="898174474">
      <w:bodyDiv w:val="1"/>
      <w:marLeft w:val="0"/>
      <w:marRight w:val="0"/>
      <w:marTop w:val="0"/>
      <w:marBottom w:val="0"/>
      <w:divBdr>
        <w:top w:val="none" w:sz="0" w:space="0" w:color="auto"/>
        <w:left w:val="none" w:sz="0" w:space="0" w:color="auto"/>
        <w:bottom w:val="none" w:sz="0" w:space="0" w:color="auto"/>
        <w:right w:val="none" w:sz="0" w:space="0" w:color="auto"/>
      </w:divBdr>
      <w:divsChild>
        <w:div w:id="1367024834">
          <w:marLeft w:val="0"/>
          <w:marRight w:val="0"/>
          <w:marTop w:val="0"/>
          <w:marBottom w:val="0"/>
          <w:divBdr>
            <w:top w:val="none" w:sz="0" w:space="0" w:color="auto"/>
            <w:left w:val="none" w:sz="0" w:space="0" w:color="auto"/>
            <w:bottom w:val="none" w:sz="0" w:space="0" w:color="auto"/>
            <w:right w:val="none" w:sz="0" w:space="0" w:color="auto"/>
          </w:divBdr>
        </w:div>
      </w:divsChild>
    </w:div>
    <w:div w:id="1016541909">
      <w:bodyDiv w:val="1"/>
      <w:marLeft w:val="0"/>
      <w:marRight w:val="0"/>
      <w:marTop w:val="0"/>
      <w:marBottom w:val="0"/>
      <w:divBdr>
        <w:top w:val="none" w:sz="0" w:space="0" w:color="auto"/>
        <w:left w:val="none" w:sz="0" w:space="0" w:color="auto"/>
        <w:bottom w:val="none" w:sz="0" w:space="0" w:color="auto"/>
        <w:right w:val="none" w:sz="0" w:space="0" w:color="auto"/>
      </w:divBdr>
      <w:divsChild>
        <w:div w:id="1461803096">
          <w:marLeft w:val="0"/>
          <w:marRight w:val="0"/>
          <w:marTop w:val="0"/>
          <w:marBottom w:val="0"/>
          <w:divBdr>
            <w:top w:val="none" w:sz="0" w:space="0" w:color="auto"/>
            <w:left w:val="none" w:sz="0" w:space="0" w:color="auto"/>
            <w:bottom w:val="none" w:sz="0" w:space="0" w:color="auto"/>
            <w:right w:val="none" w:sz="0" w:space="0" w:color="auto"/>
          </w:divBdr>
        </w:div>
      </w:divsChild>
    </w:div>
    <w:div w:id="1019703189">
      <w:bodyDiv w:val="1"/>
      <w:marLeft w:val="0"/>
      <w:marRight w:val="0"/>
      <w:marTop w:val="0"/>
      <w:marBottom w:val="0"/>
      <w:divBdr>
        <w:top w:val="none" w:sz="0" w:space="0" w:color="auto"/>
        <w:left w:val="none" w:sz="0" w:space="0" w:color="auto"/>
        <w:bottom w:val="none" w:sz="0" w:space="0" w:color="auto"/>
        <w:right w:val="none" w:sz="0" w:space="0" w:color="auto"/>
      </w:divBdr>
    </w:div>
    <w:div w:id="1077944612">
      <w:bodyDiv w:val="1"/>
      <w:marLeft w:val="0"/>
      <w:marRight w:val="0"/>
      <w:marTop w:val="0"/>
      <w:marBottom w:val="0"/>
      <w:divBdr>
        <w:top w:val="none" w:sz="0" w:space="0" w:color="auto"/>
        <w:left w:val="none" w:sz="0" w:space="0" w:color="auto"/>
        <w:bottom w:val="none" w:sz="0" w:space="0" w:color="auto"/>
        <w:right w:val="none" w:sz="0" w:space="0" w:color="auto"/>
      </w:divBdr>
    </w:div>
    <w:div w:id="1114442650">
      <w:bodyDiv w:val="1"/>
      <w:marLeft w:val="0"/>
      <w:marRight w:val="0"/>
      <w:marTop w:val="0"/>
      <w:marBottom w:val="0"/>
      <w:divBdr>
        <w:top w:val="none" w:sz="0" w:space="0" w:color="auto"/>
        <w:left w:val="none" w:sz="0" w:space="0" w:color="auto"/>
        <w:bottom w:val="none" w:sz="0" w:space="0" w:color="auto"/>
        <w:right w:val="none" w:sz="0" w:space="0" w:color="auto"/>
      </w:divBdr>
    </w:div>
    <w:div w:id="1382630649">
      <w:bodyDiv w:val="1"/>
      <w:marLeft w:val="0"/>
      <w:marRight w:val="0"/>
      <w:marTop w:val="0"/>
      <w:marBottom w:val="0"/>
      <w:divBdr>
        <w:top w:val="none" w:sz="0" w:space="0" w:color="auto"/>
        <w:left w:val="none" w:sz="0" w:space="0" w:color="auto"/>
        <w:bottom w:val="none" w:sz="0" w:space="0" w:color="auto"/>
        <w:right w:val="none" w:sz="0" w:space="0" w:color="auto"/>
      </w:divBdr>
      <w:divsChild>
        <w:div w:id="1828128577">
          <w:marLeft w:val="0"/>
          <w:marRight w:val="0"/>
          <w:marTop w:val="0"/>
          <w:marBottom w:val="0"/>
          <w:divBdr>
            <w:top w:val="none" w:sz="0" w:space="0" w:color="auto"/>
            <w:left w:val="none" w:sz="0" w:space="0" w:color="auto"/>
            <w:bottom w:val="none" w:sz="0" w:space="0" w:color="auto"/>
            <w:right w:val="none" w:sz="0" w:space="0" w:color="auto"/>
          </w:divBdr>
        </w:div>
      </w:divsChild>
    </w:div>
    <w:div w:id="1601715252">
      <w:bodyDiv w:val="1"/>
      <w:marLeft w:val="0"/>
      <w:marRight w:val="0"/>
      <w:marTop w:val="0"/>
      <w:marBottom w:val="0"/>
      <w:divBdr>
        <w:top w:val="none" w:sz="0" w:space="0" w:color="auto"/>
        <w:left w:val="none" w:sz="0" w:space="0" w:color="auto"/>
        <w:bottom w:val="none" w:sz="0" w:space="0" w:color="auto"/>
        <w:right w:val="none" w:sz="0" w:space="0" w:color="auto"/>
      </w:divBdr>
    </w:div>
    <w:div w:id="1625887062">
      <w:bodyDiv w:val="1"/>
      <w:marLeft w:val="0"/>
      <w:marRight w:val="0"/>
      <w:marTop w:val="0"/>
      <w:marBottom w:val="0"/>
      <w:divBdr>
        <w:top w:val="none" w:sz="0" w:space="0" w:color="auto"/>
        <w:left w:val="none" w:sz="0" w:space="0" w:color="auto"/>
        <w:bottom w:val="none" w:sz="0" w:space="0" w:color="auto"/>
        <w:right w:val="none" w:sz="0" w:space="0" w:color="auto"/>
      </w:divBdr>
    </w:div>
    <w:div w:id="1674070632">
      <w:bodyDiv w:val="1"/>
      <w:marLeft w:val="0"/>
      <w:marRight w:val="0"/>
      <w:marTop w:val="0"/>
      <w:marBottom w:val="0"/>
      <w:divBdr>
        <w:top w:val="none" w:sz="0" w:space="0" w:color="auto"/>
        <w:left w:val="none" w:sz="0" w:space="0" w:color="auto"/>
        <w:bottom w:val="none" w:sz="0" w:space="0" w:color="auto"/>
        <w:right w:val="none" w:sz="0" w:space="0" w:color="auto"/>
      </w:divBdr>
    </w:div>
    <w:div w:id="1709916876">
      <w:bodyDiv w:val="1"/>
      <w:marLeft w:val="0"/>
      <w:marRight w:val="0"/>
      <w:marTop w:val="0"/>
      <w:marBottom w:val="0"/>
      <w:divBdr>
        <w:top w:val="none" w:sz="0" w:space="0" w:color="auto"/>
        <w:left w:val="none" w:sz="0" w:space="0" w:color="auto"/>
        <w:bottom w:val="none" w:sz="0" w:space="0" w:color="auto"/>
        <w:right w:val="none" w:sz="0" w:space="0" w:color="auto"/>
      </w:divBdr>
    </w:div>
    <w:div w:id="1986079621">
      <w:bodyDiv w:val="1"/>
      <w:marLeft w:val="0"/>
      <w:marRight w:val="0"/>
      <w:marTop w:val="0"/>
      <w:marBottom w:val="0"/>
      <w:divBdr>
        <w:top w:val="none" w:sz="0" w:space="0" w:color="auto"/>
        <w:left w:val="none" w:sz="0" w:space="0" w:color="auto"/>
        <w:bottom w:val="none" w:sz="0" w:space="0" w:color="auto"/>
        <w:right w:val="none" w:sz="0" w:space="0" w:color="auto"/>
      </w:divBdr>
    </w:div>
    <w:div w:id="1993824613">
      <w:bodyDiv w:val="1"/>
      <w:marLeft w:val="0"/>
      <w:marRight w:val="0"/>
      <w:marTop w:val="0"/>
      <w:marBottom w:val="0"/>
      <w:divBdr>
        <w:top w:val="none" w:sz="0" w:space="0" w:color="auto"/>
        <w:left w:val="none" w:sz="0" w:space="0" w:color="auto"/>
        <w:bottom w:val="none" w:sz="0" w:space="0" w:color="auto"/>
        <w:right w:val="none" w:sz="0" w:space="0" w:color="auto"/>
      </w:divBdr>
    </w:div>
    <w:div w:id="1998611473">
      <w:bodyDiv w:val="1"/>
      <w:marLeft w:val="0"/>
      <w:marRight w:val="0"/>
      <w:marTop w:val="0"/>
      <w:marBottom w:val="0"/>
      <w:divBdr>
        <w:top w:val="none" w:sz="0" w:space="0" w:color="auto"/>
        <w:left w:val="none" w:sz="0" w:space="0" w:color="auto"/>
        <w:bottom w:val="none" w:sz="0" w:space="0" w:color="auto"/>
        <w:right w:val="none" w:sz="0" w:space="0" w:color="auto"/>
      </w:divBdr>
    </w:div>
    <w:div w:id="2011103959">
      <w:bodyDiv w:val="1"/>
      <w:marLeft w:val="0"/>
      <w:marRight w:val="0"/>
      <w:marTop w:val="0"/>
      <w:marBottom w:val="0"/>
      <w:divBdr>
        <w:top w:val="none" w:sz="0" w:space="0" w:color="auto"/>
        <w:left w:val="none" w:sz="0" w:space="0" w:color="auto"/>
        <w:bottom w:val="none" w:sz="0" w:space="0" w:color="auto"/>
        <w:right w:val="none" w:sz="0" w:space="0" w:color="auto"/>
      </w:divBdr>
    </w:div>
    <w:div w:id="2063669598">
      <w:bodyDiv w:val="1"/>
      <w:marLeft w:val="0"/>
      <w:marRight w:val="0"/>
      <w:marTop w:val="0"/>
      <w:marBottom w:val="0"/>
      <w:divBdr>
        <w:top w:val="none" w:sz="0" w:space="0" w:color="auto"/>
        <w:left w:val="none" w:sz="0" w:space="0" w:color="auto"/>
        <w:bottom w:val="none" w:sz="0" w:space="0" w:color="auto"/>
        <w:right w:val="none" w:sz="0" w:space="0" w:color="auto"/>
      </w:divBdr>
      <w:divsChild>
        <w:div w:id="38379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ontario.ca/environment-and-energy/ministry-environment-district-locato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ro.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law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ontario.ca/page/brownfields-re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3CC4353415B448FB6254DA5058A00" ma:contentTypeVersion="12" ma:contentTypeDescription="Create a new document." ma:contentTypeScope="" ma:versionID="45b0cc98940d7a4969d112ebc675658d">
  <xsd:schema xmlns:xsd="http://www.w3.org/2001/XMLSchema" xmlns:xs="http://www.w3.org/2001/XMLSchema" xmlns:p="http://schemas.microsoft.com/office/2006/metadata/properties" xmlns:ns3="4262dddd-8d59-484f-9403-bad4f326b639" xmlns:ns4="53f34fa3-e320-4b8d-a47b-6fdaf99c4107" targetNamespace="http://schemas.microsoft.com/office/2006/metadata/properties" ma:root="true" ma:fieldsID="3459c858f0b02e2e5b6931b05cd661b5" ns3:_="" ns4:_="">
    <xsd:import namespace="4262dddd-8d59-484f-9403-bad4f326b639"/>
    <xsd:import namespace="53f34fa3-e320-4b8d-a47b-6fdaf99c41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dddd-8d59-484f-9403-bad4f326b6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34fa3-e320-4b8d-a47b-6fdaf99c41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D772-2B25-4F33-8B29-EAF4D29B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dddd-8d59-484f-9403-bad4f326b639"/>
    <ds:schemaRef ds:uri="53f34fa3-e320-4b8d-a47b-6fdaf99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1A26B-CBD5-40BD-AE82-623719B1F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489DA-8F7C-449E-B343-98808513BABC}">
  <ds:schemaRefs>
    <ds:schemaRef ds:uri="http://schemas.microsoft.com/sharepoint/v3/contenttype/forms"/>
  </ds:schemaRefs>
</ds:datastoreItem>
</file>

<file path=customXml/itemProps4.xml><?xml version="1.0" encoding="utf-8"?>
<ds:datastoreItem xmlns:ds="http://schemas.openxmlformats.org/officeDocument/2006/customXml" ds:itemID="{B5DD9DD4-A1CA-4DDB-9479-2674ACAD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135</Pages>
  <Words>48600</Words>
  <Characters>280272</Characters>
  <Application>Microsoft Office Word</Application>
  <DocSecurity>0</DocSecurity>
  <Lines>2335</Lines>
  <Paragraphs>656</Paragraphs>
  <ScaleCrop>false</ScaleCrop>
  <HeadingPairs>
    <vt:vector size="2" baseType="variant">
      <vt:variant>
        <vt:lpstr>Title</vt:lpstr>
      </vt:variant>
      <vt:variant>
        <vt:i4>1</vt:i4>
      </vt:variant>
    </vt:vector>
  </HeadingPairs>
  <TitlesOfParts>
    <vt:vector size="1" baseType="lpstr">
      <vt:lpstr>Procedures for the Use of Risk Assessment at Contaminated Sites in Ontario</vt:lpstr>
    </vt:vector>
  </TitlesOfParts>
  <Company>Land and Resources Cluster</Company>
  <LinksUpToDate>false</LinksUpToDate>
  <CharactersWithSpaces>328216</CharactersWithSpaces>
  <SharedDoc>false</SharedDoc>
  <HLinks>
    <vt:vector size="708" baseType="variant">
      <vt:variant>
        <vt:i4>7012472</vt:i4>
      </vt:variant>
      <vt:variant>
        <vt:i4>699</vt:i4>
      </vt:variant>
      <vt:variant>
        <vt:i4>0</vt:i4>
      </vt:variant>
      <vt:variant>
        <vt:i4>5</vt:i4>
      </vt:variant>
      <vt:variant>
        <vt:lpwstr>https://www.ontario.ca/environment-and-energy/ministry-environment-district-locator</vt:lpwstr>
      </vt:variant>
      <vt:variant>
        <vt:lpwstr/>
      </vt:variant>
      <vt:variant>
        <vt:i4>6553647</vt:i4>
      </vt:variant>
      <vt:variant>
        <vt:i4>696</vt:i4>
      </vt:variant>
      <vt:variant>
        <vt:i4>0</vt:i4>
      </vt:variant>
      <vt:variant>
        <vt:i4>5</vt:i4>
      </vt:variant>
      <vt:variant>
        <vt:lpwstr>https://ero.ontario.ca/</vt:lpwstr>
      </vt:variant>
      <vt:variant>
        <vt:lpwstr/>
      </vt:variant>
      <vt:variant>
        <vt:i4>2031618</vt:i4>
      </vt:variant>
      <vt:variant>
        <vt:i4>693</vt:i4>
      </vt:variant>
      <vt:variant>
        <vt:i4>0</vt:i4>
      </vt:variant>
      <vt:variant>
        <vt:i4>5</vt:i4>
      </vt:variant>
      <vt:variant>
        <vt:lpwstr>https://www.ontario.ca/page/brownfields-redevelopment</vt:lpwstr>
      </vt:variant>
      <vt:variant>
        <vt:lpwstr/>
      </vt:variant>
      <vt:variant>
        <vt:i4>1245235</vt:i4>
      </vt:variant>
      <vt:variant>
        <vt:i4>683</vt:i4>
      </vt:variant>
      <vt:variant>
        <vt:i4>0</vt:i4>
      </vt:variant>
      <vt:variant>
        <vt:i4>5</vt:i4>
      </vt:variant>
      <vt:variant>
        <vt:lpwstr/>
      </vt:variant>
      <vt:variant>
        <vt:lpwstr>_Toc40867587</vt:lpwstr>
      </vt:variant>
      <vt:variant>
        <vt:i4>1179699</vt:i4>
      </vt:variant>
      <vt:variant>
        <vt:i4>677</vt:i4>
      </vt:variant>
      <vt:variant>
        <vt:i4>0</vt:i4>
      </vt:variant>
      <vt:variant>
        <vt:i4>5</vt:i4>
      </vt:variant>
      <vt:variant>
        <vt:lpwstr/>
      </vt:variant>
      <vt:variant>
        <vt:lpwstr>_Toc40867586</vt:lpwstr>
      </vt:variant>
      <vt:variant>
        <vt:i4>1114163</vt:i4>
      </vt:variant>
      <vt:variant>
        <vt:i4>671</vt:i4>
      </vt:variant>
      <vt:variant>
        <vt:i4>0</vt:i4>
      </vt:variant>
      <vt:variant>
        <vt:i4>5</vt:i4>
      </vt:variant>
      <vt:variant>
        <vt:lpwstr/>
      </vt:variant>
      <vt:variant>
        <vt:lpwstr>_Toc40867585</vt:lpwstr>
      </vt:variant>
      <vt:variant>
        <vt:i4>1048627</vt:i4>
      </vt:variant>
      <vt:variant>
        <vt:i4>665</vt:i4>
      </vt:variant>
      <vt:variant>
        <vt:i4>0</vt:i4>
      </vt:variant>
      <vt:variant>
        <vt:i4>5</vt:i4>
      </vt:variant>
      <vt:variant>
        <vt:lpwstr/>
      </vt:variant>
      <vt:variant>
        <vt:lpwstr>_Toc40867584</vt:lpwstr>
      </vt:variant>
      <vt:variant>
        <vt:i4>1507379</vt:i4>
      </vt:variant>
      <vt:variant>
        <vt:i4>659</vt:i4>
      </vt:variant>
      <vt:variant>
        <vt:i4>0</vt:i4>
      </vt:variant>
      <vt:variant>
        <vt:i4>5</vt:i4>
      </vt:variant>
      <vt:variant>
        <vt:lpwstr/>
      </vt:variant>
      <vt:variant>
        <vt:lpwstr>_Toc40867583</vt:lpwstr>
      </vt:variant>
      <vt:variant>
        <vt:i4>1441843</vt:i4>
      </vt:variant>
      <vt:variant>
        <vt:i4>653</vt:i4>
      </vt:variant>
      <vt:variant>
        <vt:i4>0</vt:i4>
      </vt:variant>
      <vt:variant>
        <vt:i4>5</vt:i4>
      </vt:variant>
      <vt:variant>
        <vt:lpwstr/>
      </vt:variant>
      <vt:variant>
        <vt:lpwstr>_Toc40867582</vt:lpwstr>
      </vt:variant>
      <vt:variant>
        <vt:i4>1376307</vt:i4>
      </vt:variant>
      <vt:variant>
        <vt:i4>647</vt:i4>
      </vt:variant>
      <vt:variant>
        <vt:i4>0</vt:i4>
      </vt:variant>
      <vt:variant>
        <vt:i4>5</vt:i4>
      </vt:variant>
      <vt:variant>
        <vt:lpwstr/>
      </vt:variant>
      <vt:variant>
        <vt:lpwstr>_Toc40867581</vt:lpwstr>
      </vt:variant>
      <vt:variant>
        <vt:i4>1310771</vt:i4>
      </vt:variant>
      <vt:variant>
        <vt:i4>641</vt:i4>
      </vt:variant>
      <vt:variant>
        <vt:i4>0</vt:i4>
      </vt:variant>
      <vt:variant>
        <vt:i4>5</vt:i4>
      </vt:variant>
      <vt:variant>
        <vt:lpwstr/>
      </vt:variant>
      <vt:variant>
        <vt:lpwstr>_Toc40867580</vt:lpwstr>
      </vt:variant>
      <vt:variant>
        <vt:i4>1900604</vt:i4>
      </vt:variant>
      <vt:variant>
        <vt:i4>635</vt:i4>
      </vt:variant>
      <vt:variant>
        <vt:i4>0</vt:i4>
      </vt:variant>
      <vt:variant>
        <vt:i4>5</vt:i4>
      </vt:variant>
      <vt:variant>
        <vt:lpwstr/>
      </vt:variant>
      <vt:variant>
        <vt:lpwstr>_Toc40867579</vt:lpwstr>
      </vt:variant>
      <vt:variant>
        <vt:i4>1835068</vt:i4>
      </vt:variant>
      <vt:variant>
        <vt:i4>629</vt:i4>
      </vt:variant>
      <vt:variant>
        <vt:i4>0</vt:i4>
      </vt:variant>
      <vt:variant>
        <vt:i4>5</vt:i4>
      </vt:variant>
      <vt:variant>
        <vt:lpwstr/>
      </vt:variant>
      <vt:variant>
        <vt:lpwstr>_Toc40867578</vt:lpwstr>
      </vt:variant>
      <vt:variant>
        <vt:i4>1245244</vt:i4>
      </vt:variant>
      <vt:variant>
        <vt:i4>623</vt:i4>
      </vt:variant>
      <vt:variant>
        <vt:i4>0</vt:i4>
      </vt:variant>
      <vt:variant>
        <vt:i4>5</vt:i4>
      </vt:variant>
      <vt:variant>
        <vt:lpwstr/>
      </vt:variant>
      <vt:variant>
        <vt:lpwstr>_Toc40867577</vt:lpwstr>
      </vt:variant>
      <vt:variant>
        <vt:i4>1179708</vt:i4>
      </vt:variant>
      <vt:variant>
        <vt:i4>617</vt:i4>
      </vt:variant>
      <vt:variant>
        <vt:i4>0</vt:i4>
      </vt:variant>
      <vt:variant>
        <vt:i4>5</vt:i4>
      </vt:variant>
      <vt:variant>
        <vt:lpwstr/>
      </vt:variant>
      <vt:variant>
        <vt:lpwstr>_Toc40867576</vt:lpwstr>
      </vt:variant>
      <vt:variant>
        <vt:i4>1114172</vt:i4>
      </vt:variant>
      <vt:variant>
        <vt:i4>611</vt:i4>
      </vt:variant>
      <vt:variant>
        <vt:i4>0</vt:i4>
      </vt:variant>
      <vt:variant>
        <vt:i4>5</vt:i4>
      </vt:variant>
      <vt:variant>
        <vt:lpwstr/>
      </vt:variant>
      <vt:variant>
        <vt:lpwstr>_Toc40867575</vt:lpwstr>
      </vt:variant>
      <vt:variant>
        <vt:i4>1048636</vt:i4>
      </vt:variant>
      <vt:variant>
        <vt:i4>605</vt:i4>
      </vt:variant>
      <vt:variant>
        <vt:i4>0</vt:i4>
      </vt:variant>
      <vt:variant>
        <vt:i4>5</vt:i4>
      </vt:variant>
      <vt:variant>
        <vt:lpwstr/>
      </vt:variant>
      <vt:variant>
        <vt:lpwstr>_Toc40867574</vt:lpwstr>
      </vt:variant>
      <vt:variant>
        <vt:i4>1507388</vt:i4>
      </vt:variant>
      <vt:variant>
        <vt:i4>599</vt:i4>
      </vt:variant>
      <vt:variant>
        <vt:i4>0</vt:i4>
      </vt:variant>
      <vt:variant>
        <vt:i4>5</vt:i4>
      </vt:variant>
      <vt:variant>
        <vt:lpwstr/>
      </vt:variant>
      <vt:variant>
        <vt:lpwstr>_Toc40867573</vt:lpwstr>
      </vt:variant>
      <vt:variant>
        <vt:i4>1441852</vt:i4>
      </vt:variant>
      <vt:variant>
        <vt:i4>593</vt:i4>
      </vt:variant>
      <vt:variant>
        <vt:i4>0</vt:i4>
      </vt:variant>
      <vt:variant>
        <vt:i4>5</vt:i4>
      </vt:variant>
      <vt:variant>
        <vt:lpwstr/>
      </vt:variant>
      <vt:variant>
        <vt:lpwstr>_Toc40867572</vt:lpwstr>
      </vt:variant>
      <vt:variant>
        <vt:i4>1376316</vt:i4>
      </vt:variant>
      <vt:variant>
        <vt:i4>587</vt:i4>
      </vt:variant>
      <vt:variant>
        <vt:i4>0</vt:i4>
      </vt:variant>
      <vt:variant>
        <vt:i4>5</vt:i4>
      </vt:variant>
      <vt:variant>
        <vt:lpwstr/>
      </vt:variant>
      <vt:variant>
        <vt:lpwstr>_Toc40867571</vt:lpwstr>
      </vt:variant>
      <vt:variant>
        <vt:i4>1310780</vt:i4>
      </vt:variant>
      <vt:variant>
        <vt:i4>581</vt:i4>
      </vt:variant>
      <vt:variant>
        <vt:i4>0</vt:i4>
      </vt:variant>
      <vt:variant>
        <vt:i4>5</vt:i4>
      </vt:variant>
      <vt:variant>
        <vt:lpwstr/>
      </vt:variant>
      <vt:variant>
        <vt:lpwstr>_Toc40867570</vt:lpwstr>
      </vt:variant>
      <vt:variant>
        <vt:i4>1900605</vt:i4>
      </vt:variant>
      <vt:variant>
        <vt:i4>575</vt:i4>
      </vt:variant>
      <vt:variant>
        <vt:i4>0</vt:i4>
      </vt:variant>
      <vt:variant>
        <vt:i4>5</vt:i4>
      </vt:variant>
      <vt:variant>
        <vt:lpwstr/>
      </vt:variant>
      <vt:variant>
        <vt:lpwstr>_Toc40867569</vt:lpwstr>
      </vt:variant>
      <vt:variant>
        <vt:i4>1835069</vt:i4>
      </vt:variant>
      <vt:variant>
        <vt:i4>569</vt:i4>
      </vt:variant>
      <vt:variant>
        <vt:i4>0</vt:i4>
      </vt:variant>
      <vt:variant>
        <vt:i4>5</vt:i4>
      </vt:variant>
      <vt:variant>
        <vt:lpwstr/>
      </vt:variant>
      <vt:variant>
        <vt:lpwstr>_Toc40867568</vt:lpwstr>
      </vt:variant>
      <vt:variant>
        <vt:i4>1245245</vt:i4>
      </vt:variant>
      <vt:variant>
        <vt:i4>563</vt:i4>
      </vt:variant>
      <vt:variant>
        <vt:i4>0</vt:i4>
      </vt:variant>
      <vt:variant>
        <vt:i4>5</vt:i4>
      </vt:variant>
      <vt:variant>
        <vt:lpwstr/>
      </vt:variant>
      <vt:variant>
        <vt:lpwstr>_Toc40867567</vt:lpwstr>
      </vt:variant>
      <vt:variant>
        <vt:i4>1179709</vt:i4>
      </vt:variant>
      <vt:variant>
        <vt:i4>557</vt:i4>
      </vt:variant>
      <vt:variant>
        <vt:i4>0</vt:i4>
      </vt:variant>
      <vt:variant>
        <vt:i4>5</vt:i4>
      </vt:variant>
      <vt:variant>
        <vt:lpwstr/>
      </vt:variant>
      <vt:variant>
        <vt:lpwstr>_Toc40867566</vt:lpwstr>
      </vt:variant>
      <vt:variant>
        <vt:i4>1114173</vt:i4>
      </vt:variant>
      <vt:variant>
        <vt:i4>551</vt:i4>
      </vt:variant>
      <vt:variant>
        <vt:i4>0</vt:i4>
      </vt:variant>
      <vt:variant>
        <vt:i4>5</vt:i4>
      </vt:variant>
      <vt:variant>
        <vt:lpwstr/>
      </vt:variant>
      <vt:variant>
        <vt:lpwstr>_Toc40867565</vt:lpwstr>
      </vt:variant>
      <vt:variant>
        <vt:i4>1048637</vt:i4>
      </vt:variant>
      <vt:variant>
        <vt:i4>545</vt:i4>
      </vt:variant>
      <vt:variant>
        <vt:i4>0</vt:i4>
      </vt:variant>
      <vt:variant>
        <vt:i4>5</vt:i4>
      </vt:variant>
      <vt:variant>
        <vt:lpwstr/>
      </vt:variant>
      <vt:variant>
        <vt:lpwstr>_Toc40867564</vt:lpwstr>
      </vt:variant>
      <vt:variant>
        <vt:i4>1507389</vt:i4>
      </vt:variant>
      <vt:variant>
        <vt:i4>539</vt:i4>
      </vt:variant>
      <vt:variant>
        <vt:i4>0</vt:i4>
      </vt:variant>
      <vt:variant>
        <vt:i4>5</vt:i4>
      </vt:variant>
      <vt:variant>
        <vt:lpwstr/>
      </vt:variant>
      <vt:variant>
        <vt:lpwstr>_Toc40867563</vt:lpwstr>
      </vt:variant>
      <vt:variant>
        <vt:i4>1441853</vt:i4>
      </vt:variant>
      <vt:variant>
        <vt:i4>533</vt:i4>
      </vt:variant>
      <vt:variant>
        <vt:i4>0</vt:i4>
      </vt:variant>
      <vt:variant>
        <vt:i4>5</vt:i4>
      </vt:variant>
      <vt:variant>
        <vt:lpwstr/>
      </vt:variant>
      <vt:variant>
        <vt:lpwstr>_Toc40867562</vt:lpwstr>
      </vt:variant>
      <vt:variant>
        <vt:i4>1376317</vt:i4>
      </vt:variant>
      <vt:variant>
        <vt:i4>527</vt:i4>
      </vt:variant>
      <vt:variant>
        <vt:i4>0</vt:i4>
      </vt:variant>
      <vt:variant>
        <vt:i4>5</vt:i4>
      </vt:variant>
      <vt:variant>
        <vt:lpwstr/>
      </vt:variant>
      <vt:variant>
        <vt:lpwstr>_Toc40867561</vt:lpwstr>
      </vt:variant>
      <vt:variant>
        <vt:i4>1310781</vt:i4>
      </vt:variant>
      <vt:variant>
        <vt:i4>521</vt:i4>
      </vt:variant>
      <vt:variant>
        <vt:i4>0</vt:i4>
      </vt:variant>
      <vt:variant>
        <vt:i4>5</vt:i4>
      </vt:variant>
      <vt:variant>
        <vt:lpwstr/>
      </vt:variant>
      <vt:variant>
        <vt:lpwstr>_Toc40867560</vt:lpwstr>
      </vt:variant>
      <vt:variant>
        <vt:i4>1900606</vt:i4>
      </vt:variant>
      <vt:variant>
        <vt:i4>515</vt:i4>
      </vt:variant>
      <vt:variant>
        <vt:i4>0</vt:i4>
      </vt:variant>
      <vt:variant>
        <vt:i4>5</vt:i4>
      </vt:variant>
      <vt:variant>
        <vt:lpwstr/>
      </vt:variant>
      <vt:variant>
        <vt:lpwstr>_Toc40867559</vt:lpwstr>
      </vt:variant>
      <vt:variant>
        <vt:i4>1835070</vt:i4>
      </vt:variant>
      <vt:variant>
        <vt:i4>509</vt:i4>
      </vt:variant>
      <vt:variant>
        <vt:i4>0</vt:i4>
      </vt:variant>
      <vt:variant>
        <vt:i4>5</vt:i4>
      </vt:variant>
      <vt:variant>
        <vt:lpwstr/>
      </vt:variant>
      <vt:variant>
        <vt:lpwstr>_Toc40867558</vt:lpwstr>
      </vt:variant>
      <vt:variant>
        <vt:i4>1245246</vt:i4>
      </vt:variant>
      <vt:variant>
        <vt:i4>503</vt:i4>
      </vt:variant>
      <vt:variant>
        <vt:i4>0</vt:i4>
      </vt:variant>
      <vt:variant>
        <vt:i4>5</vt:i4>
      </vt:variant>
      <vt:variant>
        <vt:lpwstr/>
      </vt:variant>
      <vt:variant>
        <vt:lpwstr>_Toc40867557</vt:lpwstr>
      </vt:variant>
      <vt:variant>
        <vt:i4>1179710</vt:i4>
      </vt:variant>
      <vt:variant>
        <vt:i4>497</vt:i4>
      </vt:variant>
      <vt:variant>
        <vt:i4>0</vt:i4>
      </vt:variant>
      <vt:variant>
        <vt:i4>5</vt:i4>
      </vt:variant>
      <vt:variant>
        <vt:lpwstr/>
      </vt:variant>
      <vt:variant>
        <vt:lpwstr>_Toc40867556</vt:lpwstr>
      </vt:variant>
      <vt:variant>
        <vt:i4>1114174</vt:i4>
      </vt:variant>
      <vt:variant>
        <vt:i4>491</vt:i4>
      </vt:variant>
      <vt:variant>
        <vt:i4>0</vt:i4>
      </vt:variant>
      <vt:variant>
        <vt:i4>5</vt:i4>
      </vt:variant>
      <vt:variant>
        <vt:lpwstr/>
      </vt:variant>
      <vt:variant>
        <vt:lpwstr>_Toc40867555</vt:lpwstr>
      </vt:variant>
      <vt:variant>
        <vt:i4>1048638</vt:i4>
      </vt:variant>
      <vt:variant>
        <vt:i4>485</vt:i4>
      </vt:variant>
      <vt:variant>
        <vt:i4>0</vt:i4>
      </vt:variant>
      <vt:variant>
        <vt:i4>5</vt:i4>
      </vt:variant>
      <vt:variant>
        <vt:lpwstr/>
      </vt:variant>
      <vt:variant>
        <vt:lpwstr>_Toc40867554</vt:lpwstr>
      </vt:variant>
      <vt:variant>
        <vt:i4>1507390</vt:i4>
      </vt:variant>
      <vt:variant>
        <vt:i4>479</vt:i4>
      </vt:variant>
      <vt:variant>
        <vt:i4>0</vt:i4>
      </vt:variant>
      <vt:variant>
        <vt:i4>5</vt:i4>
      </vt:variant>
      <vt:variant>
        <vt:lpwstr/>
      </vt:variant>
      <vt:variant>
        <vt:lpwstr>_Toc40867553</vt:lpwstr>
      </vt:variant>
      <vt:variant>
        <vt:i4>1441854</vt:i4>
      </vt:variant>
      <vt:variant>
        <vt:i4>473</vt:i4>
      </vt:variant>
      <vt:variant>
        <vt:i4>0</vt:i4>
      </vt:variant>
      <vt:variant>
        <vt:i4>5</vt:i4>
      </vt:variant>
      <vt:variant>
        <vt:lpwstr/>
      </vt:variant>
      <vt:variant>
        <vt:lpwstr>_Toc40867552</vt:lpwstr>
      </vt:variant>
      <vt:variant>
        <vt:i4>1376318</vt:i4>
      </vt:variant>
      <vt:variant>
        <vt:i4>467</vt:i4>
      </vt:variant>
      <vt:variant>
        <vt:i4>0</vt:i4>
      </vt:variant>
      <vt:variant>
        <vt:i4>5</vt:i4>
      </vt:variant>
      <vt:variant>
        <vt:lpwstr/>
      </vt:variant>
      <vt:variant>
        <vt:lpwstr>_Toc40867551</vt:lpwstr>
      </vt:variant>
      <vt:variant>
        <vt:i4>1310782</vt:i4>
      </vt:variant>
      <vt:variant>
        <vt:i4>461</vt:i4>
      </vt:variant>
      <vt:variant>
        <vt:i4>0</vt:i4>
      </vt:variant>
      <vt:variant>
        <vt:i4>5</vt:i4>
      </vt:variant>
      <vt:variant>
        <vt:lpwstr/>
      </vt:variant>
      <vt:variant>
        <vt:lpwstr>_Toc40867550</vt:lpwstr>
      </vt:variant>
      <vt:variant>
        <vt:i4>1900607</vt:i4>
      </vt:variant>
      <vt:variant>
        <vt:i4>455</vt:i4>
      </vt:variant>
      <vt:variant>
        <vt:i4>0</vt:i4>
      </vt:variant>
      <vt:variant>
        <vt:i4>5</vt:i4>
      </vt:variant>
      <vt:variant>
        <vt:lpwstr/>
      </vt:variant>
      <vt:variant>
        <vt:lpwstr>_Toc40867549</vt:lpwstr>
      </vt:variant>
      <vt:variant>
        <vt:i4>1835071</vt:i4>
      </vt:variant>
      <vt:variant>
        <vt:i4>449</vt:i4>
      </vt:variant>
      <vt:variant>
        <vt:i4>0</vt:i4>
      </vt:variant>
      <vt:variant>
        <vt:i4>5</vt:i4>
      </vt:variant>
      <vt:variant>
        <vt:lpwstr/>
      </vt:variant>
      <vt:variant>
        <vt:lpwstr>_Toc40867548</vt:lpwstr>
      </vt:variant>
      <vt:variant>
        <vt:i4>1245247</vt:i4>
      </vt:variant>
      <vt:variant>
        <vt:i4>443</vt:i4>
      </vt:variant>
      <vt:variant>
        <vt:i4>0</vt:i4>
      </vt:variant>
      <vt:variant>
        <vt:i4>5</vt:i4>
      </vt:variant>
      <vt:variant>
        <vt:lpwstr/>
      </vt:variant>
      <vt:variant>
        <vt:lpwstr>_Toc40867547</vt:lpwstr>
      </vt:variant>
      <vt:variant>
        <vt:i4>1179711</vt:i4>
      </vt:variant>
      <vt:variant>
        <vt:i4>437</vt:i4>
      </vt:variant>
      <vt:variant>
        <vt:i4>0</vt:i4>
      </vt:variant>
      <vt:variant>
        <vt:i4>5</vt:i4>
      </vt:variant>
      <vt:variant>
        <vt:lpwstr/>
      </vt:variant>
      <vt:variant>
        <vt:lpwstr>_Toc40867546</vt:lpwstr>
      </vt:variant>
      <vt:variant>
        <vt:i4>1114175</vt:i4>
      </vt:variant>
      <vt:variant>
        <vt:i4>431</vt:i4>
      </vt:variant>
      <vt:variant>
        <vt:i4>0</vt:i4>
      </vt:variant>
      <vt:variant>
        <vt:i4>5</vt:i4>
      </vt:variant>
      <vt:variant>
        <vt:lpwstr/>
      </vt:variant>
      <vt:variant>
        <vt:lpwstr>_Toc40867545</vt:lpwstr>
      </vt:variant>
      <vt:variant>
        <vt:i4>1048639</vt:i4>
      </vt:variant>
      <vt:variant>
        <vt:i4>425</vt:i4>
      </vt:variant>
      <vt:variant>
        <vt:i4>0</vt:i4>
      </vt:variant>
      <vt:variant>
        <vt:i4>5</vt:i4>
      </vt:variant>
      <vt:variant>
        <vt:lpwstr/>
      </vt:variant>
      <vt:variant>
        <vt:lpwstr>_Toc40867544</vt:lpwstr>
      </vt:variant>
      <vt:variant>
        <vt:i4>1507391</vt:i4>
      </vt:variant>
      <vt:variant>
        <vt:i4>419</vt:i4>
      </vt:variant>
      <vt:variant>
        <vt:i4>0</vt:i4>
      </vt:variant>
      <vt:variant>
        <vt:i4>5</vt:i4>
      </vt:variant>
      <vt:variant>
        <vt:lpwstr/>
      </vt:variant>
      <vt:variant>
        <vt:lpwstr>_Toc40867543</vt:lpwstr>
      </vt:variant>
      <vt:variant>
        <vt:i4>1441855</vt:i4>
      </vt:variant>
      <vt:variant>
        <vt:i4>413</vt:i4>
      </vt:variant>
      <vt:variant>
        <vt:i4>0</vt:i4>
      </vt:variant>
      <vt:variant>
        <vt:i4>5</vt:i4>
      </vt:variant>
      <vt:variant>
        <vt:lpwstr/>
      </vt:variant>
      <vt:variant>
        <vt:lpwstr>_Toc40867542</vt:lpwstr>
      </vt:variant>
      <vt:variant>
        <vt:i4>1376319</vt:i4>
      </vt:variant>
      <vt:variant>
        <vt:i4>407</vt:i4>
      </vt:variant>
      <vt:variant>
        <vt:i4>0</vt:i4>
      </vt:variant>
      <vt:variant>
        <vt:i4>5</vt:i4>
      </vt:variant>
      <vt:variant>
        <vt:lpwstr/>
      </vt:variant>
      <vt:variant>
        <vt:lpwstr>_Toc40867541</vt:lpwstr>
      </vt:variant>
      <vt:variant>
        <vt:i4>1310783</vt:i4>
      </vt:variant>
      <vt:variant>
        <vt:i4>401</vt:i4>
      </vt:variant>
      <vt:variant>
        <vt:i4>0</vt:i4>
      </vt:variant>
      <vt:variant>
        <vt:i4>5</vt:i4>
      </vt:variant>
      <vt:variant>
        <vt:lpwstr/>
      </vt:variant>
      <vt:variant>
        <vt:lpwstr>_Toc40867540</vt:lpwstr>
      </vt:variant>
      <vt:variant>
        <vt:i4>1900600</vt:i4>
      </vt:variant>
      <vt:variant>
        <vt:i4>395</vt:i4>
      </vt:variant>
      <vt:variant>
        <vt:i4>0</vt:i4>
      </vt:variant>
      <vt:variant>
        <vt:i4>5</vt:i4>
      </vt:variant>
      <vt:variant>
        <vt:lpwstr/>
      </vt:variant>
      <vt:variant>
        <vt:lpwstr>_Toc40867539</vt:lpwstr>
      </vt:variant>
      <vt:variant>
        <vt:i4>1835064</vt:i4>
      </vt:variant>
      <vt:variant>
        <vt:i4>389</vt:i4>
      </vt:variant>
      <vt:variant>
        <vt:i4>0</vt:i4>
      </vt:variant>
      <vt:variant>
        <vt:i4>5</vt:i4>
      </vt:variant>
      <vt:variant>
        <vt:lpwstr/>
      </vt:variant>
      <vt:variant>
        <vt:lpwstr>_Toc40867538</vt:lpwstr>
      </vt:variant>
      <vt:variant>
        <vt:i4>1245240</vt:i4>
      </vt:variant>
      <vt:variant>
        <vt:i4>383</vt:i4>
      </vt:variant>
      <vt:variant>
        <vt:i4>0</vt:i4>
      </vt:variant>
      <vt:variant>
        <vt:i4>5</vt:i4>
      </vt:variant>
      <vt:variant>
        <vt:lpwstr/>
      </vt:variant>
      <vt:variant>
        <vt:lpwstr>_Toc40867537</vt:lpwstr>
      </vt:variant>
      <vt:variant>
        <vt:i4>1179704</vt:i4>
      </vt:variant>
      <vt:variant>
        <vt:i4>377</vt:i4>
      </vt:variant>
      <vt:variant>
        <vt:i4>0</vt:i4>
      </vt:variant>
      <vt:variant>
        <vt:i4>5</vt:i4>
      </vt:variant>
      <vt:variant>
        <vt:lpwstr/>
      </vt:variant>
      <vt:variant>
        <vt:lpwstr>_Toc40867536</vt:lpwstr>
      </vt:variant>
      <vt:variant>
        <vt:i4>1114168</vt:i4>
      </vt:variant>
      <vt:variant>
        <vt:i4>371</vt:i4>
      </vt:variant>
      <vt:variant>
        <vt:i4>0</vt:i4>
      </vt:variant>
      <vt:variant>
        <vt:i4>5</vt:i4>
      </vt:variant>
      <vt:variant>
        <vt:lpwstr/>
      </vt:variant>
      <vt:variant>
        <vt:lpwstr>_Toc40867535</vt:lpwstr>
      </vt:variant>
      <vt:variant>
        <vt:i4>1048632</vt:i4>
      </vt:variant>
      <vt:variant>
        <vt:i4>365</vt:i4>
      </vt:variant>
      <vt:variant>
        <vt:i4>0</vt:i4>
      </vt:variant>
      <vt:variant>
        <vt:i4>5</vt:i4>
      </vt:variant>
      <vt:variant>
        <vt:lpwstr/>
      </vt:variant>
      <vt:variant>
        <vt:lpwstr>_Toc40867534</vt:lpwstr>
      </vt:variant>
      <vt:variant>
        <vt:i4>1507384</vt:i4>
      </vt:variant>
      <vt:variant>
        <vt:i4>359</vt:i4>
      </vt:variant>
      <vt:variant>
        <vt:i4>0</vt:i4>
      </vt:variant>
      <vt:variant>
        <vt:i4>5</vt:i4>
      </vt:variant>
      <vt:variant>
        <vt:lpwstr/>
      </vt:variant>
      <vt:variant>
        <vt:lpwstr>_Toc40867533</vt:lpwstr>
      </vt:variant>
      <vt:variant>
        <vt:i4>1441848</vt:i4>
      </vt:variant>
      <vt:variant>
        <vt:i4>353</vt:i4>
      </vt:variant>
      <vt:variant>
        <vt:i4>0</vt:i4>
      </vt:variant>
      <vt:variant>
        <vt:i4>5</vt:i4>
      </vt:variant>
      <vt:variant>
        <vt:lpwstr/>
      </vt:variant>
      <vt:variant>
        <vt:lpwstr>_Toc40867532</vt:lpwstr>
      </vt:variant>
      <vt:variant>
        <vt:i4>1376312</vt:i4>
      </vt:variant>
      <vt:variant>
        <vt:i4>347</vt:i4>
      </vt:variant>
      <vt:variant>
        <vt:i4>0</vt:i4>
      </vt:variant>
      <vt:variant>
        <vt:i4>5</vt:i4>
      </vt:variant>
      <vt:variant>
        <vt:lpwstr/>
      </vt:variant>
      <vt:variant>
        <vt:lpwstr>_Toc40867531</vt:lpwstr>
      </vt:variant>
      <vt:variant>
        <vt:i4>1310776</vt:i4>
      </vt:variant>
      <vt:variant>
        <vt:i4>341</vt:i4>
      </vt:variant>
      <vt:variant>
        <vt:i4>0</vt:i4>
      </vt:variant>
      <vt:variant>
        <vt:i4>5</vt:i4>
      </vt:variant>
      <vt:variant>
        <vt:lpwstr/>
      </vt:variant>
      <vt:variant>
        <vt:lpwstr>_Toc40867530</vt:lpwstr>
      </vt:variant>
      <vt:variant>
        <vt:i4>1900601</vt:i4>
      </vt:variant>
      <vt:variant>
        <vt:i4>335</vt:i4>
      </vt:variant>
      <vt:variant>
        <vt:i4>0</vt:i4>
      </vt:variant>
      <vt:variant>
        <vt:i4>5</vt:i4>
      </vt:variant>
      <vt:variant>
        <vt:lpwstr/>
      </vt:variant>
      <vt:variant>
        <vt:lpwstr>_Toc40867529</vt:lpwstr>
      </vt:variant>
      <vt:variant>
        <vt:i4>1835065</vt:i4>
      </vt:variant>
      <vt:variant>
        <vt:i4>329</vt:i4>
      </vt:variant>
      <vt:variant>
        <vt:i4>0</vt:i4>
      </vt:variant>
      <vt:variant>
        <vt:i4>5</vt:i4>
      </vt:variant>
      <vt:variant>
        <vt:lpwstr/>
      </vt:variant>
      <vt:variant>
        <vt:lpwstr>_Toc40867528</vt:lpwstr>
      </vt:variant>
      <vt:variant>
        <vt:i4>1245241</vt:i4>
      </vt:variant>
      <vt:variant>
        <vt:i4>323</vt:i4>
      </vt:variant>
      <vt:variant>
        <vt:i4>0</vt:i4>
      </vt:variant>
      <vt:variant>
        <vt:i4>5</vt:i4>
      </vt:variant>
      <vt:variant>
        <vt:lpwstr/>
      </vt:variant>
      <vt:variant>
        <vt:lpwstr>_Toc40867527</vt:lpwstr>
      </vt:variant>
      <vt:variant>
        <vt:i4>1179705</vt:i4>
      </vt:variant>
      <vt:variant>
        <vt:i4>317</vt:i4>
      </vt:variant>
      <vt:variant>
        <vt:i4>0</vt:i4>
      </vt:variant>
      <vt:variant>
        <vt:i4>5</vt:i4>
      </vt:variant>
      <vt:variant>
        <vt:lpwstr/>
      </vt:variant>
      <vt:variant>
        <vt:lpwstr>_Toc40867526</vt:lpwstr>
      </vt:variant>
      <vt:variant>
        <vt:i4>1114169</vt:i4>
      </vt:variant>
      <vt:variant>
        <vt:i4>311</vt:i4>
      </vt:variant>
      <vt:variant>
        <vt:i4>0</vt:i4>
      </vt:variant>
      <vt:variant>
        <vt:i4>5</vt:i4>
      </vt:variant>
      <vt:variant>
        <vt:lpwstr/>
      </vt:variant>
      <vt:variant>
        <vt:lpwstr>_Toc40867525</vt:lpwstr>
      </vt:variant>
      <vt:variant>
        <vt:i4>1048633</vt:i4>
      </vt:variant>
      <vt:variant>
        <vt:i4>305</vt:i4>
      </vt:variant>
      <vt:variant>
        <vt:i4>0</vt:i4>
      </vt:variant>
      <vt:variant>
        <vt:i4>5</vt:i4>
      </vt:variant>
      <vt:variant>
        <vt:lpwstr/>
      </vt:variant>
      <vt:variant>
        <vt:lpwstr>_Toc40867524</vt:lpwstr>
      </vt:variant>
      <vt:variant>
        <vt:i4>1507385</vt:i4>
      </vt:variant>
      <vt:variant>
        <vt:i4>299</vt:i4>
      </vt:variant>
      <vt:variant>
        <vt:i4>0</vt:i4>
      </vt:variant>
      <vt:variant>
        <vt:i4>5</vt:i4>
      </vt:variant>
      <vt:variant>
        <vt:lpwstr/>
      </vt:variant>
      <vt:variant>
        <vt:lpwstr>_Toc40867523</vt:lpwstr>
      </vt:variant>
      <vt:variant>
        <vt:i4>1441849</vt:i4>
      </vt:variant>
      <vt:variant>
        <vt:i4>293</vt:i4>
      </vt:variant>
      <vt:variant>
        <vt:i4>0</vt:i4>
      </vt:variant>
      <vt:variant>
        <vt:i4>5</vt:i4>
      </vt:variant>
      <vt:variant>
        <vt:lpwstr/>
      </vt:variant>
      <vt:variant>
        <vt:lpwstr>_Toc40867522</vt:lpwstr>
      </vt:variant>
      <vt:variant>
        <vt:i4>1376313</vt:i4>
      </vt:variant>
      <vt:variant>
        <vt:i4>287</vt:i4>
      </vt:variant>
      <vt:variant>
        <vt:i4>0</vt:i4>
      </vt:variant>
      <vt:variant>
        <vt:i4>5</vt:i4>
      </vt:variant>
      <vt:variant>
        <vt:lpwstr/>
      </vt:variant>
      <vt:variant>
        <vt:lpwstr>_Toc40867521</vt:lpwstr>
      </vt:variant>
      <vt:variant>
        <vt:i4>1310777</vt:i4>
      </vt:variant>
      <vt:variant>
        <vt:i4>281</vt:i4>
      </vt:variant>
      <vt:variant>
        <vt:i4>0</vt:i4>
      </vt:variant>
      <vt:variant>
        <vt:i4>5</vt:i4>
      </vt:variant>
      <vt:variant>
        <vt:lpwstr/>
      </vt:variant>
      <vt:variant>
        <vt:lpwstr>_Toc40867520</vt:lpwstr>
      </vt:variant>
      <vt:variant>
        <vt:i4>1900602</vt:i4>
      </vt:variant>
      <vt:variant>
        <vt:i4>275</vt:i4>
      </vt:variant>
      <vt:variant>
        <vt:i4>0</vt:i4>
      </vt:variant>
      <vt:variant>
        <vt:i4>5</vt:i4>
      </vt:variant>
      <vt:variant>
        <vt:lpwstr/>
      </vt:variant>
      <vt:variant>
        <vt:lpwstr>_Toc40867519</vt:lpwstr>
      </vt:variant>
      <vt:variant>
        <vt:i4>1835066</vt:i4>
      </vt:variant>
      <vt:variant>
        <vt:i4>269</vt:i4>
      </vt:variant>
      <vt:variant>
        <vt:i4>0</vt:i4>
      </vt:variant>
      <vt:variant>
        <vt:i4>5</vt:i4>
      </vt:variant>
      <vt:variant>
        <vt:lpwstr/>
      </vt:variant>
      <vt:variant>
        <vt:lpwstr>_Toc40867518</vt:lpwstr>
      </vt:variant>
      <vt:variant>
        <vt:i4>1245242</vt:i4>
      </vt:variant>
      <vt:variant>
        <vt:i4>263</vt:i4>
      </vt:variant>
      <vt:variant>
        <vt:i4>0</vt:i4>
      </vt:variant>
      <vt:variant>
        <vt:i4>5</vt:i4>
      </vt:variant>
      <vt:variant>
        <vt:lpwstr/>
      </vt:variant>
      <vt:variant>
        <vt:lpwstr>_Toc40867517</vt:lpwstr>
      </vt:variant>
      <vt:variant>
        <vt:i4>1179706</vt:i4>
      </vt:variant>
      <vt:variant>
        <vt:i4>257</vt:i4>
      </vt:variant>
      <vt:variant>
        <vt:i4>0</vt:i4>
      </vt:variant>
      <vt:variant>
        <vt:i4>5</vt:i4>
      </vt:variant>
      <vt:variant>
        <vt:lpwstr/>
      </vt:variant>
      <vt:variant>
        <vt:lpwstr>_Toc40867516</vt:lpwstr>
      </vt:variant>
      <vt:variant>
        <vt:i4>1114170</vt:i4>
      </vt:variant>
      <vt:variant>
        <vt:i4>251</vt:i4>
      </vt:variant>
      <vt:variant>
        <vt:i4>0</vt:i4>
      </vt:variant>
      <vt:variant>
        <vt:i4>5</vt:i4>
      </vt:variant>
      <vt:variant>
        <vt:lpwstr/>
      </vt:variant>
      <vt:variant>
        <vt:lpwstr>_Toc40867515</vt:lpwstr>
      </vt:variant>
      <vt:variant>
        <vt:i4>1048634</vt:i4>
      </vt:variant>
      <vt:variant>
        <vt:i4>245</vt:i4>
      </vt:variant>
      <vt:variant>
        <vt:i4>0</vt:i4>
      </vt:variant>
      <vt:variant>
        <vt:i4>5</vt:i4>
      </vt:variant>
      <vt:variant>
        <vt:lpwstr/>
      </vt:variant>
      <vt:variant>
        <vt:lpwstr>_Toc40867514</vt:lpwstr>
      </vt:variant>
      <vt:variant>
        <vt:i4>1507386</vt:i4>
      </vt:variant>
      <vt:variant>
        <vt:i4>239</vt:i4>
      </vt:variant>
      <vt:variant>
        <vt:i4>0</vt:i4>
      </vt:variant>
      <vt:variant>
        <vt:i4>5</vt:i4>
      </vt:variant>
      <vt:variant>
        <vt:lpwstr/>
      </vt:variant>
      <vt:variant>
        <vt:lpwstr>_Toc40867513</vt:lpwstr>
      </vt:variant>
      <vt:variant>
        <vt:i4>1441850</vt:i4>
      </vt:variant>
      <vt:variant>
        <vt:i4>233</vt:i4>
      </vt:variant>
      <vt:variant>
        <vt:i4>0</vt:i4>
      </vt:variant>
      <vt:variant>
        <vt:i4>5</vt:i4>
      </vt:variant>
      <vt:variant>
        <vt:lpwstr/>
      </vt:variant>
      <vt:variant>
        <vt:lpwstr>_Toc40867512</vt:lpwstr>
      </vt:variant>
      <vt:variant>
        <vt:i4>1376314</vt:i4>
      </vt:variant>
      <vt:variant>
        <vt:i4>227</vt:i4>
      </vt:variant>
      <vt:variant>
        <vt:i4>0</vt:i4>
      </vt:variant>
      <vt:variant>
        <vt:i4>5</vt:i4>
      </vt:variant>
      <vt:variant>
        <vt:lpwstr/>
      </vt:variant>
      <vt:variant>
        <vt:lpwstr>_Toc40867511</vt:lpwstr>
      </vt:variant>
      <vt:variant>
        <vt:i4>1310778</vt:i4>
      </vt:variant>
      <vt:variant>
        <vt:i4>221</vt:i4>
      </vt:variant>
      <vt:variant>
        <vt:i4>0</vt:i4>
      </vt:variant>
      <vt:variant>
        <vt:i4>5</vt:i4>
      </vt:variant>
      <vt:variant>
        <vt:lpwstr/>
      </vt:variant>
      <vt:variant>
        <vt:lpwstr>_Toc40867510</vt:lpwstr>
      </vt:variant>
      <vt:variant>
        <vt:i4>1900603</vt:i4>
      </vt:variant>
      <vt:variant>
        <vt:i4>215</vt:i4>
      </vt:variant>
      <vt:variant>
        <vt:i4>0</vt:i4>
      </vt:variant>
      <vt:variant>
        <vt:i4>5</vt:i4>
      </vt:variant>
      <vt:variant>
        <vt:lpwstr/>
      </vt:variant>
      <vt:variant>
        <vt:lpwstr>_Toc40867509</vt:lpwstr>
      </vt:variant>
      <vt:variant>
        <vt:i4>1835067</vt:i4>
      </vt:variant>
      <vt:variant>
        <vt:i4>209</vt:i4>
      </vt:variant>
      <vt:variant>
        <vt:i4>0</vt:i4>
      </vt:variant>
      <vt:variant>
        <vt:i4>5</vt:i4>
      </vt:variant>
      <vt:variant>
        <vt:lpwstr/>
      </vt:variant>
      <vt:variant>
        <vt:lpwstr>_Toc40867508</vt:lpwstr>
      </vt:variant>
      <vt:variant>
        <vt:i4>1245243</vt:i4>
      </vt:variant>
      <vt:variant>
        <vt:i4>203</vt:i4>
      </vt:variant>
      <vt:variant>
        <vt:i4>0</vt:i4>
      </vt:variant>
      <vt:variant>
        <vt:i4>5</vt:i4>
      </vt:variant>
      <vt:variant>
        <vt:lpwstr/>
      </vt:variant>
      <vt:variant>
        <vt:lpwstr>_Toc40867507</vt:lpwstr>
      </vt:variant>
      <vt:variant>
        <vt:i4>1179707</vt:i4>
      </vt:variant>
      <vt:variant>
        <vt:i4>197</vt:i4>
      </vt:variant>
      <vt:variant>
        <vt:i4>0</vt:i4>
      </vt:variant>
      <vt:variant>
        <vt:i4>5</vt:i4>
      </vt:variant>
      <vt:variant>
        <vt:lpwstr/>
      </vt:variant>
      <vt:variant>
        <vt:lpwstr>_Toc40867506</vt:lpwstr>
      </vt:variant>
      <vt:variant>
        <vt:i4>1114171</vt:i4>
      </vt:variant>
      <vt:variant>
        <vt:i4>191</vt:i4>
      </vt:variant>
      <vt:variant>
        <vt:i4>0</vt:i4>
      </vt:variant>
      <vt:variant>
        <vt:i4>5</vt:i4>
      </vt:variant>
      <vt:variant>
        <vt:lpwstr/>
      </vt:variant>
      <vt:variant>
        <vt:lpwstr>_Toc40867505</vt:lpwstr>
      </vt:variant>
      <vt:variant>
        <vt:i4>1048635</vt:i4>
      </vt:variant>
      <vt:variant>
        <vt:i4>185</vt:i4>
      </vt:variant>
      <vt:variant>
        <vt:i4>0</vt:i4>
      </vt:variant>
      <vt:variant>
        <vt:i4>5</vt:i4>
      </vt:variant>
      <vt:variant>
        <vt:lpwstr/>
      </vt:variant>
      <vt:variant>
        <vt:lpwstr>_Toc40867504</vt:lpwstr>
      </vt:variant>
      <vt:variant>
        <vt:i4>1507387</vt:i4>
      </vt:variant>
      <vt:variant>
        <vt:i4>179</vt:i4>
      </vt:variant>
      <vt:variant>
        <vt:i4>0</vt:i4>
      </vt:variant>
      <vt:variant>
        <vt:i4>5</vt:i4>
      </vt:variant>
      <vt:variant>
        <vt:lpwstr/>
      </vt:variant>
      <vt:variant>
        <vt:lpwstr>_Toc40867503</vt:lpwstr>
      </vt:variant>
      <vt:variant>
        <vt:i4>1441851</vt:i4>
      </vt:variant>
      <vt:variant>
        <vt:i4>173</vt:i4>
      </vt:variant>
      <vt:variant>
        <vt:i4>0</vt:i4>
      </vt:variant>
      <vt:variant>
        <vt:i4>5</vt:i4>
      </vt:variant>
      <vt:variant>
        <vt:lpwstr/>
      </vt:variant>
      <vt:variant>
        <vt:lpwstr>_Toc40867502</vt:lpwstr>
      </vt:variant>
      <vt:variant>
        <vt:i4>1376315</vt:i4>
      </vt:variant>
      <vt:variant>
        <vt:i4>167</vt:i4>
      </vt:variant>
      <vt:variant>
        <vt:i4>0</vt:i4>
      </vt:variant>
      <vt:variant>
        <vt:i4>5</vt:i4>
      </vt:variant>
      <vt:variant>
        <vt:lpwstr/>
      </vt:variant>
      <vt:variant>
        <vt:lpwstr>_Toc40867501</vt:lpwstr>
      </vt:variant>
      <vt:variant>
        <vt:i4>1310779</vt:i4>
      </vt:variant>
      <vt:variant>
        <vt:i4>161</vt:i4>
      </vt:variant>
      <vt:variant>
        <vt:i4>0</vt:i4>
      </vt:variant>
      <vt:variant>
        <vt:i4>5</vt:i4>
      </vt:variant>
      <vt:variant>
        <vt:lpwstr/>
      </vt:variant>
      <vt:variant>
        <vt:lpwstr>_Toc40867500</vt:lpwstr>
      </vt:variant>
      <vt:variant>
        <vt:i4>1835058</vt:i4>
      </vt:variant>
      <vt:variant>
        <vt:i4>155</vt:i4>
      </vt:variant>
      <vt:variant>
        <vt:i4>0</vt:i4>
      </vt:variant>
      <vt:variant>
        <vt:i4>5</vt:i4>
      </vt:variant>
      <vt:variant>
        <vt:lpwstr/>
      </vt:variant>
      <vt:variant>
        <vt:lpwstr>_Toc40867499</vt:lpwstr>
      </vt:variant>
      <vt:variant>
        <vt:i4>1900594</vt:i4>
      </vt:variant>
      <vt:variant>
        <vt:i4>149</vt:i4>
      </vt:variant>
      <vt:variant>
        <vt:i4>0</vt:i4>
      </vt:variant>
      <vt:variant>
        <vt:i4>5</vt:i4>
      </vt:variant>
      <vt:variant>
        <vt:lpwstr/>
      </vt:variant>
      <vt:variant>
        <vt:lpwstr>_Toc40867498</vt:lpwstr>
      </vt:variant>
      <vt:variant>
        <vt:i4>1179698</vt:i4>
      </vt:variant>
      <vt:variant>
        <vt:i4>143</vt:i4>
      </vt:variant>
      <vt:variant>
        <vt:i4>0</vt:i4>
      </vt:variant>
      <vt:variant>
        <vt:i4>5</vt:i4>
      </vt:variant>
      <vt:variant>
        <vt:lpwstr/>
      </vt:variant>
      <vt:variant>
        <vt:lpwstr>_Toc40867497</vt:lpwstr>
      </vt:variant>
      <vt:variant>
        <vt:i4>1245234</vt:i4>
      </vt:variant>
      <vt:variant>
        <vt:i4>137</vt:i4>
      </vt:variant>
      <vt:variant>
        <vt:i4>0</vt:i4>
      </vt:variant>
      <vt:variant>
        <vt:i4>5</vt:i4>
      </vt:variant>
      <vt:variant>
        <vt:lpwstr/>
      </vt:variant>
      <vt:variant>
        <vt:lpwstr>_Toc40867496</vt:lpwstr>
      </vt:variant>
      <vt:variant>
        <vt:i4>1048626</vt:i4>
      </vt:variant>
      <vt:variant>
        <vt:i4>131</vt:i4>
      </vt:variant>
      <vt:variant>
        <vt:i4>0</vt:i4>
      </vt:variant>
      <vt:variant>
        <vt:i4>5</vt:i4>
      </vt:variant>
      <vt:variant>
        <vt:lpwstr/>
      </vt:variant>
      <vt:variant>
        <vt:lpwstr>_Toc40867495</vt:lpwstr>
      </vt:variant>
      <vt:variant>
        <vt:i4>1114162</vt:i4>
      </vt:variant>
      <vt:variant>
        <vt:i4>125</vt:i4>
      </vt:variant>
      <vt:variant>
        <vt:i4>0</vt:i4>
      </vt:variant>
      <vt:variant>
        <vt:i4>5</vt:i4>
      </vt:variant>
      <vt:variant>
        <vt:lpwstr/>
      </vt:variant>
      <vt:variant>
        <vt:lpwstr>_Toc40867494</vt:lpwstr>
      </vt:variant>
      <vt:variant>
        <vt:i4>1441842</vt:i4>
      </vt:variant>
      <vt:variant>
        <vt:i4>119</vt:i4>
      </vt:variant>
      <vt:variant>
        <vt:i4>0</vt:i4>
      </vt:variant>
      <vt:variant>
        <vt:i4>5</vt:i4>
      </vt:variant>
      <vt:variant>
        <vt:lpwstr/>
      </vt:variant>
      <vt:variant>
        <vt:lpwstr>_Toc40867493</vt:lpwstr>
      </vt:variant>
      <vt:variant>
        <vt:i4>1507378</vt:i4>
      </vt:variant>
      <vt:variant>
        <vt:i4>113</vt:i4>
      </vt:variant>
      <vt:variant>
        <vt:i4>0</vt:i4>
      </vt:variant>
      <vt:variant>
        <vt:i4>5</vt:i4>
      </vt:variant>
      <vt:variant>
        <vt:lpwstr/>
      </vt:variant>
      <vt:variant>
        <vt:lpwstr>_Toc40867492</vt:lpwstr>
      </vt:variant>
      <vt:variant>
        <vt:i4>1310770</vt:i4>
      </vt:variant>
      <vt:variant>
        <vt:i4>107</vt:i4>
      </vt:variant>
      <vt:variant>
        <vt:i4>0</vt:i4>
      </vt:variant>
      <vt:variant>
        <vt:i4>5</vt:i4>
      </vt:variant>
      <vt:variant>
        <vt:lpwstr/>
      </vt:variant>
      <vt:variant>
        <vt:lpwstr>_Toc40867491</vt:lpwstr>
      </vt:variant>
      <vt:variant>
        <vt:i4>1376306</vt:i4>
      </vt:variant>
      <vt:variant>
        <vt:i4>101</vt:i4>
      </vt:variant>
      <vt:variant>
        <vt:i4>0</vt:i4>
      </vt:variant>
      <vt:variant>
        <vt:i4>5</vt:i4>
      </vt:variant>
      <vt:variant>
        <vt:lpwstr/>
      </vt:variant>
      <vt:variant>
        <vt:lpwstr>_Toc40867490</vt:lpwstr>
      </vt:variant>
      <vt:variant>
        <vt:i4>1835059</vt:i4>
      </vt:variant>
      <vt:variant>
        <vt:i4>95</vt:i4>
      </vt:variant>
      <vt:variant>
        <vt:i4>0</vt:i4>
      </vt:variant>
      <vt:variant>
        <vt:i4>5</vt:i4>
      </vt:variant>
      <vt:variant>
        <vt:lpwstr/>
      </vt:variant>
      <vt:variant>
        <vt:lpwstr>_Toc40867489</vt:lpwstr>
      </vt:variant>
      <vt:variant>
        <vt:i4>1900595</vt:i4>
      </vt:variant>
      <vt:variant>
        <vt:i4>89</vt:i4>
      </vt:variant>
      <vt:variant>
        <vt:i4>0</vt:i4>
      </vt:variant>
      <vt:variant>
        <vt:i4>5</vt:i4>
      </vt:variant>
      <vt:variant>
        <vt:lpwstr/>
      </vt:variant>
      <vt:variant>
        <vt:lpwstr>_Toc40867488</vt:lpwstr>
      </vt:variant>
      <vt:variant>
        <vt:i4>1179699</vt:i4>
      </vt:variant>
      <vt:variant>
        <vt:i4>83</vt:i4>
      </vt:variant>
      <vt:variant>
        <vt:i4>0</vt:i4>
      </vt:variant>
      <vt:variant>
        <vt:i4>5</vt:i4>
      </vt:variant>
      <vt:variant>
        <vt:lpwstr/>
      </vt:variant>
      <vt:variant>
        <vt:lpwstr>_Toc40867487</vt:lpwstr>
      </vt:variant>
      <vt:variant>
        <vt:i4>1245235</vt:i4>
      </vt:variant>
      <vt:variant>
        <vt:i4>77</vt:i4>
      </vt:variant>
      <vt:variant>
        <vt:i4>0</vt:i4>
      </vt:variant>
      <vt:variant>
        <vt:i4>5</vt:i4>
      </vt:variant>
      <vt:variant>
        <vt:lpwstr/>
      </vt:variant>
      <vt:variant>
        <vt:lpwstr>_Toc40867486</vt:lpwstr>
      </vt:variant>
      <vt:variant>
        <vt:i4>1048627</vt:i4>
      </vt:variant>
      <vt:variant>
        <vt:i4>71</vt:i4>
      </vt:variant>
      <vt:variant>
        <vt:i4>0</vt:i4>
      </vt:variant>
      <vt:variant>
        <vt:i4>5</vt:i4>
      </vt:variant>
      <vt:variant>
        <vt:lpwstr/>
      </vt:variant>
      <vt:variant>
        <vt:lpwstr>_Toc40867485</vt:lpwstr>
      </vt:variant>
      <vt:variant>
        <vt:i4>1114163</vt:i4>
      </vt:variant>
      <vt:variant>
        <vt:i4>65</vt:i4>
      </vt:variant>
      <vt:variant>
        <vt:i4>0</vt:i4>
      </vt:variant>
      <vt:variant>
        <vt:i4>5</vt:i4>
      </vt:variant>
      <vt:variant>
        <vt:lpwstr/>
      </vt:variant>
      <vt:variant>
        <vt:lpwstr>_Toc40867484</vt:lpwstr>
      </vt:variant>
      <vt:variant>
        <vt:i4>1441843</vt:i4>
      </vt:variant>
      <vt:variant>
        <vt:i4>59</vt:i4>
      </vt:variant>
      <vt:variant>
        <vt:i4>0</vt:i4>
      </vt:variant>
      <vt:variant>
        <vt:i4>5</vt:i4>
      </vt:variant>
      <vt:variant>
        <vt:lpwstr/>
      </vt:variant>
      <vt:variant>
        <vt:lpwstr>_Toc40867483</vt:lpwstr>
      </vt:variant>
      <vt:variant>
        <vt:i4>1507379</vt:i4>
      </vt:variant>
      <vt:variant>
        <vt:i4>53</vt:i4>
      </vt:variant>
      <vt:variant>
        <vt:i4>0</vt:i4>
      </vt:variant>
      <vt:variant>
        <vt:i4>5</vt:i4>
      </vt:variant>
      <vt:variant>
        <vt:lpwstr/>
      </vt:variant>
      <vt:variant>
        <vt:lpwstr>_Toc40867482</vt:lpwstr>
      </vt:variant>
      <vt:variant>
        <vt:i4>1310771</vt:i4>
      </vt:variant>
      <vt:variant>
        <vt:i4>47</vt:i4>
      </vt:variant>
      <vt:variant>
        <vt:i4>0</vt:i4>
      </vt:variant>
      <vt:variant>
        <vt:i4>5</vt:i4>
      </vt:variant>
      <vt:variant>
        <vt:lpwstr/>
      </vt:variant>
      <vt:variant>
        <vt:lpwstr>_Toc40867481</vt:lpwstr>
      </vt:variant>
      <vt:variant>
        <vt:i4>1376307</vt:i4>
      </vt:variant>
      <vt:variant>
        <vt:i4>41</vt:i4>
      </vt:variant>
      <vt:variant>
        <vt:i4>0</vt:i4>
      </vt:variant>
      <vt:variant>
        <vt:i4>5</vt:i4>
      </vt:variant>
      <vt:variant>
        <vt:lpwstr/>
      </vt:variant>
      <vt:variant>
        <vt:lpwstr>_Toc40867480</vt:lpwstr>
      </vt:variant>
      <vt:variant>
        <vt:i4>1835068</vt:i4>
      </vt:variant>
      <vt:variant>
        <vt:i4>35</vt:i4>
      </vt:variant>
      <vt:variant>
        <vt:i4>0</vt:i4>
      </vt:variant>
      <vt:variant>
        <vt:i4>5</vt:i4>
      </vt:variant>
      <vt:variant>
        <vt:lpwstr/>
      </vt:variant>
      <vt:variant>
        <vt:lpwstr>_Toc40867479</vt:lpwstr>
      </vt:variant>
      <vt:variant>
        <vt:i4>1900604</vt:i4>
      </vt:variant>
      <vt:variant>
        <vt:i4>29</vt:i4>
      </vt:variant>
      <vt:variant>
        <vt:i4>0</vt:i4>
      </vt:variant>
      <vt:variant>
        <vt:i4>5</vt:i4>
      </vt:variant>
      <vt:variant>
        <vt:lpwstr/>
      </vt:variant>
      <vt:variant>
        <vt:lpwstr>_Toc40867478</vt:lpwstr>
      </vt:variant>
      <vt:variant>
        <vt:i4>1179708</vt:i4>
      </vt:variant>
      <vt:variant>
        <vt:i4>23</vt:i4>
      </vt:variant>
      <vt:variant>
        <vt:i4>0</vt:i4>
      </vt:variant>
      <vt:variant>
        <vt:i4>5</vt:i4>
      </vt:variant>
      <vt:variant>
        <vt:lpwstr/>
      </vt:variant>
      <vt:variant>
        <vt:lpwstr>_Toc40867477</vt:lpwstr>
      </vt:variant>
      <vt:variant>
        <vt:i4>1245244</vt:i4>
      </vt:variant>
      <vt:variant>
        <vt:i4>17</vt:i4>
      </vt:variant>
      <vt:variant>
        <vt:i4>0</vt:i4>
      </vt:variant>
      <vt:variant>
        <vt:i4>5</vt:i4>
      </vt:variant>
      <vt:variant>
        <vt:lpwstr/>
      </vt:variant>
      <vt:variant>
        <vt:lpwstr>_Toc40867476</vt:lpwstr>
      </vt:variant>
      <vt:variant>
        <vt:i4>1048636</vt:i4>
      </vt:variant>
      <vt:variant>
        <vt:i4>11</vt:i4>
      </vt:variant>
      <vt:variant>
        <vt:i4>0</vt:i4>
      </vt:variant>
      <vt:variant>
        <vt:i4>5</vt:i4>
      </vt:variant>
      <vt:variant>
        <vt:lpwstr/>
      </vt:variant>
      <vt:variant>
        <vt:lpwstr>_Toc40867475</vt:lpwstr>
      </vt:variant>
      <vt:variant>
        <vt:i4>1114172</vt:i4>
      </vt:variant>
      <vt:variant>
        <vt:i4>5</vt:i4>
      </vt:variant>
      <vt:variant>
        <vt:i4>0</vt:i4>
      </vt:variant>
      <vt:variant>
        <vt:i4>5</vt:i4>
      </vt:variant>
      <vt:variant>
        <vt:lpwstr/>
      </vt:variant>
      <vt:variant>
        <vt:lpwstr>_Toc40867474</vt:lpwstr>
      </vt:variant>
      <vt:variant>
        <vt:i4>7995499</vt:i4>
      </vt:variant>
      <vt:variant>
        <vt:i4>0</vt:i4>
      </vt:variant>
      <vt:variant>
        <vt:i4>0</vt:i4>
      </vt:variant>
      <vt:variant>
        <vt:i4>5</vt:i4>
      </vt:variant>
      <vt:variant>
        <vt:lpwstr>https://www.ontario.ca/laws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the Use of Risk Assessment at Contaminated Sites in Ontario</dc:title>
  <dc:subject/>
  <dc:creator>Geoffrey.Floyd@ontario.ca</dc:creator>
  <cp:keywords/>
  <dc:description/>
  <cp:lastModifiedBy>Floyd, Geoffrey (MECP)</cp:lastModifiedBy>
  <cp:revision>7</cp:revision>
  <cp:lastPrinted>2013-04-19T21:03:00Z</cp:lastPrinted>
  <dcterms:created xsi:type="dcterms:W3CDTF">2020-06-01T17:06:00Z</dcterms:created>
  <dcterms:modified xsi:type="dcterms:W3CDTF">2020-07-29T18:08:00Z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Geoffrey.Floyd@ontario.ca</vt:lpwstr>
  </property>
  <property fmtid="{D5CDD505-2E9C-101B-9397-08002B2CF9AE}" pid="5" name="MSIP_Label_034a106e-6316-442c-ad35-738afd673d2b_SetDate">
    <vt:lpwstr>2020-03-10T14:03:43.0131792Z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ae078415-1851-4de8-b7bb-5dd0f5a38df9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0x0101000143CC4353415B448FB6254DA5058A00</vt:lpwstr>
  </property>
</Properties>
</file>