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8C1D0" w14:textId="77777777" w:rsidR="00084BA0" w:rsidRDefault="00BB3992" w:rsidP="00725A66">
      <w:pPr>
        <w:jc w:val="right"/>
        <w:rPr>
          <w:b/>
          <w:sz w:val="28"/>
          <w:szCs w:val="28"/>
        </w:rPr>
      </w:pPr>
      <w:r>
        <w:rPr>
          <w:b/>
          <w:sz w:val="28"/>
          <w:szCs w:val="28"/>
        </w:rPr>
        <w:t xml:space="preserve">                                           </w:t>
      </w:r>
    </w:p>
    <w:p w14:paraId="7F7591EE" w14:textId="31A2C4CD" w:rsidR="00827661" w:rsidRDefault="00827661" w:rsidP="00725A66">
      <w:pPr>
        <w:jc w:val="right"/>
        <w:rPr>
          <w:b/>
          <w:sz w:val="28"/>
          <w:szCs w:val="28"/>
        </w:rPr>
      </w:pPr>
      <w:r>
        <w:rPr>
          <w:b/>
          <w:sz w:val="28"/>
          <w:szCs w:val="28"/>
        </w:rPr>
        <w:t xml:space="preserve">Ministère </w:t>
      </w:r>
      <w:r w:rsidR="001D0FA1">
        <w:rPr>
          <w:b/>
          <w:sz w:val="28"/>
          <w:szCs w:val="28"/>
        </w:rPr>
        <w:t>des Mines</w:t>
      </w:r>
    </w:p>
    <w:p w14:paraId="5C6C5770" w14:textId="77777777" w:rsidR="00827661" w:rsidRDefault="00827661" w:rsidP="00827661">
      <w:pPr>
        <w:jc w:val="right"/>
        <w:rPr>
          <w:b/>
          <w:sz w:val="28"/>
          <w:szCs w:val="28"/>
        </w:rPr>
      </w:pPr>
    </w:p>
    <w:p w14:paraId="3D62F231" w14:textId="77777777" w:rsidR="00FD0BAD" w:rsidRDefault="00FD0BAD" w:rsidP="00371092">
      <w:pPr>
        <w:rPr>
          <w:b/>
          <w:sz w:val="48"/>
          <w:szCs w:val="48"/>
        </w:rPr>
      </w:pPr>
    </w:p>
    <w:p w14:paraId="3AFC1834" w14:textId="77777777" w:rsidR="00FD0BAD" w:rsidRDefault="00FD0BAD" w:rsidP="00371092">
      <w:pPr>
        <w:rPr>
          <w:b/>
          <w:sz w:val="48"/>
          <w:szCs w:val="48"/>
        </w:rPr>
      </w:pPr>
    </w:p>
    <w:p w14:paraId="436346D1" w14:textId="6AA2BEF2" w:rsidR="00827661" w:rsidRDefault="00FD0BAD" w:rsidP="00371092">
      <w:pPr>
        <w:rPr>
          <w:b/>
          <w:sz w:val="48"/>
          <w:szCs w:val="48"/>
          <w:u w:val="single"/>
        </w:rPr>
      </w:pPr>
      <w:r>
        <w:rPr>
          <w:b/>
          <w:sz w:val="48"/>
          <w:szCs w:val="48"/>
        </w:rPr>
        <w:t>Travaux d’évaluation – Allocation des crédits, application des crédits et paiements au lieu de travaux</w:t>
      </w:r>
    </w:p>
    <w:p w14:paraId="52A0A5AD" w14:textId="6588F58B" w:rsidR="00827661" w:rsidRDefault="0014500E" w:rsidP="00827661">
      <w:pPr>
        <w:jc w:val="right"/>
        <w:rPr>
          <w:b/>
          <w:sz w:val="48"/>
          <w:szCs w:val="48"/>
        </w:rPr>
      </w:pPr>
      <w:r>
        <w:rPr>
          <w:b/>
          <w:sz w:val="48"/>
          <w:szCs w:val="48"/>
        </w:rPr>
        <w:t xml:space="preserve"> </w:t>
      </w:r>
    </w:p>
    <w:p w14:paraId="7800D14F" w14:textId="77777777" w:rsidR="00827661" w:rsidRDefault="00827661" w:rsidP="00827661">
      <w:pPr>
        <w:jc w:val="right"/>
        <w:rPr>
          <w:b/>
          <w:sz w:val="48"/>
          <w:szCs w:val="48"/>
        </w:rPr>
      </w:pPr>
    </w:p>
    <w:p w14:paraId="526AC061" w14:textId="77777777" w:rsidR="00827661" w:rsidRDefault="00827661" w:rsidP="00827661">
      <w:pPr>
        <w:jc w:val="right"/>
        <w:rPr>
          <w:b/>
          <w:sz w:val="48"/>
          <w:szCs w:val="48"/>
        </w:rPr>
      </w:pPr>
    </w:p>
    <w:p w14:paraId="2EE7AD67" w14:textId="77777777" w:rsidR="00FD0BAD" w:rsidRDefault="00FD0BAD" w:rsidP="00FD0BAD">
      <w:pPr>
        <w:rPr>
          <w:b/>
          <w:sz w:val="48"/>
          <w:szCs w:val="48"/>
        </w:rPr>
      </w:pPr>
    </w:p>
    <w:p w14:paraId="39C5C8F8" w14:textId="4A32B9A5" w:rsidR="00827661" w:rsidRDefault="00A64BCD" w:rsidP="000D557C">
      <w:pPr>
        <w:ind w:left="5760" w:firstLine="720"/>
        <w:rPr>
          <w:b/>
          <w:sz w:val="48"/>
          <w:szCs w:val="48"/>
        </w:rPr>
      </w:pPr>
      <w:r>
        <w:rPr>
          <w:rFonts w:ascii="Times New Roman" w:hAnsi="Times New Roman"/>
          <w:noProof/>
          <w:sz w:val="20"/>
          <w:szCs w:val="20"/>
        </w:rPr>
        <w:drawing>
          <wp:inline distT="0" distB="0" distL="0" distR="0" wp14:anchorId="1C87C930" wp14:editId="203DE8CB">
            <wp:extent cx="1817370" cy="459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7370" cy="459740"/>
                    </a:xfrm>
                    <a:prstGeom prst="rect">
                      <a:avLst/>
                    </a:prstGeom>
                    <a:noFill/>
                    <a:ln>
                      <a:noFill/>
                    </a:ln>
                  </pic:spPr>
                </pic:pic>
              </a:graphicData>
            </a:graphic>
          </wp:inline>
        </w:drawing>
      </w:r>
    </w:p>
    <w:p w14:paraId="02639A21" w14:textId="3E3F90CB" w:rsidR="00827661" w:rsidRDefault="00827661" w:rsidP="00566F35">
      <w:pPr>
        <w:ind w:left="3101"/>
        <w:contextualSpacing/>
        <w:jc w:val="both"/>
        <w:rPr>
          <w:sz w:val="28"/>
          <w:szCs w:val="28"/>
        </w:rPr>
      </w:pPr>
      <w:r>
        <w:rPr>
          <w:sz w:val="28"/>
          <w:szCs w:val="28"/>
        </w:rPr>
        <w:t>Section des terrains miniers</w:t>
      </w:r>
    </w:p>
    <w:p w14:paraId="3DC566AA" w14:textId="1244242A" w:rsidR="00FD0BAD" w:rsidRDefault="00566F35" w:rsidP="00566F35">
      <w:pPr>
        <w:spacing w:after="0"/>
        <w:ind w:left="2160" w:firstLine="720"/>
        <w:contextualSpacing/>
        <w:jc w:val="both"/>
        <w:rPr>
          <w:sz w:val="28"/>
          <w:szCs w:val="28"/>
        </w:rPr>
      </w:pPr>
      <w:r>
        <w:rPr>
          <w:sz w:val="28"/>
          <w:szCs w:val="28"/>
        </w:rPr>
        <w:t xml:space="preserve">   </w:t>
      </w:r>
      <w:r w:rsidR="00FD0BAD">
        <w:rPr>
          <w:sz w:val="28"/>
          <w:szCs w:val="28"/>
        </w:rPr>
        <w:t>Mise à jour de la politique : Septembre 202</w:t>
      </w:r>
      <w:r w:rsidR="001D0FA1">
        <w:rPr>
          <w:sz w:val="28"/>
          <w:szCs w:val="28"/>
        </w:rPr>
        <w:t>2</w:t>
      </w:r>
    </w:p>
    <w:p w14:paraId="7DC1B55B" w14:textId="7F0B79D6" w:rsidR="00D14438" w:rsidRDefault="00D14438" w:rsidP="00D14438">
      <w:pPr>
        <w:pStyle w:val="TOCHeading"/>
        <w:spacing w:before="0" w:line="240" w:lineRule="auto"/>
        <w:rPr>
          <w:rFonts w:ascii="Arial Black" w:eastAsiaTheme="minorHAnsi" w:hAnsi="Arial Black" w:cs="Arial"/>
          <w:b w:val="0"/>
          <w:bCs w:val="0"/>
          <w:sz w:val="22"/>
          <w:szCs w:val="22"/>
          <w:lang w:bidi="ar-SA"/>
        </w:rPr>
      </w:pPr>
    </w:p>
    <w:p w14:paraId="764E0C30" w14:textId="2B367A9C" w:rsidR="00FE3922" w:rsidRDefault="00FE3922" w:rsidP="00FE3922"/>
    <w:p w14:paraId="640A7F2C" w14:textId="01BDA649" w:rsidR="00FE3922" w:rsidRDefault="00FE3922" w:rsidP="00FE3922"/>
    <w:p w14:paraId="63A0F630" w14:textId="31118E12" w:rsidR="00FE3922" w:rsidRDefault="00FE3922" w:rsidP="00FE3922"/>
    <w:p w14:paraId="098411F9" w14:textId="77777777" w:rsidR="00FE3922" w:rsidRPr="00FE3922" w:rsidRDefault="00FE3922" w:rsidP="00FE3922"/>
    <w:sdt>
      <w:sdtPr>
        <w:id w:val="680391488"/>
        <w:docPartObj>
          <w:docPartGallery w:val="Table of Contents"/>
          <w:docPartUnique/>
        </w:docPartObj>
      </w:sdtPr>
      <w:sdtEndPr>
        <w:rPr>
          <w:rFonts w:asciiTheme="minorHAnsi" w:eastAsiaTheme="minorHAnsi" w:hAnsiTheme="minorHAnsi" w:cstheme="minorBidi"/>
          <w:noProof/>
          <w:sz w:val="22"/>
          <w:szCs w:val="22"/>
          <w:lang w:bidi="ar-SA"/>
        </w:rPr>
      </w:sdtEndPr>
      <w:sdtContent>
        <w:p w14:paraId="29C6BB4B" w14:textId="0FF0645B" w:rsidR="00C30E72" w:rsidRDefault="00C30E72">
          <w:pPr>
            <w:pStyle w:val="TOCHeading"/>
          </w:pPr>
          <w:r>
            <w:t>Contents</w:t>
          </w:r>
        </w:p>
        <w:p w14:paraId="50B46378" w14:textId="708D96F9" w:rsidR="00C30E72" w:rsidRDefault="00C30E72">
          <w:pPr>
            <w:pStyle w:val="TOC1"/>
            <w:rPr>
              <w:rFonts w:eastAsiaTheme="minorEastAsia"/>
              <w:noProof/>
              <w:lang w:val="en-CA" w:eastAsia="en-CA"/>
            </w:rPr>
          </w:pPr>
          <w:r>
            <w:fldChar w:fldCharType="begin"/>
          </w:r>
          <w:r>
            <w:instrText xml:space="preserve"> TOC \o "1-3" \h \z \u </w:instrText>
          </w:r>
          <w:r>
            <w:fldChar w:fldCharType="separate"/>
          </w:r>
          <w:hyperlink w:anchor="_Toc114482288" w:history="1">
            <w:r w:rsidRPr="00AB1600">
              <w:rPr>
                <w:rStyle w:val="Hyperlink"/>
                <w:noProof/>
              </w:rPr>
              <w:t>Objet</w:t>
            </w:r>
            <w:r>
              <w:rPr>
                <w:noProof/>
                <w:webHidden/>
              </w:rPr>
              <w:tab/>
            </w:r>
            <w:r>
              <w:rPr>
                <w:noProof/>
                <w:webHidden/>
              </w:rPr>
              <w:fldChar w:fldCharType="begin"/>
            </w:r>
            <w:r>
              <w:rPr>
                <w:noProof/>
                <w:webHidden/>
              </w:rPr>
              <w:instrText xml:space="preserve"> PAGEREF _Toc114482288 \h </w:instrText>
            </w:r>
            <w:r>
              <w:rPr>
                <w:noProof/>
                <w:webHidden/>
              </w:rPr>
            </w:r>
            <w:r>
              <w:rPr>
                <w:noProof/>
                <w:webHidden/>
              </w:rPr>
              <w:fldChar w:fldCharType="separate"/>
            </w:r>
            <w:r>
              <w:rPr>
                <w:noProof/>
                <w:webHidden/>
              </w:rPr>
              <w:t>3</w:t>
            </w:r>
            <w:r>
              <w:rPr>
                <w:noProof/>
                <w:webHidden/>
              </w:rPr>
              <w:fldChar w:fldCharType="end"/>
            </w:r>
          </w:hyperlink>
        </w:p>
        <w:p w14:paraId="3358C3D1" w14:textId="2FBA5B84" w:rsidR="00C30E72" w:rsidRDefault="00C30E72">
          <w:pPr>
            <w:pStyle w:val="TOC1"/>
            <w:rPr>
              <w:rFonts w:eastAsiaTheme="minorEastAsia"/>
              <w:noProof/>
              <w:lang w:val="en-CA" w:eastAsia="en-CA"/>
            </w:rPr>
          </w:pPr>
          <w:hyperlink w:anchor="_Toc114482289" w:history="1">
            <w:r w:rsidRPr="00AB1600">
              <w:rPr>
                <w:rStyle w:val="Hyperlink"/>
                <w:noProof/>
              </w:rPr>
              <w:t>Contexte</w:t>
            </w:r>
            <w:r>
              <w:rPr>
                <w:noProof/>
                <w:webHidden/>
              </w:rPr>
              <w:tab/>
            </w:r>
            <w:r>
              <w:rPr>
                <w:noProof/>
                <w:webHidden/>
              </w:rPr>
              <w:fldChar w:fldCharType="begin"/>
            </w:r>
            <w:r>
              <w:rPr>
                <w:noProof/>
                <w:webHidden/>
              </w:rPr>
              <w:instrText xml:space="preserve"> PAGEREF _Toc114482289 \h </w:instrText>
            </w:r>
            <w:r>
              <w:rPr>
                <w:noProof/>
                <w:webHidden/>
              </w:rPr>
            </w:r>
            <w:r>
              <w:rPr>
                <w:noProof/>
                <w:webHidden/>
              </w:rPr>
              <w:fldChar w:fldCharType="separate"/>
            </w:r>
            <w:r>
              <w:rPr>
                <w:noProof/>
                <w:webHidden/>
              </w:rPr>
              <w:t>3</w:t>
            </w:r>
            <w:r>
              <w:rPr>
                <w:noProof/>
                <w:webHidden/>
              </w:rPr>
              <w:fldChar w:fldCharType="end"/>
            </w:r>
          </w:hyperlink>
        </w:p>
        <w:p w14:paraId="6F5CFEDE" w14:textId="5DF7FFEB" w:rsidR="00C30E72" w:rsidRDefault="00C30E72">
          <w:pPr>
            <w:pStyle w:val="TOC1"/>
            <w:rPr>
              <w:rFonts w:eastAsiaTheme="minorEastAsia"/>
              <w:noProof/>
              <w:lang w:val="en-CA" w:eastAsia="en-CA"/>
            </w:rPr>
          </w:pPr>
          <w:hyperlink w:anchor="_Toc114482290" w:history="1">
            <w:r w:rsidRPr="00AB1600">
              <w:rPr>
                <w:rStyle w:val="Hyperlink"/>
                <w:noProof/>
              </w:rPr>
              <w:t>Plafonnement du montant des crédits de travail d’évaluation qu’un claim peut recevoir</w:t>
            </w:r>
            <w:r>
              <w:rPr>
                <w:noProof/>
                <w:webHidden/>
              </w:rPr>
              <w:tab/>
            </w:r>
            <w:r>
              <w:rPr>
                <w:noProof/>
                <w:webHidden/>
              </w:rPr>
              <w:fldChar w:fldCharType="begin"/>
            </w:r>
            <w:r>
              <w:rPr>
                <w:noProof/>
                <w:webHidden/>
              </w:rPr>
              <w:instrText xml:space="preserve"> PAGEREF _Toc114482290 \h </w:instrText>
            </w:r>
            <w:r>
              <w:rPr>
                <w:noProof/>
                <w:webHidden/>
              </w:rPr>
            </w:r>
            <w:r>
              <w:rPr>
                <w:noProof/>
                <w:webHidden/>
              </w:rPr>
              <w:fldChar w:fldCharType="separate"/>
            </w:r>
            <w:r>
              <w:rPr>
                <w:noProof/>
                <w:webHidden/>
              </w:rPr>
              <w:t>4</w:t>
            </w:r>
            <w:r>
              <w:rPr>
                <w:noProof/>
                <w:webHidden/>
              </w:rPr>
              <w:fldChar w:fldCharType="end"/>
            </w:r>
          </w:hyperlink>
        </w:p>
        <w:p w14:paraId="5DAA7199" w14:textId="408776CC" w:rsidR="00C30E72" w:rsidRDefault="00C30E72">
          <w:pPr>
            <w:pStyle w:val="TOC1"/>
            <w:rPr>
              <w:rFonts w:eastAsiaTheme="minorEastAsia"/>
              <w:noProof/>
              <w:lang w:val="en-CA" w:eastAsia="en-CA"/>
            </w:rPr>
          </w:pPr>
          <w:hyperlink w:anchor="_Toc114482291" w:history="1">
            <w:r w:rsidRPr="00AB1600">
              <w:rPr>
                <w:rStyle w:val="Hyperlink"/>
                <w:noProof/>
              </w:rPr>
              <w:t>Plafonnement du montant des crédits de travail d’évaluation qui peuvent être alloués des terrains miniers</w:t>
            </w:r>
            <w:r>
              <w:rPr>
                <w:noProof/>
                <w:webHidden/>
              </w:rPr>
              <w:tab/>
            </w:r>
            <w:r>
              <w:rPr>
                <w:noProof/>
                <w:webHidden/>
              </w:rPr>
              <w:fldChar w:fldCharType="begin"/>
            </w:r>
            <w:r>
              <w:rPr>
                <w:noProof/>
                <w:webHidden/>
              </w:rPr>
              <w:instrText xml:space="preserve"> PAGEREF _Toc114482291 \h </w:instrText>
            </w:r>
            <w:r>
              <w:rPr>
                <w:noProof/>
                <w:webHidden/>
              </w:rPr>
            </w:r>
            <w:r>
              <w:rPr>
                <w:noProof/>
                <w:webHidden/>
              </w:rPr>
              <w:fldChar w:fldCharType="separate"/>
            </w:r>
            <w:r>
              <w:rPr>
                <w:noProof/>
                <w:webHidden/>
              </w:rPr>
              <w:t>4</w:t>
            </w:r>
            <w:r>
              <w:rPr>
                <w:noProof/>
                <w:webHidden/>
              </w:rPr>
              <w:fldChar w:fldCharType="end"/>
            </w:r>
          </w:hyperlink>
        </w:p>
        <w:p w14:paraId="6ED4EA99" w14:textId="5F43ECFA" w:rsidR="00C30E72" w:rsidRDefault="00C30E72">
          <w:pPr>
            <w:pStyle w:val="TOC1"/>
            <w:rPr>
              <w:rFonts w:eastAsiaTheme="minorEastAsia"/>
              <w:noProof/>
              <w:lang w:val="en-CA" w:eastAsia="en-CA"/>
            </w:rPr>
          </w:pPr>
          <w:hyperlink w:anchor="_Toc114482292" w:history="1">
            <w:r w:rsidRPr="00AB1600">
              <w:rPr>
                <w:rStyle w:val="Hyperlink"/>
                <w:noProof/>
              </w:rPr>
              <w:t>Propriété et chef des travaux d’évaluation</w:t>
            </w:r>
            <w:r>
              <w:rPr>
                <w:noProof/>
                <w:webHidden/>
              </w:rPr>
              <w:tab/>
            </w:r>
            <w:r>
              <w:rPr>
                <w:noProof/>
                <w:webHidden/>
              </w:rPr>
              <w:fldChar w:fldCharType="begin"/>
            </w:r>
            <w:r>
              <w:rPr>
                <w:noProof/>
                <w:webHidden/>
              </w:rPr>
              <w:instrText xml:space="preserve"> PAGEREF _Toc114482292 \h </w:instrText>
            </w:r>
            <w:r>
              <w:rPr>
                <w:noProof/>
                <w:webHidden/>
              </w:rPr>
            </w:r>
            <w:r>
              <w:rPr>
                <w:noProof/>
                <w:webHidden/>
              </w:rPr>
              <w:fldChar w:fldCharType="separate"/>
            </w:r>
            <w:r>
              <w:rPr>
                <w:noProof/>
                <w:webHidden/>
              </w:rPr>
              <w:t>5</w:t>
            </w:r>
            <w:r>
              <w:rPr>
                <w:noProof/>
                <w:webHidden/>
              </w:rPr>
              <w:fldChar w:fldCharType="end"/>
            </w:r>
          </w:hyperlink>
        </w:p>
        <w:p w14:paraId="7938DE9F" w14:textId="201C32C6" w:rsidR="00C30E72" w:rsidRDefault="00C30E72">
          <w:pPr>
            <w:pStyle w:val="TOC1"/>
            <w:rPr>
              <w:rFonts w:eastAsiaTheme="minorEastAsia"/>
              <w:noProof/>
              <w:lang w:val="en-CA" w:eastAsia="en-CA"/>
            </w:rPr>
          </w:pPr>
          <w:hyperlink w:anchor="_Toc114482293" w:history="1">
            <w:r w:rsidRPr="00AB1600">
              <w:rPr>
                <w:rStyle w:val="Hyperlink"/>
                <w:noProof/>
              </w:rPr>
              <w:t>Contiguïté des claims miniers</w:t>
            </w:r>
            <w:r>
              <w:rPr>
                <w:noProof/>
                <w:webHidden/>
              </w:rPr>
              <w:tab/>
            </w:r>
            <w:r>
              <w:rPr>
                <w:noProof/>
                <w:webHidden/>
              </w:rPr>
              <w:fldChar w:fldCharType="begin"/>
            </w:r>
            <w:r>
              <w:rPr>
                <w:noProof/>
                <w:webHidden/>
              </w:rPr>
              <w:instrText xml:space="preserve"> PAGEREF _Toc114482293 \h </w:instrText>
            </w:r>
            <w:r>
              <w:rPr>
                <w:noProof/>
                <w:webHidden/>
              </w:rPr>
            </w:r>
            <w:r>
              <w:rPr>
                <w:noProof/>
                <w:webHidden/>
              </w:rPr>
              <w:fldChar w:fldCharType="separate"/>
            </w:r>
            <w:r>
              <w:rPr>
                <w:noProof/>
                <w:webHidden/>
              </w:rPr>
              <w:t>5</w:t>
            </w:r>
            <w:r>
              <w:rPr>
                <w:noProof/>
                <w:webHidden/>
              </w:rPr>
              <w:fldChar w:fldCharType="end"/>
            </w:r>
          </w:hyperlink>
        </w:p>
        <w:p w14:paraId="15C18176" w14:textId="5DFEABFB" w:rsidR="00C30E72" w:rsidRDefault="00C30E72">
          <w:pPr>
            <w:pStyle w:val="TOC1"/>
            <w:rPr>
              <w:rFonts w:eastAsiaTheme="minorEastAsia"/>
              <w:noProof/>
              <w:lang w:val="en-CA" w:eastAsia="en-CA"/>
            </w:rPr>
          </w:pPr>
          <w:hyperlink w:anchor="_Toc114482294" w:history="1">
            <w:r w:rsidRPr="00AB1600">
              <w:rPr>
                <w:rStyle w:val="Hyperlink"/>
                <w:noProof/>
              </w:rPr>
              <w:t>Contiguïté des terrains miniers</w:t>
            </w:r>
            <w:r>
              <w:rPr>
                <w:noProof/>
                <w:webHidden/>
              </w:rPr>
              <w:tab/>
            </w:r>
            <w:r>
              <w:rPr>
                <w:noProof/>
                <w:webHidden/>
              </w:rPr>
              <w:fldChar w:fldCharType="begin"/>
            </w:r>
            <w:r>
              <w:rPr>
                <w:noProof/>
                <w:webHidden/>
              </w:rPr>
              <w:instrText xml:space="preserve"> PAGEREF _Toc114482294 \h </w:instrText>
            </w:r>
            <w:r>
              <w:rPr>
                <w:noProof/>
                <w:webHidden/>
              </w:rPr>
            </w:r>
            <w:r>
              <w:rPr>
                <w:noProof/>
                <w:webHidden/>
              </w:rPr>
              <w:fldChar w:fldCharType="separate"/>
            </w:r>
            <w:r>
              <w:rPr>
                <w:noProof/>
                <w:webHidden/>
              </w:rPr>
              <w:t>7</w:t>
            </w:r>
            <w:r>
              <w:rPr>
                <w:noProof/>
                <w:webHidden/>
              </w:rPr>
              <w:fldChar w:fldCharType="end"/>
            </w:r>
          </w:hyperlink>
        </w:p>
        <w:p w14:paraId="3B903D8C" w14:textId="2D22DBD7" w:rsidR="00C30E72" w:rsidRDefault="00C30E72">
          <w:pPr>
            <w:pStyle w:val="TOC1"/>
            <w:rPr>
              <w:rFonts w:eastAsiaTheme="minorEastAsia"/>
              <w:noProof/>
              <w:lang w:val="en-CA" w:eastAsia="en-CA"/>
            </w:rPr>
          </w:pPr>
          <w:hyperlink w:anchor="_Toc114482295" w:history="1">
            <w:r w:rsidRPr="00AB1600">
              <w:rPr>
                <w:rStyle w:val="Hyperlink"/>
                <w:noProof/>
              </w:rPr>
              <w:t>Paiement au lieu de travaux d’évaluation</w:t>
            </w:r>
            <w:r>
              <w:rPr>
                <w:noProof/>
                <w:webHidden/>
              </w:rPr>
              <w:tab/>
            </w:r>
            <w:r>
              <w:rPr>
                <w:noProof/>
                <w:webHidden/>
              </w:rPr>
              <w:fldChar w:fldCharType="begin"/>
            </w:r>
            <w:r>
              <w:rPr>
                <w:noProof/>
                <w:webHidden/>
              </w:rPr>
              <w:instrText xml:space="preserve"> PAGEREF _Toc114482295 \h </w:instrText>
            </w:r>
            <w:r>
              <w:rPr>
                <w:noProof/>
                <w:webHidden/>
              </w:rPr>
            </w:r>
            <w:r>
              <w:rPr>
                <w:noProof/>
                <w:webHidden/>
              </w:rPr>
              <w:fldChar w:fldCharType="separate"/>
            </w:r>
            <w:r>
              <w:rPr>
                <w:noProof/>
                <w:webHidden/>
              </w:rPr>
              <w:t>12</w:t>
            </w:r>
            <w:r>
              <w:rPr>
                <w:noProof/>
                <w:webHidden/>
              </w:rPr>
              <w:fldChar w:fldCharType="end"/>
            </w:r>
          </w:hyperlink>
        </w:p>
        <w:p w14:paraId="2795E7BF" w14:textId="02D90455" w:rsidR="00C30E72" w:rsidRDefault="00C30E72">
          <w:pPr>
            <w:pStyle w:val="TOC1"/>
            <w:rPr>
              <w:rFonts w:eastAsiaTheme="minorEastAsia"/>
              <w:noProof/>
              <w:lang w:val="en-CA" w:eastAsia="en-CA"/>
            </w:rPr>
          </w:pPr>
          <w:hyperlink w:anchor="_Toc114482296" w:history="1">
            <w:r w:rsidRPr="00AB1600">
              <w:rPr>
                <w:rStyle w:val="Hyperlink"/>
                <w:noProof/>
              </w:rPr>
              <w:t>Contacter la Section des terrains miniers</w:t>
            </w:r>
            <w:r>
              <w:rPr>
                <w:noProof/>
                <w:webHidden/>
              </w:rPr>
              <w:tab/>
            </w:r>
            <w:r>
              <w:rPr>
                <w:noProof/>
                <w:webHidden/>
              </w:rPr>
              <w:fldChar w:fldCharType="begin"/>
            </w:r>
            <w:r>
              <w:rPr>
                <w:noProof/>
                <w:webHidden/>
              </w:rPr>
              <w:instrText xml:space="preserve"> PAGEREF _Toc114482296 \h </w:instrText>
            </w:r>
            <w:r>
              <w:rPr>
                <w:noProof/>
                <w:webHidden/>
              </w:rPr>
            </w:r>
            <w:r>
              <w:rPr>
                <w:noProof/>
                <w:webHidden/>
              </w:rPr>
              <w:fldChar w:fldCharType="separate"/>
            </w:r>
            <w:r>
              <w:rPr>
                <w:noProof/>
                <w:webHidden/>
              </w:rPr>
              <w:t>13</w:t>
            </w:r>
            <w:r>
              <w:rPr>
                <w:noProof/>
                <w:webHidden/>
              </w:rPr>
              <w:fldChar w:fldCharType="end"/>
            </w:r>
          </w:hyperlink>
        </w:p>
        <w:p w14:paraId="3CE85398" w14:textId="15818EC5" w:rsidR="00C30E72" w:rsidRDefault="00C30E72">
          <w:pPr>
            <w:pStyle w:val="TOC2"/>
            <w:tabs>
              <w:tab w:val="right" w:leader="dot" w:pos="9350"/>
            </w:tabs>
            <w:rPr>
              <w:rFonts w:eastAsiaTheme="minorEastAsia"/>
              <w:noProof/>
              <w:lang w:val="en-CA" w:eastAsia="en-CA"/>
            </w:rPr>
          </w:pPr>
          <w:hyperlink w:anchor="_Toc114482297" w:history="1">
            <w:r w:rsidRPr="00AB1600">
              <w:rPr>
                <w:rStyle w:val="Hyperlink"/>
                <w:noProof/>
              </w:rPr>
              <w:t>Détails concernant les pouvoirs</w:t>
            </w:r>
            <w:r>
              <w:rPr>
                <w:noProof/>
                <w:webHidden/>
              </w:rPr>
              <w:tab/>
            </w:r>
            <w:r>
              <w:rPr>
                <w:noProof/>
                <w:webHidden/>
              </w:rPr>
              <w:fldChar w:fldCharType="begin"/>
            </w:r>
            <w:r>
              <w:rPr>
                <w:noProof/>
                <w:webHidden/>
              </w:rPr>
              <w:instrText xml:space="preserve"> PAGEREF _Toc114482297 \h </w:instrText>
            </w:r>
            <w:r>
              <w:rPr>
                <w:noProof/>
                <w:webHidden/>
              </w:rPr>
            </w:r>
            <w:r>
              <w:rPr>
                <w:noProof/>
                <w:webHidden/>
              </w:rPr>
              <w:fldChar w:fldCharType="separate"/>
            </w:r>
            <w:r>
              <w:rPr>
                <w:noProof/>
                <w:webHidden/>
              </w:rPr>
              <w:t>14</w:t>
            </w:r>
            <w:r>
              <w:rPr>
                <w:noProof/>
                <w:webHidden/>
              </w:rPr>
              <w:fldChar w:fldCharType="end"/>
            </w:r>
          </w:hyperlink>
        </w:p>
        <w:p w14:paraId="37DBB374" w14:textId="5E1218AE" w:rsidR="00C30E72" w:rsidRDefault="00C30E72">
          <w:pPr>
            <w:pStyle w:val="TOC2"/>
            <w:tabs>
              <w:tab w:val="right" w:leader="dot" w:pos="9350"/>
            </w:tabs>
            <w:rPr>
              <w:rFonts w:eastAsiaTheme="minorEastAsia"/>
              <w:noProof/>
              <w:lang w:val="en-CA" w:eastAsia="en-CA"/>
            </w:rPr>
          </w:pPr>
          <w:hyperlink w:anchor="_Toc114482298" w:history="1">
            <w:r w:rsidRPr="00AB1600">
              <w:rPr>
                <w:rStyle w:val="Hyperlink"/>
                <w:rFonts w:ascii="Arial" w:hAnsi="Arial"/>
                <w:noProof/>
              </w:rPr>
              <w:t>Loi sur les mines, L.R.O. 1990, chap. M.14</w:t>
            </w:r>
            <w:r>
              <w:rPr>
                <w:noProof/>
                <w:webHidden/>
              </w:rPr>
              <w:tab/>
            </w:r>
            <w:r>
              <w:rPr>
                <w:noProof/>
                <w:webHidden/>
              </w:rPr>
              <w:fldChar w:fldCharType="begin"/>
            </w:r>
            <w:r>
              <w:rPr>
                <w:noProof/>
                <w:webHidden/>
              </w:rPr>
              <w:instrText xml:space="preserve"> PAGEREF _Toc114482298 \h </w:instrText>
            </w:r>
            <w:r>
              <w:rPr>
                <w:noProof/>
                <w:webHidden/>
              </w:rPr>
            </w:r>
            <w:r>
              <w:rPr>
                <w:noProof/>
                <w:webHidden/>
              </w:rPr>
              <w:fldChar w:fldCharType="separate"/>
            </w:r>
            <w:r>
              <w:rPr>
                <w:noProof/>
                <w:webHidden/>
              </w:rPr>
              <w:t>14</w:t>
            </w:r>
            <w:r>
              <w:rPr>
                <w:noProof/>
                <w:webHidden/>
              </w:rPr>
              <w:fldChar w:fldCharType="end"/>
            </w:r>
          </w:hyperlink>
        </w:p>
        <w:p w14:paraId="02803CB1" w14:textId="78684700" w:rsidR="00C30E72" w:rsidRDefault="00C30E72">
          <w:pPr>
            <w:pStyle w:val="TOC2"/>
            <w:tabs>
              <w:tab w:val="right" w:leader="dot" w:pos="9350"/>
            </w:tabs>
            <w:rPr>
              <w:rFonts w:eastAsiaTheme="minorEastAsia"/>
              <w:noProof/>
              <w:lang w:val="en-CA" w:eastAsia="en-CA"/>
            </w:rPr>
          </w:pPr>
          <w:hyperlink w:anchor="_Toc114482299" w:history="1">
            <w:r w:rsidRPr="00AB1600">
              <w:rPr>
                <w:rStyle w:val="Hyperlink"/>
                <w:noProof/>
              </w:rPr>
              <w:t>Travaux sur des terrains miniers</w:t>
            </w:r>
            <w:r>
              <w:rPr>
                <w:noProof/>
                <w:webHidden/>
              </w:rPr>
              <w:tab/>
            </w:r>
            <w:r>
              <w:rPr>
                <w:noProof/>
                <w:webHidden/>
              </w:rPr>
              <w:fldChar w:fldCharType="begin"/>
            </w:r>
            <w:r>
              <w:rPr>
                <w:noProof/>
                <w:webHidden/>
              </w:rPr>
              <w:instrText xml:space="preserve"> PAGEREF _Toc114482299 \h </w:instrText>
            </w:r>
            <w:r>
              <w:rPr>
                <w:noProof/>
                <w:webHidden/>
              </w:rPr>
            </w:r>
            <w:r>
              <w:rPr>
                <w:noProof/>
                <w:webHidden/>
              </w:rPr>
              <w:fldChar w:fldCharType="separate"/>
            </w:r>
            <w:r>
              <w:rPr>
                <w:noProof/>
                <w:webHidden/>
              </w:rPr>
              <w:t>14</w:t>
            </w:r>
            <w:r>
              <w:rPr>
                <w:noProof/>
                <w:webHidden/>
              </w:rPr>
              <w:fldChar w:fldCharType="end"/>
            </w:r>
          </w:hyperlink>
        </w:p>
        <w:p w14:paraId="0CA4F3B9" w14:textId="74510D55" w:rsidR="00C30E72" w:rsidRDefault="00C30E72">
          <w:pPr>
            <w:pStyle w:val="TOC2"/>
            <w:tabs>
              <w:tab w:val="right" w:leader="dot" w:pos="9350"/>
            </w:tabs>
            <w:rPr>
              <w:rFonts w:eastAsiaTheme="minorEastAsia"/>
              <w:noProof/>
              <w:lang w:val="en-CA" w:eastAsia="en-CA"/>
            </w:rPr>
          </w:pPr>
          <w:hyperlink w:anchor="_Toc114482300" w:history="1">
            <w:r w:rsidRPr="00AB1600">
              <w:rPr>
                <w:rStyle w:val="Hyperlink"/>
                <w:noProof/>
                <w:shd w:val="clear" w:color="auto" w:fill="FFFFFF"/>
              </w:rPr>
              <w:t>Règl. de l’Ont. 65/18 : Travaux d’évaluation</w:t>
            </w:r>
            <w:r>
              <w:rPr>
                <w:noProof/>
                <w:webHidden/>
              </w:rPr>
              <w:tab/>
            </w:r>
            <w:r>
              <w:rPr>
                <w:noProof/>
                <w:webHidden/>
              </w:rPr>
              <w:fldChar w:fldCharType="begin"/>
            </w:r>
            <w:r>
              <w:rPr>
                <w:noProof/>
                <w:webHidden/>
              </w:rPr>
              <w:instrText xml:space="preserve"> PAGEREF _Toc114482300 \h </w:instrText>
            </w:r>
            <w:r>
              <w:rPr>
                <w:noProof/>
                <w:webHidden/>
              </w:rPr>
            </w:r>
            <w:r>
              <w:rPr>
                <w:noProof/>
                <w:webHidden/>
              </w:rPr>
              <w:fldChar w:fldCharType="separate"/>
            </w:r>
            <w:r>
              <w:rPr>
                <w:noProof/>
                <w:webHidden/>
              </w:rPr>
              <w:t>14</w:t>
            </w:r>
            <w:r>
              <w:rPr>
                <w:noProof/>
                <w:webHidden/>
              </w:rPr>
              <w:fldChar w:fldCharType="end"/>
            </w:r>
          </w:hyperlink>
        </w:p>
        <w:p w14:paraId="2F26B423" w14:textId="4E6C790B" w:rsidR="00C30E72" w:rsidRDefault="00C30E72">
          <w:pPr>
            <w:pStyle w:val="TOC2"/>
            <w:tabs>
              <w:tab w:val="right" w:leader="dot" w:pos="9350"/>
            </w:tabs>
            <w:rPr>
              <w:rFonts w:eastAsiaTheme="minorEastAsia"/>
              <w:noProof/>
              <w:lang w:val="en-CA" w:eastAsia="en-CA"/>
            </w:rPr>
          </w:pPr>
          <w:hyperlink w:anchor="_Toc114482301" w:history="1">
            <w:r w:rsidRPr="00AB1600">
              <w:rPr>
                <w:rStyle w:val="Hyperlink"/>
                <w:noProof/>
              </w:rPr>
              <w:t>Système de crédits de travail d’évaluation</w:t>
            </w:r>
            <w:r>
              <w:rPr>
                <w:noProof/>
                <w:webHidden/>
              </w:rPr>
              <w:tab/>
            </w:r>
            <w:r>
              <w:rPr>
                <w:noProof/>
                <w:webHidden/>
              </w:rPr>
              <w:fldChar w:fldCharType="begin"/>
            </w:r>
            <w:r>
              <w:rPr>
                <w:noProof/>
                <w:webHidden/>
              </w:rPr>
              <w:instrText xml:space="preserve"> PAGEREF _Toc114482301 \h </w:instrText>
            </w:r>
            <w:r>
              <w:rPr>
                <w:noProof/>
                <w:webHidden/>
              </w:rPr>
            </w:r>
            <w:r>
              <w:rPr>
                <w:noProof/>
                <w:webHidden/>
              </w:rPr>
              <w:fldChar w:fldCharType="separate"/>
            </w:r>
            <w:r>
              <w:rPr>
                <w:noProof/>
                <w:webHidden/>
              </w:rPr>
              <w:t>14</w:t>
            </w:r>
            <w:r>
              <w:rPr>
                <w:noProof/>
                <w:webHidden/>
              </w:rPr>
              <w:fldChar w:fldCharType="end"/>
            </w:r>
          </w:hyperlink>
        </w:p>
        <w:p w14:paraId="7AD96876" w14:textId="438D5ABA" w:rsidR="00C30E72" w:rsidRDefault="00C30E72">
          <w:pPr>
            <w:pStyle w:val="TOC2"/>
            <w:tabs>
              <w:tab w:val="right" w:leader="dot" w:pos="9350"/>
            </w:tabs>
            <w:rPr>
              <w:rFonts w:eastAsiaTheme="minorEastAsia"/>
              <w:noProof/>
              <w:lang w:val="en-CA" w:eastAsia="en-CA"/>
            </w:rPr>
          </w:pPr>
          <w:hyperlink w:anchor="_Toc114482302" w:history="1">
            <w:r w:rsidRPr="00AB1600">
              <w:rPr>
                <w:rStyle w:val="Hyperlink"/>
                <w:noProof/>
              </w:rPr>
              <w:t>Fonctionnement du système</w:t>
            </w:r>
            <w:r>
              <w:rPr>
                <w:noProof/>
                <w:webHidden/>
              </w:rPr>
              <w:tab/>
            </w:r>
            <w:r>
              <w:rPr>
                <w:noProof/>
                <w:webHidden/>
              </w:rPr>
              <w:fldChar w:fldCharType="begin"/>
            </w:r>
            <w:r>
              <w:rPr>
                <w:noProof/>
                <w:webHidden/>
              </w:rPr>
              <w:instrText xml:space="preserve"> PAGEREF _Toc114482302 \h </w:instrText>
            </w:r>
            <w:r>
              <w:rPr>
                <w:noProof/>
                <w:webHidden/>
              </w:rPr>
            </w:r>
            <w:r>
              <w:rPr>
                <w:noProof/>
                <w:webHidden/>
              </w:rPr>
              <w:fldChar w:fldCharType="separate"/>
            </w:r>
            <w:r>
              <w:rPr>
                <w:noProof/>
                <w:webHidden/>
              </w:rPr>
              <w:t>14</w:t>
            </w:r>
            <w:r>
              <w:rPr>
                <w:noProof/>
                <w:webHidden/>
              </w:rPr>
              <w:fldChar w:fldCharType="end"/>
            </w:r>
          </w:hyperlink>
        </w:p>
        <w:p w14:paraId="01896BF2" w14:textId="3D2CEDA7" w:rsidR="00C30E72" w:rsidRDefault="00C30E72">
          <w:pPr>
            <w:pStyle w:val="TOC2"/>
            <w:tabs>
              <w:tab w:val="right" w:leader="dot" w:pos="9350"/>
            </w:tabs>
            <w:rPr>
              <w:rFonts w:eastAsiaTheme="minorEastAsia"/>
              <w:noProof/>
              <w:lang w:val="en-CA" w:eastAsia="en-CA"/>
            </w:rPr>
          </w:pPr>
          <w:hyperlink w:anchor="_Toc114482303" w:history="1">
            <w:r w:rsidRPr="00AB1600">
              <w:rPr>
                <w:rStyle w:val="Hyperlink"/>
                <w:noProof/>
                <w:shd w:val="clear" w:color="auto" w:fill="FFFFFF"/>
              </w:rPr>
              <w:t>Allocation des crédits de travail d’évaluation</w:t>
            </w:r>
            <w:r>
              <w:rPr>
                <w:noProof/>
                <w:webHidden/>
              </w:rPr>
              <w:tab/>
            </w:r>
            <w:r>
              <w:rPr>
                <w:noProof/>
                <w:webHidden/>
              </w:rPr>
              <w:fldChar w:fldCharType="begin"/>
            </w:r>
            <w:r>
              <w:rPr>
                <w:noProof/>
                <w:webHidden/>
              </w:rPr>
              <w:instrText xml:space="preserve"> PAGEREF _Toc114482303 \h </w:instrText>
            </w:r>
            <w:r>
              <w:rPr>
                <w:noProof/>
                <w:webHidden/>
              </w:rPr>
            </w:r>
            <w:r>
              <w:rPr>
                <w:noProof/>
                <w:webHidden/>
              </w:rPr>
              <w:fldChar w:fldCharType="separate"/>
            </w:r>
            <w:r>
              <w:rPr>
                <w:noProof/>
                <w:webHidden/>
              </w:rPr>
              <w:t>15</w:t>
            </w:r>
            <w:r>
              <w:rPr>
                <w:noProof/>
                <w:webHidden/>
              </w:rPr>
              <w:fldChar w:fldCharType="end"/>
            </w:r>
          </w:hyperlink>
        </w:p>
        <w:p w14:paraId="0FFEE288" w14:textId="33EEC5B1" w:rsidR="00C30E72" w:rsidRDefault="00C30E72">
          <w:pPr>
            <w:pStyle w:val="TOC2"/>
            <w:tabs>
              <w:tab w:val="right" w:leader="dot" w:pos="9350"/>
            </w:tabs>
            <w:rPr>
              <w:rFonts w:eastAsiaTheme="minorEastAsia"/>
              <w:noProof/>
              <w:lang w:val="en-CA" w:eastAsia="en-CA"/>
            </w:rPr>
          </w:pPr>
          <w:hyperlink w:anchor="_Toc114482304" w:history="1">
            <w:r w:rsidRPr="00AB1600">
              <w:rPr>
                <w:rStyle w:val="Hyperlink"/>
                <w:noProof/>
              </w:rPr>
              <w:t>Chef des travaux d’évaluation</w:t>
            </w:r>
            <w:r>
              <w:rPr>
                <w:noProof/>
                <w:webHidden/>
              </w:rPr>
              <w:tab/>
            </w:r>
            <w:r>
              <w:rPr>
                <w:noProof/>
                <w:webHidden/>
              </w:rPr>
              <w:fldChar w:fldCharType="begin"/>
            </w:r>
            <w:r>
              <w:rPr>
                <w:noProof/>
                <w:webHidden/>
              </w:rPr>
              <w:instrText xml:space="preserve"> PAGEREF _Toc114482304 \h </w:instrText>
            </w:r>
            <w:r>
              <w:rPr>
                <w:noProof/>
                <w:webHidden/>
              </w:rPr>
            </w:r>
            <w:r>
              <w:rPr>
                <w:noProof/>
                <w:webHidden/>
              </w:rPr>
              <w:fldChar w:fldCharType="separate"/>
            </w:r>
            <w:r>
              <w:rPr>
                <w:noProof/>
                <w:webHidden/>
              </w:rPr>
              <w:t>16</w:t>
            </w:r>
            <w:r>
              <w:rPr>
                <w:noProof/>
                <w:webHidden/>
              </w:rPr>
              <w:fldChar w:fldCharType="end"/>
            </w:r>
          </w:hyperlink>
        </w:p>
        <w:p w14:paraId="4045370D" w14:textId="1AE8CB0D" w:rsidR="00C30E72" w:rsidRDefault="00C30E72">
          <w:pPr>
            <w:pStyle w:val="TOC2"/>
            <w:tabs>
              <w:tab w:val="right" w:leader="dot" w:pos="9350"/>
            </w:tabs>
            <w:rPr>
              <w:rFonts w:eastAsiaTheme="minorEastAsia"/>
              <w:noProof/>
              <w:lang w:val="en-CA" w:eastAsia="en-CA"/>
            </w:rPr>
          </w:pPr>
          <w:hyperlink w:anchor="_Toc114482305" w:history="1">
            <w:r w:rsidRPr="00AB1600">
              <w:rPr>
                <w:rStyle w:val="Hyperlink"/>
                <w:noProof/>
                <w:shd w:val="clear" w:color="auto" w:fill="FFFFFF"/>
              </w:rPr>
              <w:t>Plafonnement de l’allocation des crédits</w:t>
            </w:r>
            <w:r>
              <w:rPr>
                <w:noProof/>
                <w:webHidden/>
              </w:rPr>
              <w:tab/>
            </w:r>
            <w:r>
              <w:rPr>
                <w:noProof/>
                <w:webHidden/>
              </w:rPr>
              <w:fldChar w:fldCharType="begin"/>
            </w:r>
            <w:r>
              <w:rPr>
                <w:noProof/>
                <w:webHidden/>
              </w:rPr>
              <w:instrText xml:space="preserve"> PAGEREF _Toc114482305 \h </w:instrText>
            </w:r>
            <w:r>
              <w:rPr>
                <w:noProof/>
                <w:webHidden/>
              </w:rPr>
            </w:r>
            <w:r>
              <w:rPr>
                <w:noProof/>
                <w:webHidden/>
              </w:rPr>
              <w:fldChar w:fldCharType="separate"/>
            </w:r>
            <w:r>
              <w:rPr>
                <w:noProof/>
                <w:webHidden/>
              </w:rPr>
              <w:t>16</w:t>
            </w:r>
            <w:r>
              <w:rPr>
                <w:noProof/>
                <w:webHidden/>
              </w:rPr>
              <w:fldChar w:fldCharType="end"/>
            </w:r>
          </w:hyperlink>
        </w:p>
        <w:p w14:paraId="480BE784" w14:textId="6FC266D8" w:rsidR="00C30E72" w:rsidRDefault="00C30E72">
          <w:r>
            <w:rPr>
              <w:b/>
              <w:bCs/>
              <w:noProof/>
            </w:rPr>
            <w:fldChar w:fldCharType="end"/>
          </w:r>
        </w:p>
      </w:sdtContent>
    </w:sdt>
    <w:p w14:paraId="1AD0E535" w14:textId="77777777" w:rsidR="00A64BCD" w:rsidRDefault="00A64BCD">
      <w:pPr>
        <w:rPr>
          <w:rFonts w:asciiTheme="majorHAnsi" w:eastAsiaTheme="majorEastAsia" w:hAnsiTheme="majorHAnsi" w:cstheme="majorHAnsi"/>
          <w:b/>
          <w:bCs/>
          <w:sz w:val="28"/>
          <w:szCs w:val="28"/>
        </w:rPr>
      </w:pPr>
      <w:r>
        <w:br w:type="page"/>
      </w:r>
    </w:p>
    <w:p w14:paraId="2C877E69" w14:textId="6886EA21" w:rsidR="00827661" w:rsidRPr="00F0047D" w:rsidRDefault="00827661" w:rsidP="00666DE5">
      <w:pPr>
        <w:pStyle w:val="Heading1"/>
      </w:pPr>
      <w:bookmarkStart w:id="0" w:name="_Toc92365365"/>
      <w:bookmarkStart w:id="1" w:name="_Toc114482288"/>
      <w:r>
        <w:lastRenderedPageBreak/>
        <w:t>Objet</w:t>
      </w:r>
      <w:bookmarkEnd w:id="0"/>
      <w:bookmarkEnd w:id="1"/>
    </w:p>
    <w:p w14:paraId="4159C361" w14:textId="32DA0D77" w:rsidR="006B3F80" w:rsidRPr="001228DC" w:rsidRDefault="006B3F80" w:rsidP="001228DC">
      <w:pPr>
        <w:rPr>
          <w:rFonts w:ascii="Arial" w:hAnsi="Arial" w:cs="Arial"/>
          <w:b/>
          <w:bCs/>
          <w:sz w:val="24"/>
          <w:szCs w:val="24"/>
        </w:rPr>
      </w:pPr>
      <w:r>
        <w:rPr>
          <w:rFonts w:ascii="Arial" w:hAnsi="Arial"/>
          <w:sz w:val="24"/>
          <w:szCs w:val="24"/>
        </w:rPr>
        <w:t xml:space="preserve">Le but de la présente politique est de fournir une orientation aux titulaires de claims et aux décideurs en ce qui concerne leurs options pour satisfaire aux exigences relatives aux travaux d’évaluation en vertu de la Loi sur les mines, L.R.O. 1990, chap. M.14 (la Loi) et du Règlement de l’Ontario 65/18 (le Règlement).  Les titulaires de claims peuvent </w:t>
      </w:r>
      <w:r>
        <w:rPr>
          <w:rFonts w:ascii="Arial" w:hAnsi="Arial"/>
          <w:b/>
          <w:bCs/>
          <w:sz w:val="24"/>
          <w:szCs w:val="24"/>
        </w:rPr>
        <w:t>allouer des crédits</w:t>
      </w:r>
      <w:r>
        <w:rPr>
          <w:rFonts w:ascii="Arial" w:hAnsi="Arial"/>
          <w:sz w:val="24"/>
          <w:szCs w:val="24"/>
        </w:rPr>
        <w:t xml:space="preserve">, </w:t>
      </w:r>
      <w:r>
        <w:rPr>
          <w:rFonts w:ascii="Arial" w:hAnsi="Arial"/>
          <w:b/>
          <w:bCs/>
          <w:sz w:val="24"/>
          <w:szCs w:val="24"/>
        </w:rPr>
        <w:t>appliquer des crédits</w:t>
      </w:r>
      <w:r>
        <w:rPr>
          <w:rFonts w:ascii="Arial" w:hAnsi="Arial"/>
          <w:sz w:val="24"/>
          <w:szCs w:val="24"/>
        </w:rPr>
        <w:t xml:space="preserve"> ou faire des </w:t>
      </w:r>
      <w:r>
        <w:rPr>
          <w:rFonts w:ascii="Arial" w:hAnsi="Arial"/>
          <w:b/>
          <w:bCs/>
          <w:sz w:val="24"/>
          <w:szCs w:val="24"/>
        </w:rPr>
        <w:t>paiements au lieu de travaux</w:t>
      </w:r>
      <w:r>
        <w:rPr>
          <w:rFonts w:ascii="Arial" w:hAnsi="Arial"/>
          <w:sz w:val="24"/>
          <w:szCs w:val="24"/>
        </w:rPr>
        <w:t xml:space="preserve">. </w:t>
      </w:r>
      <w:r w:rsidR="00881852">
        <w:rPr>
          <w:rStyle w:val="FootnoteReference"/>
          <w:rFonts w:ascii="Arial" w:hAnsi="Arial" w:cs="Arial"/>
          <w:sz w:val="24"/>
          <w:szCs w:val="24"/>
        </w:rPr>
        <w:footnoteReference w:id="2"/>
      </w:r>
    </w:p>
    <w:p w14:paraId="757E4EE4" w14:textId="056EA71D" w:rsidR="00B25DC0" w:rsidRPr="00506842" w:rsidRDefault="00B25DC0" w:rsidP="005F28EB">
      <w:pPr>
        <w:pStyle w:val="Heading1"/>
        <w:spacing w:after="240"/>
        <w:rPr>
          <w:rFonts w:eastAsiaTheme="minorEastAsia"/>
        </w:rPr>
      </w:pPr>
      <w:bookmarkStart w:id="2" w:name="_Toc92365366"/>
      <w:bookmarkStart w:id="3" w:name="_Toc114482289"/>
      <w:r>
        <w:t>Contexte</w:t>
      </w:r>
      <w:bookmarkEnd w:id="2"/>
      <w:bookmarkEnd w:id="3"/>
    </w:p>
    <w:p w14:paraId="63C4E356" w14:textId="3B44F3A7" w:rsidR="00B60485" w:rsidRPr="001228DC" w:rsidRDefault="00B25DC0" w:rsidP="001228DC">
      <w:pPr>
        <w:rPr>
          <w:rFonts w:ascii="Arial" w:hAnsi="Arial" w:cs="Arial"/>
          <w:sz w:val="24"/>
          <w:szCs w:val="24"/>
        </w:rPr>
      </w:pPr>
      <w:r>
        <w:rPr>
          <w:rFonts w:ascii="Arial" w:hAnsi="Arial"/>
          <w:sz w:val="24"/>
          <w:szCs w:val="24"/>
        </w:rPr>
        <w:t xml:space="preserve">Les titulaires de claims doivent exécuter les unités annuelles de travail d’évaluation requises pour que leurs claims restent en règle.  Ils doivent effectuer des travaux d’évaluation et soumettre un rapport de travaux d’évaluation conforme aux normes techniques décrites dans le document </w:t>
      </w:r>
      <w:r>
        <w:rPr>
          <w:rFonts w:ascii="Arial" w:hAnsi="Arial"/>
          <w:i/>
          <w:iCs/>
          <w:sz w:val="24"/>
          <w:szCs w:val="24"/>
        </w:rPr>
        <w:t>Technical Standards for Assessment Work Reports</w:t>
      </w:r>
      <w:r>
        <w:rPr>
          <w:rFonts w:ascii="Arial" w:hAnsi="Arial"/>
          <w:sz w:val="24"/>
          <w:szCs w:val="24"/>
        </w:rPr>
        <w:t xml:space="preserve"> accessible par l’entremise du Système d’administration des terrains miniers (SATM).  Le ministre examine le rapport et attribue les crédits de travail d’évaluation conformément au règlement.  Les crédits de travail d’évaluation sont ensuite placés dans la réserve des terrains miniers sur lesquels les travaux ont été effectués.</w:t>
      </w:r>
    </w:p>
    <w:p w14:paraId="4A90506B" w14:textId="637B247A" w:rsidR="00B60485" w:rsidRPr="001228DC" w:rsidRDefault="00B60485" w:rsidP="001228DC">
      <w:pPr>
        <w:rPr>
          <w:rFonts w:ascii="Arial" w:hAnsi="Arial" w:cs="Arial"/>
          <w:sz w:val="24"/>
          <w:szCs w:val="24"/>
        </w:rPr>
      </w:pPr>
      <w:r>
        <w:rPr>
          <w:rFonts w:ascii="Arial" w:hAnsi="Arial"/>
          <w:sz w:val="24"/>
          <w:szCs w:val="24"/>
        </w:rPr>
        <w:t>Les crédits de travail d’évaluation dans la réserve pour les terrains miniers peuvent ensuite être distribués à un claim minier pour satisfaire aux exigences annuelles relatives aux travaux d’évaluation pour le claim.  Il existe deux types de distribution des crédits de travail d’évaluation :</w:t>
      </w:r>
    </w:p>
    <w:p w14:paraId="500B9076" w14:textId="77777777" w:rsidR="00085B14" w:rsidRDefault="00B60485" w:rsidP="001228DC">
      <w:pPr>
        <w:pStyle w:val="ListParagraph"/>
        <w:numPr>
          <w:ilvl w:val="0"/>
          <w:numId w:val="6"/>
        </w:numPr>
        <w:rPr>
          <w:rFonts w:ascii="Arial" w:hAnsi="Arial" w:cs="Arial"/>
          <w:sz w:val="24"/>
          <w:szCs w:val="24"/>
        </w:rPr>
      </w:pPr>
      <w:r>
        <w:rPr>
          <w:rFonts w:ascii="Arial" w:hAnsi="Arial"/>
          <w:sz w:val="24"/>
          <w:szCs w:val="24"/>
        </w:rPr>
        <w:t xml:space="preserve">Les crédits de travail d’évaluation peuvent être </w:t>
      </w:r>
      <w:r>
        <w:rPr>
          <w:rFonts w:ascii="Arial" w:hAnsi="Arial"/>
          <w:b/>
          <w:bCs/>
          <w:i/>
          <w:iCs/>
          <w:sz w:val="24"/>
          <w:szCs w:val="24"/>
        </w:rPr>
        <w:t>appliqués</w:t>
      </w:r>
      <w:r>
        <w:rPr>
          <w:rFonts w:ascii="Arial" w:hAnsi="Arial"/>
          <w:sz w:val="24"/>
          <w:szCs w:val="24"/>
        </w:rPr>
        <w:t xml:space="preserve"> à partir de la réserve d’un claim minier pour satisfaire aux unités annuelles de travail d’évaluation requises pour ce claim;</w:t>
      </w:r>
    </w:p>
    <w:p w14:paraId="2A1C2BCC" w14:textId="6379BB19" w:rsidR="00B60485" w:rsidRPr="007D23AA" w:rsidRDefault="00B60485" w:rsidP="001228DC">
      <w:pPr>
        <w:pStyle w:val="ListParagraph"/>
        <w:numPr>
          <w:ilvl w:val="0"/>
          <w:numId w:val="6"/>
        </w:numPr>
        <w:rPr>
          <w:rFonts w:ascii="Arial" w:hAnsi="Arial" w:cs="Arial"/>
          <w:sz w:val="24"/>
          <w:szCs w:val="24"/>
        </w:rPr>
      </w:pPr>
      <w:r>
        <w:rPr>
          <w:rFonts w:ascii="Arial" w:hAnsi="Arial"/>
          <w:sz w:val="24"/>
          <w:szCs w:val="24"/>
        </w:rPr>
        <w:t xml:space="preserve">Les crédits de travail d’évaluation peuvent être </w:t>
      </w:r>
      <w:r>
        <w:rPr>
          <w:rFonts w:ascii="Arial" w:hAnsi="Arial"/>
          <w:b/>
          <w:bCs/>
          <w:i/>
          <w:iCs/>
          <w:sz w:val="24"/>
          <w:szCs w:val="24"/>
        </w:rPr>
        <w:t>alloués</w:t>
      </w:r>
      <w:r>
        <w:rPr>
          <w:rFonts w:ascii="Arial" w:hAnsi="Arial"/>
          <w:sz w:val="24"/>
          <w:szCs w:val="24"/>
        </w:rPr>
        <w:t xml:space="preserve"> à partir de la réserve de terrains miniers (que ces terrains soient un claim minier ou un autre type de terrains miniers) pour satisfaire aux unités annuelles de travail d’évaluation requises pour un claim minier contigu.</w:t>
      </w:r>
    </w:p>
    <w:p w14:paraId="0BE3CE29" w14:textId="72648CB8" w:rsidR="008C73C3" w:rsidRPr="001228DC" w:rsidRDefault="005617CD" w:rsidP="001228DC">
      <w:pPr>
        <w:rPr>
          <w:rFonts w:ascii="Arial" w:hAnsi="Arial" w:cs="Arial"/>
          <w:sz w:val="24"/>
          <w:szCs w:val="24"/>
        </w:rPr>
      </w:pPr>
      <w:r>
        <w:rPr>
          <w:rFonts w:ascii="Arial" w:hAnsi="Arial"/>
          <w:sz w:val="24"/>
          <w:szCs w:val="24"/>
        </w:rPr>
        <w:t xml:space="preserve">L’application SATM sera utilisée pour distribuer et appliquer les crédits de travail d’évaluation.  Le ministère a préparé des directives qui concernent l’allocation et </w:t>
      </w:r>
      <w:r>
        <w:rPr>
          <w:rFonts w:ascii="Arial" w:hAnsi="Arial"/>
          <w:sz w:val="24"/>
          <w:szCs w:val="24"/>
        </w:rPr>
        <w:lastRenderedPageBreak/>
        <w:t xml:space="preserve">l’application de crédits de travail d’évaluation. Les documents sont disponibles sur le site Web du ministère : </w:t>
      </w:r>
      <w:hyperlink r:id="rId12" w:history="1">
        <w:r>
          <w:rPr>
            <w:rStyle w:val="Hyperlink"/>
            <w:rFonts w:ascii="Arial" w:hAnsi="Arial"/>
            <w:sz w:val="24"/>
            <w:szCs w:val="24"/>
          </w:rPr>
          <w:t>Distribuer les crédits approuvés</w:t>
        </w:r>
      </w:hyperlink>
      <w:r>
        <w:rPr>
          <w:rFonts w:ascii="Arial" w:hAnsi="Arial"/>
          <w:color w:val="0070C0"/>
          <w:sz w:val="24"/>
          <w:szCs w:val="24"/>
        </w:rPr>
        <w:t xml:space="preserve">, </w:t>
      </w:r>
      <w:hyperlink r:id="rId13" w:history="1">
        <w:r>
          <w:rPr>
            <w:rStyle w:val="Hyperlink"/>
            <w:rFonts w:ascii="Arial" w:hAnsi="Arial"/>
            <w:sz w:val="24"/>
            <w:szCs w:val="24"/>
          </w:rPr>
          <w:t>Présenter la distribution provisoire</w:t>
        </w:r>
      </w:hyperlink>
      <w:r>
        <w:rPr>
          <w:rFonts w:ascii="Arial" w:hAnsi="Arial"/>
          <w:sz w:val="24"/>
          <w:szCs w:val="24"/>
        </w:rPr>
        <w:t xml:space="preserve"> et </w:t>
      </w:r>
      <w:hyperlink r:id="rId14" w:history="1">
        <w:r>
          <w:rPr>
            <w:rStyle w:val="Hyperlink"/>
            <w:rFonts w:ascii="Arial" w:hAnsi="Arial"/>
            <w:sz w:val="24"/>
            <w:szCs w:val="24"/>
          </w:rPr>
          <w:t>Réviser la distribution provisoire</w:t>
        </w:r>
      </w:hyperlink>
      <w:r>
        <w:rPr>
          <w:rFonts w:ascii="Arial" w:hAnsi="Arial"/>
          <w:sz w:val="24"/>
          <w:szCs w:val="24"/>
        </w:rPr>
        <w:t xml:space="preserve">.  </w:t>
      </w:r>
    </w:p>
    <w:p w14:paraId="1AD92236" w14:textId="282F6979" w:rsidR="009E1832" w:rsidRPr="001228DC" w:rsidRDefault="008C73C3" w:rsidP="001228DC">
      <w:pPr>
        <w:rPr>
          <w:rFonts w:ascii="Arial" w:hAnsi="Arial" w:cs="Arial"/>
          <w:sz w:val="24"/>
          <w:szCs w:val="24"/>
        </w:rPr>
      </w:pPr>
      <w:r>
        <w:rPr>
          <w:rFonts w:ascii="Arial" w:hAnsi="Arial"/>
          <w:sz w:val="24"/>
          <w:szCs w:val="24"/>
        </w:rPr>
        <w:t xml:space="preserve">Dans certaines circonstances, le titulaire d’un claim peut effectuer un </w:t>
      </w:r>
      <w:r>
        <w:rPr>
          <w:rFonts w:ascii="Arial" w:hAnsi="Arial"/>
          <w:b/>
          <w:bCs/>
          <w:i/>
          <w:iCs/>
          <w:sz w:val="24"/>
          <w:szCs w:val="24"/>
        </w:rPr>
        <w:t>paiement au lieu</w:t>
      </w:r>
      <w:r>
        <w:rPr>
          <w:rFonts w:ascii="Arial" w:hAnsi="Arial"/>
          <w:sz w:val="24"/>
          <w:szCs w:val="24"/>
        </w:rPr>
        <w:t xml:space="preserve"> de travaux d’évaluation requis pour un claim minier. Un paiement au lieu de travaux est versé au ministre au plus tard à la date d’échéance du claim minier.  Les paiements doivent être soumis par l’entremise du SATM. Les titulaires de claims peuvent consulter la directive </w:t>
      </w:r>
      <w:hyperlink r:id="rId15" w:history="1">
        <w:r>
          <w:rPr>
            <w:rStyle w:val="Hyperlink"/>
            <w:rFonts w:ascii="Arial" w:hAnsi="Arial"/>
            <w:sz w:val="24"/>
            <w:szCs w:val="24"/>
          </w:rPr>
          <w:t>Paiement au lieu de travaux</w:t>
        </w:r>
      </w:hyperlink>
      <w:r>
        <w:rPr>
          <w:rFonts w:ascii="Arial" w:hAnsi="Arial"/>
          <w:sz w:val="24"/>
          <w:szCs w:val="24"/>
        </w:rPr>
        <w:t xml:space="preserve"> disponible sur notre site Web.  </w:t>
      </w:r>
    </w:p>
    <w:p w14:paraId="5F0D4457" w14:textId="78FC17E1" w:rsidR="00335BA6" w:rsidRPr="00506842" w:rsidRDefault="004B2415" w:rsidP="00A51A31">
      <w:pPr>
        <w:pStyle w:val="Heading1"/>
        <w:spacing w:after="240"/>
      </w:pPr>
      <w:bookmarkStart w:id="4" w:name="_Toc92365367"/>
      <w:bookmarkStart w:id="5" w:name="_Toc114482290"/>
      <w:r>
        <w:t>Plafonnement du montant des crédits de travail d’évaluation qu’un claim peut recevoir</w:t>
      </w:r>
      <w:bookmarkEnd w:id="4"/>
      <w:bookmarkEnd w:id="5"/>
    </w:p>
    <w:p w14:paraId="0E0E23F1" w14:textId="2E00F57B" w:rsidR="00C47763" w:rsidRPr="001228DC" w:rsidRDefault="009E028D" w:rsidP="001228DC">
      <w:pPr>
        <w:rPr>
          <w:rFonts w:ascii="Arial" w:hAnsi="Arial" w:cs="Arial"/>
          <w:sz w:val="24"/>
          <w:szCs w:val="24"/>
        </w:rPr>
      </w:pPr>
      <w:r>
        <w:rPr>
          <w:rFonts w:ascii="Arial" w:hAnsi="Arial"/>
          <w:sz w:val="24"/>
          <w:szCs w:val="24"/>
        </w:rPr>
        <w:t>Le montant des crédits de travail d’évaluation qu’un claim minier peut recevoir est le montant requis pour satisfaire à l’unité annuelle de travail d’évaluation en cours et les cinq unités annuelles subséquentes.</w:t>
      </w:r>
    </w:p>
    <w:p w14:paraId="6CCF0858" w14:textId="79B0ED23" w:rsidR="008F1D38" w:rsidRPr="00506842" w:rsidRDefault="009E028D" w:rsidP="00A51A31">
      <w:pPr>
        <w:pStyle w:val="Heading1"/>
        <w:spacing w:after="240"/>
        <w:rPr>
          <w:rFonts w:eastAsiaTheme="minorEastAsia"/>
        </w:rPr>
      </w:pPr>
      <w:bookmarkStart w:id="6" w:name="_Toc92365368"/>
      <w:bookmarkStart w:id="7" w:name="_Toc114482291"/>
      <w:r>
        <w:t>Plafonnement du montant des crédits de travail d’évaluation qui peuvent être alloués des terrains miniers</w:t>
      </w:r>
      <w:bookmarkEnd w:id="6"/>
      <w:bookmarkEnd w:id="7"/>
    </w:p>
    <w:p w14:paraId="7522B523" w14:textId="23F45890" w:rsidR="009E028D" w:rsidRPr="001228DC" w:rsidRDefault="001C0068" w:rsidP="001228DC">
      <w:pPr>
        <w:rPr>
          <w:rFonts w:ascii="Arial" w:hAnsi="Arial" w:cs="Arial"/>
          <w:sz w:val="24"/>
          <w:szCs w:val="24"/>
        </w:rPr>
      </w:pPr>
      <w:r>
        <w:rPr>
          <w:rFonts w:ascii="Arial" w:hAnsi="Arial"/>
          <w:sz w:val="24"/>
          <w:szCs w:val="24"/>
        </w:rPr>
        <w:t>Le montant maximal des crédits de travail d’évaluation qui peuvent être alloués à partir de la réserve de terrains miniers est fixé en fonction du type de tenure concernée et de la taille des terrains miniers.</w:t>
      </w:r>
    </w:p>
    <w:p w14:paraId="0409BF5F" w14:textId="2664A70D" w:rsidR="007321B4" w:rsidRPr="00A33E90" w:rsidRDefault="009E028D" w:rsidP="001228DC">
      <w:pPr>
        <w:rPr>
          <w:rFonts w:ascii="Arial" w:hAnsi="Arial" w:cs="Arial"/>
          <w:sz w:val="24"/>
          <w:szCs w:val="24"/>
        </w:rPr>
      </w:pPr>
      <w:r>
        <w:rPr>
          <w:rFonts w:ascii="Arial" w:hAnsi="Arial"/>
          <w:sz w:val="24"/>
          <w:szCs w:val="24"/>
        </w:rPr>
        <w:t>Pour les claims miniers, les montants maximaux des crédits de travail d’évaluation qui peuvent être alloués à partir d’une réserve sont les suivants :</w:t>
      </w:r>
    </w:p>
    <w:tbl>
      <w:tblPr>
        <w:tblW w:w="9654" w:type="dxa"/>
        <w:tblCellSpacing w:w="15" w:type="dxa"/>
        <w:shd w:val="clear" w:color="auto" w:fill="FFFFFF"/>
        <w:tblCellMar>
          <w:left w:w="0" w:type="dxa"/>
          <w:right w:w="0" w:type="dxa"/>
        </w:tblCellMar>
        <w:tblLook w:val="04A0" w:firstRow="1" w:lastRow="0" w:firstColumn="1" w:lastColumn="0" w:noHBand="0" w:noVBand="1"/>
        <w:tblDescription w:val="Maximum distribution per assessment year by Claim size"/>
      </w:tblPr>
      <w:tblGrid>
        <w:gridCol w:w="3358"/>
        <w:gridCol w:w="6296"/>
      </w:tblGrid>
      <w:tr w:rsidR="001C0068" w:rsidRPr="001228DC" w14:paraId="355522BE" w14:textId="77777777" w:rsidTr="00A64BCD">
        <w:trPr>
          <w:trHeight w:val="180"/>
          <w:tblCellSpacing w:w="15" w:type="dxa"/>
        </w:trPr>
        <w:tc>
          <w:tcPr>
            <w:tcW w:w="0" w:type="auto"/>
            <w:tcBorders>
              <w:top w:val="nil"/>
              <w:left w:val="nil"/>
              <w:bottom w:val="nil"/>
              <w:right w:val="nil"/>
            </w:tcBorders>
            <w:shd w:val="clear" w:color="auto" w:fill="333333"/>
            <w:tcMar>
              <w:top w:w="120" w:type="dxa"/>
              <w:left w:w="120" w:type="dxa"/>
              <w:bottom w:w="120" w:type="dxa"/>
              <w:right w:w="120" w:type="dxa"/>
            </w:tcMar>
            <w:vAlign w:val="bottom"/>
            <w:hideMark/>
          </w:tcPr>
          <w:p w14:paraId="3C17B9B9" w14:textId="77777777" w:rsidR="001C0068" w:rsidRPr="001228DC" w:rsidRDefault="001C0068" w:rsidP="001228DC">
            <w:pPr>
              <w:rPr>
                <w:rFonts w:eastAsia="Times New Roman"/>
                <w:b/>
                <w:bCs/>
                <w:color w:val="FFFFFF"/>
              </w:rPr>
            </w:pPr>
            <w:r>
              <w:rPr>
                <w:b/>
                <w:bCs/>
                <w:color w:val="FFFFFF"/>
              </w:rPr>
              <w:t>Taille du claim</w:t>
            </w:r>
          </w:p>
        </w:tc>
        <w:tc>
          <w:tcPr>
            <w:tcW w:w="0" w:type="auto"/>
            <w:tcBorders>
              <w:top w:val="nil"/>
              <w:left w:val="nil"/>
              <w:bottom w:val="nil"/>
              <w:right w:val="nil"/>
            </w:tcBorders>
            <w:shd w:val="clear" w:color="auto" w:fill="333333"/>
            <w:tcMar>
              <w:top w:w="120" w:type="dxa"/>
              <w:left w:w="120" w:type="dxa"/>
              <w:bottom w:w="120" w:type="dxa"/>
              <w:right w:w="120" w:type="dxa"/>
            </w:tcMar>
            <w:vAlign w:val="bottom"/>
            <w:hideMark/>
          </w:tcPr>
          <w:p w14:paraId="753CB769" w14:textId="54F58770" w:rsidR="001C0068" w:rsidRPr="001228DC" w:rsidRDefault="001C0068" w:rsidP="001228DC">
            <w:pPr>
              <w:rPr>
                <w:rFonts w:eastAsia="Times New Roman"/>
                <w:b/>
                <w:bCs/>
                <w:color w:val="FFFFFF"/>
              </w:rPr>
            </w:pPr>
            <w:r>
              <w:rPr>
                <w:b/>
                <w:bCs/>
                <w:color w:val="FFFFFF"/>
              </w:rPr>
              <w:t>Allocation maximale par année d’évaluation</w:t>
            </w:r>
          </w:p>
        </w:tc>
      </w:tr>
      <w:tr w:rsidR="001C0068" w:rsidRPr="001228DC" w14:paraId="3375B094" w14:textId="77777777" w:rsidTr="00A64BCD">
        <w:trPr>
          <w:trHeight w:val="188"/>
          <w:tblCellSpacing w:w="15" w:type="dxa"/>
        </w:trPr>
        <w:tc>
          <w:tcPr>
            <w:tcW w:w="0" w:type="auto"/>
            <w:tcBorders>
              <w:top w:val="single" w:sz="12" w:space="0" w:color="CFD3BC"/>
              <w:left w:val="nil"/>
              <w:bottom w:val="nil"/>
              <w:right w:val="nil"/>
            </w:tcBorders>
            <w:shd w:val="clear" w:color="auto" w:fill="F2F2ED"/>
            <w:tcMar>
              <w:top w:w="120" w:type="dxa"/>
              <w:left w:w="120" w:type="dxa"/>
              <w:bottom w:w="120" w:type="dxa"/>
              <w:right w:w="120" w:type="dxa"/>
            </w:tcMar>
            <w:vAlign w:val="bottom"/>
            <w:hideMark/>
          </w:tcPr>
          <w:p w14:paraId="1E22A692" w14:textId="77777777" w:rsidR="001C0068" w:rsidRPr="001228DC" w:rsidRDefault="001C0068" w:rsidP="001228DC">
            <w:pPr>
              <w:rPr>
                <w:rFonts w:eastAsia="Times New Roman"/>
                <w:color w:val="222222"/>
              </w:rPr>
            </w:pPr>
            <w:r>
              <w:rPr>
                <w:color w:val="222222"/>
              </w:rPr>
              <w:t>Claims sur cellule mixte</w:t>
            </w:r>
          </w:p>
        </w:tc>
        <w:tc>
          <w:tcPr>
            <w:tcW w:w="0" w:type="auto"/>
            <w:tcBorders>
              <w:top w:val="single" w:sz="12" w:space="0" w:color="CFD3BC"/>
              <w:left w:val="nil"/>
              <w:bottom w:val="nil"/>
              <w:right w:val="nil"/>
            </w:tcBorders>
            <w:shd w:val="clear" w:color="auto" w:fill="F2F2ED"/>
            <w:tcMar>
              <w:top w:w="120" w:type="dxa"/>
              <w:left w:w="120" w:type="dxa"/>
              <w:bottom w:w="120" w:type="dxa"/>
              <w:right w:w="120" w:type="dxa"/>
            </w:tcMar>
            <w:vAlign w:val="bottom"/>
            <w:hideMark/>
          </w:tcPr>
          <w:p w14:paraId="325CF6D2" w14:textId="77777777" w:rsidR="001C0068" w:rsidRPr="001228DC" w:rsidRDefault="001C0068" w:rsidP="001228DC">
            <w:pPr>
              <w:rPr>
                <w:rFonts w:eastAsia="Times New Roman"/>
                <w:color w:val="222222"/>
              </w:rPr>
            </w:pPr>
            <w:r>
              <w:rPr>
                <w:color w:val="222222"/>
              </w:rPr>
              <w:t>50 000 $</w:t>
            </w:r>
          </w:p>
        </w:tc>
      </w:tr>
      <w:tr w:rsidR="001C0068" w:rsidRPr="001228DC" w14:paraId="14105577" w14:textId="77777777" w:rsidTr="00A64BCD">
        <w:trPr>
          <w:trHeight w:val="180"/>
          <w:tblCellSpacing w:w="15" w:type="dxa"/>
        </w:trPr>
        <w:tc>
          <w:tcPr>
            <w:tcW w:w="0" w:type="auto"/>
            <w:tcBorders>
              <w:top w:val="single" w:sz="12" w:space="0" w:color="CFD3BC"/>
              <w:left w:val="nil"/>
              <w:bottom w:val="nil"/>
              <w:right w:val="nil"/>
            </w:tcBorders>
            <w:shd w:val="clear" w:color="auto" w:fill="F2F2ED"/>
            <w:tcMar>
              <w:top w:w="120" w:type="dxa"/>
              <w:left w:w="120" w:type="dxa"/>
              <w:bottom w:w="120" w:type="dxa"/>
              <w:right w:w="120" w:type="dxa"/>
            </w:tcMar>
            <w:vAlign w:val="bottom"/>
            <w:hideMark/>
          </w:tcPr>
          <w:p w14:paraId="4503F2E2" w14:textId="77777777" w:rsidR="001C0068" w:rsidRPr="001228DC" w:rsidRDefault="001C0068" w:rsidP="001228DC">
            <w:pPr>
              <w:rPr>
                <w:rFonts w:eastAsia="Times New Roman"/>
                <w:color w:val="222222"/>
              </w:rPr>
            </w:pPr>
            <w:r>
              <w:rPr>
                <w:color w:val="222222"/>
              </w:rPr>
              <w:t>1 à 2 cellules</w:t>
            </w:r>
          </w:p>
        </w:tc>
        <w:tc>
          <w:tcPr>
            <w:tcW w:w="0" w:type="auto"/>
            <w:tcBorders>
              <w:top w:val="single" w:sz="12" w:space="0" w:color="CFD3BC"/>
              <w:left w:val="nil"/>
              <w:bottom w:val="nil"/>
              <w:right w:val="nil"/>
            </w:tcBorders>
            <w:shd w:val="clear" w:color="auto" w:fill="F2F2ED"/>
            <w:tcMar>
              <w:top w:w="120" w:type="dxa"/>
              <w:left w:w="120" w:type="dxa"/>
              <w:bottom w:w="120" w:type="dxa"/>
              <w:right w:w="120" w:type="dxa"/>
            </w:tcMar>
            <w:vAlign w:val="bottom"/>
            <w:hideMark/>
          </w:tcPr>
          <w:p w14:paraId="4389AF21" w14:textId="77777777" w:rsidR="001C0068" w:rsidRPr="001228DC" w:rsidRDefault="001C0068" w:rsidP="001228DC">
            <w:pPr>
              <w:rPr>
                <w:rFonts w:eastAsia="Times New Roman"/>
                <w:color w:val="222222"/>
              </w:rPr>
            </w:pPr>
            <w:r>
              <w:rPr>
                <w:color w:val="222222"/>
              </w:rPr>
              <w:t>50 000 $</w:t>
            </w:r>
          </w:p>
        </w:tc>
      </w:tr>
      <w:tr w:rsidR="001C0068" w:rsidRPr="001228DC" w14:paraId="010D8C66" w14:textId="77777777" w:rsidTr="00A64BCD">
        <w:trPr>
          <w:trHeight w:val="188"/>
          <w:tblCellSpacing w:w="15" w:type="dxa"/>
        </w:trPr>
        <w:tc>
          <w:tcPr>
            <w:tcW w:w="0" w:type="auto"/>
            <w:tcBorders>
              <w:top w:val="single" w:sz="12" w:space="0" w:color="CFD3BC"/>
              <w:left w:val="nil"/>
              <w:bottom w:val="nil"/>
              <w:right w:val="nil"/>
            </w:tcBorders>
            <w:shd w:val="clear" w:color="auto" w:fill="F2F2ED"/>
            <w:tcMar>
              <w:top w:w="120" w:type="dxa"/>
              <w:left w:w="120" w:type="dxa"/>
              <w:bottom w:w="120" w:type="dxa"/>
              <w:right w:w="120" w:type="dxa"/>
            </w:tcMar>
            <w:vAlign w:val="bottom"/>
            <w:hideMark/>
          </w:tcPr>
          <w:p w14:paraId="51AB6CDA" w14:textId="77777777" w:rsidR="001C0068" w:rsidRPr="001228DC" w:rsidRDefault="001C0068" w:rsidP="001228DC">
            <w:pPr>
              <w:rPr>
                <w:rFonts w:eastAsia="Times New Roman"/>
                <w:color w:val="222222"/>
              </w:rPr>
            </w:pPr>
            <w:r>
              <w:rPr>
                <w:color w:val="222222"/>
              </w:rPr>
              <w:t>3 à 5 cellules</w:t>
            </w:r>
          </w:p>
        </w:tc>
        <w:tc>
          <w:tcPr>
            <w:tcW w:w="0" w:type="auto"/>
            <w:tcBorders>
              <w:top w:val="single" w:sz="12" w:space="0" w:color="CFD3BC"/>
              <w:left w:val="nil"/>
              <w:bottom w:val="nil"/>
              <w:right w:val="nil"/>
            </w:tcBorders>
            <w:shd w:val="clear" w:color="auto" w:fill="F2F2ED"/>
            <w:tcMar>
              <w:top w:w="120" w:type="dxa"/>
              <w:left w:w="120" w:type="dxa"/>
              <w:bottom w:w="120" w:type="dxa"/>
              <w:right w:w="120" w:type="dxa"/>
            </w:tcMar>
            <w:vAlign w:val="bottom"/>
            <w:hideMark/>
          </w:tcPr>
          <w:p w14:paraId="387BD0FF" w14:textId="77777777" w:rsidR="001C0068" w:rsidRPr="001228DC" w:rsidRDefault="001C0068" w:rsidP="001228DC">
            <w:pPr>
              <w:rPr>
                <w:rFonts w:eastAsia="Times New Roman"/>
                <w:color w:val="222222"/>
              </w:rPr>
            </w:pPr>
            <w:r>
              <w:rPr>
                <w:color w:val="222222"/>
              </w:rPr>
              <w:t>100 000 $</w:t>
            </w:r>
          </w:p>
        </w:tc>
      </w:tr>
      <w:tr w:rsidR="001C0068" w:rsidRPr="001228DC" w14:paraId="097AC342" w14:textId="77777777" w:rsidTr="00A64BCD">
        <w:trPr>
          <w:trHeight w:val="180"/>
          <w:tblCellSpacing w:w="15" w:type="dxa"/>
        </w:trPr>
        <w:tc>
          <w:tcPr>
            <w:tcW w:w="0" w:type="auto"/>
            <w:tcBorders>
              <w:top w:val="single" w:sz="12" w:space="0" w:color="CFD3BC"/>
              <w:left w:val="nil"/>
              <w:bottom w:val="nil"/>
              <w:right w:val="nil"/>
            </w:tcBorders>
            <w:shd w:val="clear" w:color="auto" w:fill="F2F2ED"/>
            <w:tcMar>
              <w:top w:w="120" w:type="dxa"/>
              <w:left w:w="120" w:type="dxa"/>
              <w:bottom w:w="120" w:type="dxa"/>
              <w:right w:w="120" w:type="dxa"/>
            </w:tcMar>
            <w:vAlign w:val="bottom"/>
            <w:hideMark/>
          </w:tcPr>
          <w:p w14:paraId="7FCFDCA6" w14:textId="77777777" w:rsidR="001C0068" w:rsidRPr="001228DC" w:rsidRDefault="001C0068" w:rsidP="001228DC">
            <w:pPr>
              <w:rPr>
                <w:rFonts w:eastAsia="Times New Roman"/>
                <w:color w:val="222222"/>
              </w:rPr>
            </w:pPr>
            <w:r>
              <w:rPr>
                <w:color w:val="222222"/>
              </w:rPr>
              <w:lastRenderedPageBreak/>
              <w:t>6 à 25 cellules</w:t>
            </w:r>
          </w:p>
        </w:tc>
        <w:tc>
          <w:tcPr>
            <w:tcW w:w="0" w:type="auto"/>
            <w:tcBorders>
              <w:top w:val="single" w:sz="12" w:space="0" w:color="CFD3BC"/>
              <w:left w:val="nil"/>
              <w:bottom w:val="nil"/>
              <w:right w:val="nil"/>
            </w:tcBorders>
            <w:shd w:val="clear" w:color="auto" w:fill="F2F2ED"/>
            <w:tcMar>
              <w:top w:w="120" w:type="dxa"/>
              <w:left w:w="120" w:type="dxa"/>
              <w:bottom w:w="120" w:type="dxa"/>
              <w:right w:w="120" w:type="dxa"/>
            </w:tcMar>
            <w:vAlign w:val="bottom"/>
            <w:hideMark/>
          </w:tcPr>
          <w:p w14:paraId="6450C3F7" w14:textId="77777777" w:rsidR="001C0068" w:rsidRPr="001228DC" w:rsidRDefault="001C0068" w:rsidP="001228DC">
            <w:pPr>
              <w:rPr>
                <w:rFonts w:eastAsia="Times New Roman"/>
                <w:color w:val="222222"/>
              </w:rPr>
            </w:pPr>
            <w:r>
              <w:rPr>
                <w:color w:val="222222"/>
              </w:rPr>
              <w:t>150 000 $</w:t>
            </w:r>
          </w:p>
        </w:tc>
      </w:tr>
    </w:tbl>
    <w:p w14:paraId="45A17D5D" w14:textId="481DD298" w:rsidR="001C0068" w:rsidRDefault="001C0068" w:rsidP="001228DC">
      <w:pPr>
        <w:rPr>
          <w:rFonts w:ascii="Arial" w:hAnsi="Arial" w:cs="Arial"/>
          <w:sz w:val="24"/>
          <w:szCs w:val="24"/>
        </w:rPr>
      </w:pPr>
      <w:r>
        <w:rPr>
          <w:color w:val="222222"/>
        </w:rPr>
        <w:br/>
      </w:r>
      <w:r>
        <w:rPr>
          <w:rFonts w:ascii="Arial" w:hAnsi="Arial"/>
          <w:sz w:val="24"/>
          <w:szCs w:val="24"/>
        </w:rPr>
        <w:t>Pour les terrains miniers autres que des claims miniers, comme des baux, des lettres patentes ou des permis d’occupation (exploratoires ou miniers), les montants maximaux des crédits de travail d’évaluation qui peuvent être distribués à partir d’une réserve sont les suivants :</w:t>
      </w:r>
    </w:p>
    <w:p w14:paraId="3B24E451" w14:textId="1157BBC3" w:rsidR="00A33E90" w:rsidRDefault="00A33E90" w:rsidP="001228DC">
      <w:pPr>
        <w:rPr>
          <w:rFonts w:ascii="Arial" w:hAnsi="Arial" w:cs="Arial"/>
          <w:sz w:val="24"/>
          <w:szCs w:val="24"/>
        </w:rPr>
      </w:pPr>
    </w:p>
    <w:p w14:paraId="6DCAF47D" w14:textId="1E1258A6" w:rsidR="00A33E90" w:rsidRDefault="00A33E90" w:rsidP="001228DC">
      <w:pPr>
        <w:rPr>
          <w:rFonts w:ascii="Arial" w:hAnsi="Arial" w:cs="Arial"/>
          <w:sz w:val="24"/>
          <w:szCs w:val="24"/>
        </w:rPr>
      </w:pPr>
    </w:p>
    <w:p w14:paraId="1B767298" w14:textId="77777777" w:rsidR="00A33E90" w:rsidRPr="00A33E90" w:rsidRDefault="00A33E90" w:rsidP="001228DC">
      <w:pPr>
        <w:rPr>
          <w:rFonts w:ascii="Arial" w:hAnsi="Arial" w:cs="Arial"/>
          <w:sz w:val="24"/>
          <w:szCs w:val="24"/>
        </w:rPr>
      </w:pPr>
    </w:p>
    <w:tbl>
      <w:tblPr>
        <w:tblW w:w="9541" w:type="dxa"/>
        <w:tblCellSpacing w:w="15" w:type="dxa"/>
        <w:shd w:val="clear" w:color="auto" w:fill="FFFFFF"/>
        <w:tblCellMar>
          <w:left w:w="0" w:type="dxa"/>
          <w:right w:w="0" w:type="dxa"/>
        </w:tblCellMar>
        <w:tblLook w:val="04A0" w:firstRow="1" w:lastRow="0" w:firstColumn="1" w:lastColumn="0" w:noHBand="0" w:noVBand="1"/>
        <w:tblDescription w:val="Maximum distribution per calendar year by Area in hectares (ha)"/>
      </w:tblPr>
      <w:tblGrid>
        <w:gridCol w:w="2903"/>
        <w:gridCol w:w="6638"/>
      </w:tblGrid>
      <w:tr w:rsidR="009E57A4" w:rsidRPr="001228DC" w14:paraId="5A8D5C37" w14:textId="77777777" w:rsidTr="00A64BCD">
        <w:trPr>
          <w:trHeight w:val="408"/>
          <w:tblCellSpacing w:w="15" w:type="dxa"/>
        </w:trPr>
        <w:tc>
          <w:tcPr>
            <w:tcW w:w="0" w:type="auto"/>
            <w:tcBorders>
              <w:top w:val="nil"/>
              <w:left w:val="nil"/>
              <w:bottom w:val="nil"/>
              <w:right w:val="nil"/>
            </w:tcBorders>
            <w:shd w:val="clear" w:color="auto" w:fill="333333"/>
            <w:tcMar>
              <w:top w:w="120" w:type="dxa"/>
              <w:left w:w="120" w:type="dxa"/>
              <w:bottom w:w="120" w:type="dxa"/>
              <w:right w:w="120" w:type="dxa"/>
            </w:tcMar>
            <w:vAlign w:val="bottom"/>
            <w:hideMark/>
          </w:tcPr>
          <w:p w14:paraId="5F533013" w14:textId="77777777" w:rsidR="001C0068" w:rsidRPr="001228DC" w:rsidRDefault="001C0068" w:rsidP="001228DC">
            <w:pPr>
              <w:rPr>
                <w:rFonts w:eastAsia="Times New Roman"/>
                <w:b/>
                <w:bCs/>
                <w:color w:val="FFFFFF"/>
              </w:rPr>
            </w:pPr>
            <w:r>
              <w:rPr>
                <w:b/>
                <w:bCs/>
                <w:color w:val="FFFFFF"/>
              </w:rPr>
              <w:t>Superficie (ha)</w:t>
            </w:r>
          </w:p>
        </w:tc>
        <w:tc>
          <w:tcPr>
            <w:tcW w:w="0" w:type="auto"/>
            <w:tcBorders>
              <w:top w:val="nil"/>
              <w:left w:val="nil"/>
              <w:bottom w:val="nil"/>
              <w:right w:val="nil"/>
            </w:tcBorders>
            <w:shd w:val="clear" w:color="auto" w:fill="333333"/>
            <w:tcMar>
              <w:top w:w="120" w:type="dxa"/>
              <w:left w:w="120" w:type="dxa"/>
              <w:bottom w:w="120" w:type="dxa"/>
              <w:right w:w="120" w:type="dxa"/>
            </w:tcMar>
            <w:vAlign w:val="bottom"/>
            <w:hideMark/>
          </w:tcPr>
          <w:p w14:paraId="15683A32" w14:textId="20B8F27E" w:rsidR="001C0068" w:rsidRPr="001228DC" w:rsidRDefault="001C0068" w:rsidP="001228DC">
            <w:pPr>
              <w:rPr>
                <w:rFonts w:eastAsia="Times New Roman"/>
                <w:b/>
                <w:bCs/>
                <w:color w:val="FFFFFF"/>
              </w:rPr>
            </w:pPr>
            <w:r>
              <w:rPr>
                <w:b/>
                <w:bCs/>
                <w:color w:val="FFFFFF"/>
              </w:rPr>
              <w:t>Allocation maximale par année civile</w:t>
            </w:r>
          </w:p>
        </w:tc>
      </w:tr>
      <w:tr w:rsidR="009E57A4" w:rsidRPr="001228DC" w14:paraId="21BA7063" w14:textId="77777777" w:rsidTr="00A64BCD">
        <w:trPr>
          <w:trHeight w:val="423"/>
          <w:tblCellSpacing w:w="15" w:type="dxa"/>
        </w:trPr>
        <w:tc>
          <w:tcPr>
            <w:tcW w:w="0" w:type="auto"/>
            <w:tcBorders>
              <w:top w:val="single" w:sz="12" w:space="0" w:color="CFD3BC"/>
              <w:left w:val="nil"/>
              <w:bottom w:val="nil"/>
              <w:right w:val="nil"/>
            </w:tcBorders>
            <w:shd w:val="clear" w:color="auto" w:fill="F2F2ED"/>
            <w:tcMar>
              <w:top w:w="120" w:type="dxa"/>
              <w:left w:w="120" w:type="dxa"/>
              <w:bottom w:w="120" w:type="dxa"/>
              <w:right w:w="120" w:type="dxa"/>
            </w:tcMar>
            <w:vAlign w:val="bottom"/>
            <w:hideMark/>
          </w:tcPr>
          <w:p w14:paraId="7C1791D4" w14:textId="77777777" w:rsidR="001C0068" w:rsidRPr="001228DC" w:rsidRDefault="001C0068" w:rsidP="001228DC">
            <w:pPr>
              <w:rPr>
                <w:rFonts w:eastAsia="Times New Roman"/>
                <w:color w:val="222222"/>
              </w:rPr>
            </w:pPr>
            <w:r>
              <w:rPr>
                <w:color w:val="222222"/>
              </w:rPr>
              <w:t>≤25</w:t>
            </w:r>
          </w:p>
        </w:tc>
        <w:tc>
          <w:tcPr>
            <w:tcW w:w="0" w:type="auto"/>
            <w:tcBorders>
              <w:top w:val="single" w:sz="12" w:space="0" w:color="CFD3BC"/>
              <w:left w:val="nil"/>
              <w:bottom w:val="nil"/>
              <w:right w:val="nil"/>
            </w:tcBorders>
            <w:shd w:val="clear" w:color="auto" w:fill="F2F2ED"/>
            <w:tcMar>
              <w:top w:w="120" w:type="dxa"/>
              <w:left w:w="120" w:type="dxa"/>
              <w:bottom w:w="120" w:type="dxa"/>
              <w:right w:w="120" w:type="dxa"/>
            </w:tcMar>
            <w:vAlign w:val="bottom"/>
            <w:hideMark/>
          </w:tcPr>
          <w:p w14:paraId="2F4268C7" w14:textId="77777777" w:rsidR="001C0068" w:rsidRPr="001228DC" w:rsidRDefault="001C0068" w:rsidP="001228DC">
            <w:pPr>
              <w:rPr>
                <w:rFonts w:eastAsia="Times New Roman"/>
                <w:color w:val="222222"/>
              </w:rPr>
            </w:pPr>
            <w:r>
              <w:rPr>
                <w:color w:val="222222"/>
              </w:rPr>
              <w:t>50 000 $</w:t>
            </w:r>
          </w:p>
        </w:tc>
      </w:tr>
      <w:tr w:rsidR="009E57A4" w:rsidRPr="001228DC" w14:paraId="54AA6620" w14:textId="77777777" w:rsidTr="00A64BCD">
        <w:trPr>
          <w:trHeight w:val="408"/>
          <w:tblCellSpacing w:w="15" w:type="dxa"/>
        </w:trPr>
        <w:tc>
          <w:tcPr>
            <w:tcW w:w="0" w:type="auto"/>
            <w:tcBorders>
              <w:top w:val="single" w:sz="12" w:space="0" w:color="CFD3BC"/>
              <w:left w:val="nil"/>
              <w:bottom w:val="nil"/>
              <w:right w:val="nil"/>
            </w:tcBorders>
            <w:shd w:val="clear" w:color="auto" w:fill="F2F2ED"/>
            <w:tcMar>
              <w:top w:w="120" w:type="dxa"/>
              <w:left w:w="120" w:type="dxa"/>
              <w:bottom w:w="120" w:type="dxa"/>
              <w:right w:w="120" w:type="dxa"/>
            </w:tcMar>
            <w:vAlign w:val="bottom"/>
            <w:hideMark/>
          </w:tcPr>
          <w:p w14:paraId="0876547E" w14:textId="77777777" w:rsidR="001C0068" w:rsidRPr="001228DC" w:rsidRDefault="001C0068" w:rsidP="001228DC">
            <w:pPr>
              <w:rPr>
                <w:rFonts w:eastAsia="Times New Roman"/>
                <w:color w:val="222222"/>
              </w:rPr>
            </w:pPr>
            <w:r>
              <w:rPr>
                <w:color w:val="222222"/>
              </w:rPr>
              <w:t>&gt;25 à ≤100</w:t>
            </w:r>
          </w:p>
        </w:tc>
        <w:tc>
          <w:tcPr>
            <w:tcW w:w="0" w:type="auto"/>
            <w:tcBorders>
              <w:top w:val="single" w:sz="12" w:space="0" w:color="CFD3BC"/>
              <w:left w:val="nil"/>
              <w:bottom w:val="nil"/>
              <w:right w:val="nil"/>
            </w:tcBorders>
            <w:shd w:val="clear" w:color="auto" w:fill="F2F2ED"/>
            <w:tcMar>
              <w:top w:w="120" w:type="dxa"/>
              <w:left w:w="120" w:type="dxa"/>
              <w:bottom w:w="120" w:type="dxa"/>
              <w:right w:w="120" w:type="dxa"/>
            </w:tcMar>
            <w:vAlign w:val="bottom"/>
            <w:hideMark/>
          </w:tcPr>
          <w:p w14:paraId="3E942709" w14:textId="77777777" w:rsidR="001C0068" w:rsidRPr="001228DC" w:rsidRDefault="001C0068" w:rsidP="001228DC">
            <w:pPr>
              <w:rPr>
                <w:rFonts w:eastAsia="Times New Roman"/>
                <w:color w:val="222222"/>
              </w:rPr>
            </w:pPr>
            <w:r>
              <w:rPr>
                <w:color w:val="222222"/>
              </w:rPr>
              <w:t>100 000 $</w:t>
            </w:r>
          </w:p>
        </w:tc>
      </w:tr>
      <w:tr w:rsidR="009E57A4" w:rsidRPr="001228DC" w14:paraId="590077D8" w14:textId="77777777" w:rsidTr="00A64BCD">
        <w:trPr>
          <w:trHeight w:val="408"/>
          <w:tblCellSpacing w:w="15" w:type="dxa"/>
        </w:trPr>
        <w:tc>
          <w:tcPr>
            <w:tcW w:w="0" w:type="auto"/>
            <w:tcBorders>
              <w:top w:val="single" w:sz="12" w:space="0" w:color="CFD3BC"/>
              <w:left w:val="nil"/>
              <w:bottom w:val="nil"/>
              <w:right w:val="nil"/>
            </w:tcBorders>
            <w:shd w:val="clear" w:color="auto" w:fill="F2F2ED"/>
            <w:tcMar>
              <w:top w:w="120" w:type="dxa"/>
              <w:left w:w="120" w:type="dxa"/>
              <w:bottom w:w="120" w:type="dxa"/>
              <w:right w:w="120" w:type="dxa"/>
            </w:tcMar>
            <w:vAlign w:val="bottom"/>
            <w:hideMark/>
          </w:tcPr>
          <w:p w14:paraId="281CBC02" w14:textId="77777777" w:rsidR="001C0068" w:rsidRPr="001228DC" w:rsidRDefault="001C0068" w:rsidP="001228DC">
            <w:pPr>
              <w:rPr>
                <w:rFonts w:eastAsia="Times New Roman"/>
                <w:color w:val="222222"/>
              </w:rPr>
            </w:pPr>
            <w:r>
              <w:rPr>
                <w:color w:val="222222"/>
              </w:rPr>
              <w:t>&gt;100</w:t>
            </w:r>
          </w:p>
        </w:tc>
        <w:tc>
          <w:tcPr>
            <w:tcW w:w="0" w:type="auto"/>
            <w:tcBorders>
              <w:top w:val="single" w:sz="12" w:space="0" w:color="CFD3BC"/>
              <w:left w:val="nil"/>
              <w:bottom w:val="nil"/>
              <w:right w:val="nil"/>
            </w:tcBorders>
            <w:shd w:val="clear" w:color="auto" w:fill="F2F2ED"/>
            <w:tcMar>
              <w:top w:w="120" w:type="dxa"/>
              <w:left w:w="120" w:type="dxa"/>
              <w:bottom w:w="120" w:type="dxa"/>
              <w:right w:w="120" w:type="dxa"/>
            </w:tcMar>
            <w:vAlign w:val="bottom"/>
            <w:hideMark/>
          </w:tcPr>
          <w:p w14:paraId="71655F28" w14:textId="77777777" w:rsidR="001C0068" w:rsidRPr="001228DC" w:rsidRDefault="001C0068" w:rsidP="001228DC">
            <w:pPr>
              <w:rPr>
                <w:rFonts w:eastAsia="Times New Roman"/>
                <w:color w:val="222222"/>
              </w:rPr>
            </w:pPr>
            <w:r>
              <w:rPr>
                <w:color w:val="222222"/>
              </w:rPr>
              <w:t>150 000 $</w:t>
            </w:r>
          </w:p>
        </w:tc>
      </w:tr>
    </w:tbl>
    <w:p w14:paraId="177C0218" w14:textId="77777777" w:rsidR="00331976" w:rsidRPr="001228DC" w:rsidRDefault="00331976" w:rsidP="001228DC"/>
    <w:p w14:paraId="2B0BA019" w14:textId="77777777" w:rsidR="002B3B3F" w:rsidRPr="00506842" w:rsidRDefault="002B3B3F" w:rsidP="00AD4A96">
      <w:pPr>
        <w:pStyle w:val="Heading1"/>
        <w:spacing w:after="240"/>
        <w:rPr>
          <w:rFonts w:eastAsia="Times New Roman"/>
        </w:rPr>
      </w:pPr>
      <w:bookmarkStart w:id="8" w:name="_Toc92365369"/>
      <w:bookmarkStart w:id="9" w:name="_Toc114482292"/>
      <w:r>
        <w:t>Propriété et chef des travaux d’évaluation</w:t>
      </w:r>
      <w:bookmarkEnd w:id="8"/>
      <w:bookmarkEnd w:id="9"/>
    </w:p>
    <w:p w14:paraId="234DDDDB" w14:textId="04C07EB5" w:rsidR="002B3B3F" w:rsidRPr="00A33E90" w:rsidRDefault="002B3B3F" w:rsidP="001228DC">
      <w:pPr>
        <w:rPr>
          <w:rFonts w:ascii="Arial" w:hAnsi="Arial" w:cs="Arial"/>
          <w:sz w:val="24"/>
          <w:szCs w:val="24"/>
        </w:rPr>
      </w:pPr>
      <w:r>
        <w:rPr>
          <w:rFonts w:ascii="Arial" w:hAnsi="Arial"/>
          <w:sz w:val="24"/>
          <w:szCs w:val="24"/>
        </w:rPr>
        <w:t>Les crédits de travail d’évaluation provenant de la réserve pour les terrains miniers ne peuvent pas être distribués à un claim minier continu, sauf si les terrains :</w:t>
      </w:r>
    </w:p>
    <w:p w14:paraId="7D44D646" w14:textId="77777777" w:rsidR="002B3B3F" w:rsidRPr="00000B11" w:rsidRDefault="002B3B3F" w:rsidP="00913B77">
      <w:pPr>
        <w:pStyle w:val="ListParagraph"/>
        <w:numPr>
          <w:ilvl w:val="0"/>
          <w:numId w:val="2"/>
        </w:numPr>
        <w:rPr>
          <w:rFonts w:ascii="Arial" w:eastAsia="Times New Roman" w:hAnsi="Arial" w:cs="Arial"/>
          <w:sz w:val="24"/>
          <w:szCs w:val="24"/>
        </w:rPr>
      </w:pPr>
      <w:r>
        <w:rPr>
          <w:rFonts w:ascii="Arial" w:hAnsi="Arial"/>
          <w:sz w:val="24"/>
          <w:szCs w:val="24"/>
        </w:rPr>
        <w:t xml:space="preserve">soit ont le même titulaire ou propriétaire, </w:t>
      </w:r>
    </w:p>
    <w:p w14:paraId="54DD32B7" w14:textId="77777777" w:rsidR="002B3B3F" w:rsidRPr="00000B11" w:rsidRDefault="002B3B3F" w:rsidP="00913B77">
      <w:pPr>
        <w:pStyle w:val="ListParagraph"/>
        <w:numPr>
          <w:ilvl w:val="0"/>
          <w:numId w:val="2"/>
        </w:numPr>
        <w:rPr>
          <w:rFonts w:ascii="Arial" w:eastAsia="Times New Roman" w:hAnsi="Arial" w:cs="Arial"/>
          <w:sz w:val="24"/>
          <w:szCs w:val="24"/>
        </w:rPr>
      </w:pPr>
      <w:r>
        <w:rPr>
          <w:rFonts w:ascii="Arial" w:hAnsi="Arial"/>
          <w:sz w:val="24"/>
          <w:szCs w:val="24"/>
        </w:rPr>
        <w:t xml:space="preserve">soit ont au moins un titulaire ou propriétaire en commun, si un groupe de personnes est le titulaire ou propriétaire des claims ou des terrains; </w:t>
      </w:r>
    </w:p>
    <w:p w14:paraId="44EF76EA" w14:textId="77777777" w:rsidR="002B3B3F" w:rsidRPr="00000B11" w:rsidRDefault="002B3B3F" w:rsidP="00913B77">
      <w:pPr>
        <w:pStyle w:val="ListParagraph"/>
        <w:numPr>
          <w:ilvl w:val="0"/>
          <w:numId w:val="2"/>
        </w:numPr>
        <w:rPr>
          <w:rFonts w:ascii="Arial" w:eastAsia="Times New Roman" w:hAnsi="Arial" w:cs="Arial"/>
          <w:sz w:val="24"/>
          <w:szCs w:val="24"/>
        </w:rPr>
      </w:pPr>
      <w:r>
        <w:rPr>
          <w:rFonts w:ascii="Arial" w:hAnsi="Arial"/>
          <w:sz w:val="24"/>
          <w:szCs w:val="24"/>
        </w:rPr>
        <w:t>soit ont le même chef des travaux d’évaluation nommé.</w:t>
      </w:r>
    </w:p>
    <w:p w14:paraId="2433B050" w14:textId="285F5B0C" w:rsidR="007321B4" w:rsidRPr="00506842" w:rsidRDefault="007321B4" w:rsidP="00AD4A96">
      <w:pPr>
        <w:pStyle w:val="Heading1"/>
        <w:spacing w:after="240"/>
        <w:rPr>
          <w:rFonts w:eastAsiaTheme="minorEastAsia"/>
        </w:rPr>
      </w:pPr>
      <w:bookmarkStart w:id="10" w:name="_Toc92365370"/>
      <w:bookmarkStart w:id="11" w:name="_Toc114482293"/>
      <w:r>
        <w:t>Contiguïté des claims miniers</w:t>
      </w:r>
      <w:bookmarkEnd w:id="10"/>
      <w:bookmarkEnd w:id="11"/>
      <w:r>
        <w:t xml:space="preserve"> </w:t>
      </w:r>
    </w:p>
    <w:p w14:paraId="6DFFB72A" w14:textId="5C63FCB7" w:rsidR="007321B4" w:rsidRPr="00A33E90" w:rsidRDefault="007321B4" w:rsidP="001228DC">
      <w:pPr>
        <w:rPr>
          <w:rFonts w:ascii="Arial" w:hAnsi="Arial" w:cs="Arial"/>
          <w:sz w:val="24"/>
          <w:szCs w:val="24"/>
        </w:rPr>
      </w:pPr>
      <w:r>
        <w:rPr>
          <w:rFonts w:ascii="Arial" w:hAnsi="Arial"/>
          <w:sz w:val="24"/>
          <w:szCs w:val="24"/>
          <w:shd w:val="clear" w:color="auto" w:fill="FFFFFF"/>
        </w:rPr>
        <w:t xml:space="preserve">Les claims miniers sont contigus si les cellules de la grille provinciale dans lesquelles ils sont situés sont contiguës </w:t>
      </w:r>
      <w:bookmarkStart w:id="12" w:name="_Hlk57624651"/>
      <w:r>
        <w:rPr>
          <w:rFonts w:ascii="Arial" w:hAnsi="Arial"/>
          <w:sz w:val="24"/>
          <w:szCs w:val="24"/>
          <w:shd w:val="clear" w:color="auto" w:fill="FFFFFF"/>
        </w:rPr>
        <w:t>au sens du paragraphe 17 (4) du Règlement.</w:t>
      </w:r>
      <w:r>
        <w:rPr>
          <w:rFonts w:ascii="Arial" w:hAnsi="Arial"/>
          <w:b/>
          <w:sz w:val="24"/>
          <w:szCs w:val="24"/>
        </w:rPr>
        <w:t xml:space="preserve">               </w:t>
      </w:r>
    </w:p>
    <w:bookmarkEnd w:id="12"/>
    <w:p w14:paraId="5427408B" w14:textId="703BC725" w:rsidR="00952A00" w:rsidRPr="00A33E90" w:rsidRDefault="00952A00" w:rsidP="001228DC">
      <w:pPr>
        <w:rPr>
          <w:rFonts w:ascii="Arial" w:hAnsi="Arial" w:cs="Arial"/>
          <w:sz w:val="24"/>
          <w:szCs w:val="24"/>
        </w:rPr>
      </w:pPr>
      <w:r>
        <w:rPr>
          <w:rFonts w:ascii="Arial" w:hAnsi="Arial"/>
          <w:sz w:val="24"/>
          <w:szCs w:val="24"/>
        </w:rPr>
        <w:lastRenderedPageBreak/>
        <w:t xml:space="preserve">Aux fins de l’allocation des crédits de travail d’évaluation </w:t>
      </w:r>
      <w:r>
        <w:rPr>
          <w:rFonts w:ascii="Arial" w:hAnsi="Arial"/>
          <w:sz w:val="24"/>
          <w:szCs w:val="24"/>
          <w:shd w:val="clear" w:color="auto" w:fill="FFFFFF"/>
        </w:rPr>
        <w:t xml:space="preserve">à partir d’une réserve d’un claim minier (fournisseur) à un autre claim minier contigu (receveur), </w:t>
      </w:r>
      <w:r>
        <w:rPr>
          <w:rFonts w:ascii="Arial" w:hAnsi="Arial"/>
          <w:sz w:val="24"/>
          <w:szCs w:val="24"/>
        </w:rPr>
        <w:t>la contiguïté est considérée comme étant établie lorsque</w:t>
      </w:r>
      <w:r>
        <w:rPr>
          <w:rFonts w:ascii="Arial" w:hAnsi="Arial"/>
          <w:color w:val="505050"/>
          <w:sz w:val="24"/>
          <w:szCs w:val="24"/>
          <w:shd w:val="clear" w:color="auto" w:fill="FFFFFF"/>
        </w:rPr>
        <w:t xml:space="preserve"> </w:t>
      </w:r>
      <w:r>
        <w:rPr>
          <w:rFonts w:ascii="Arial" w:hAnsi="Arial"/>
          <w:sz w:val="24"/>
          <w:szCs w:val="24"/>
        </w:rPr>
        <w:t>les cellules de la grille provinciale dans lesquelles les claims miniers (y compris les claims sur cellule mixte) sont situés sont contigus de l’une des façons suivantes :</w:t>
      </w:r>
    </w:p>
    <w:p w14:paraId="773E7416" w14:textId="3FB5A274" w:rsidR="00DB6475" w:rsidRPr="00000B11" w:rsidRDefault="00A64BCD" w:rsidP="00913B77">
      <w:pPr>
        <w:pStyle w:val="ListParagraph"/>
        <w:numPr>
          <w:ilvl w:val="0"/>
          <w:numId w:val="3"/>
        </w:numPr>
        <w:rPr>
          <w:rFonts w:ascii="Arial" w:hAnsi="Arial" w:cs="Arial"/>
          <w:sz w:val="24"/>
          <w:szCs w:val="24"/>
          <w:shd w:val="clear" w:color="auto" w:fill="FFFFFF"/>
        </w:rPr>
      </w:pPr>
      <w:r>
        <w:rPr>
          <w:rFonts w:ascii="Arial" w:hAnsi="Arial"/>
          <w:sz w:val="24"/>
          <w:szCs w:val="24"/>
          <w:shd w:val="clear" w:color="auto" w:fill="FFFFFF"/>
        </w:rPr>
        <w:t xml:space="preserve">Les cellules se touchent par au moins un côté ou au moins un coin (figure 1). </w:t>
      </w:r>
    </w:p>
    <w:p w14:paraId="240BD34B" w14:textId="66311B2C" w:rsidR="00DB6475" w:rsidRPr="001228DC" w:rsidRDefault="00DB6475" w:rsidP="001228DC">
      <w:r>
        <w:rPr>
          <w:noProof/>
        </w:rPr>
        <w:drawing>
          <wp:inline distT="0" distB="0" distL="0" distR="0" wp14:anchorId="1B5EB5E0" wp14:editId="5905096C">
            <wp:extent cx="5220000" cy="3600000"/>
            <wp:effectExtent l="0" t="0" r="0" b="635"/>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20000" cy="3600000"/>
                    </a:xfrm>
                    <a:prstGeom prst="rect">
                      <a:avLst/>
                    </a:prstGeom>
                    <a:noFill/>
                    <a:ln>
                      <a:noFill/>
                    </a:ln>
                  </pic:spPr>
                </pic:pic>
              </a:graphicData>
            </a:graphic>
          </wp:inline>
        </w:drawing>
      </w:r>
    </w:p>
    <w:p w14:paraId="7249A74F" w14:textId="2A8ED716" w:rsidR="009E57A4" w:rsidRPr="00A33E90" w:rsidRDefault="009E57A4" w:rsidP="001228DC">
      <w:pPr>
        <w:rPr>
          <w:rFonts w:ascii="Arial" w:hAnsi="Arial" w:cs="Arial"/>
          <w:sz w:val="24"/>
          <w:szCs w:val="24"/>
        </w:rPr>
      </w:pPr>
      <w:r>
        <w:rPr>
          <w:rFonts w:ascii="Arial" w:hAnsi="Arial"/>
          <w:sz w:val="24"/>
          <w:szCs w:val="24"/>
        </w:rPr>
        <w:t xml:space="preserve">Figure 1 : La cellule A (claim fournisseur) est contiguë à la cellule B (claim receveur) et à la cellule C (claim receveur).  La cellule A touche la cellule B par un côté. La cellule A touche la cellule C </w:t>
      </w:r>
      <w:r>
        <w:rPr>
          <w:rFonts w:ascii="Arial" w:hAnsi="Arial"/>
          <w:sz w:val="24"/>
          <w:szCs w:val="24"/>
          <w:shd w:val="clear" w:color="auto" w:fill="FFFFFF"/>
        </w:rPr>
        <w:t>par un coin.</w:t>
      </w:r>
    </w:p>
    <w:p w14:paraId="0D15BC19" w14:textId="595E004F" w:rsidR="007321B4" w:rsidRPr="00000B11" w:rsidRDefault="00A64BCD" w:rsidP="00913B77">
      <w:pPr>
        <w:pStyle w:val="ListParagraph"/>
        <w:numPr>
          <w:ilvl w:val="0"/>
          <w:numId w:val="3"/>
        </w:numPr>
        <w:rPr>
          <w:rFonts w:ascii="Arial" w:hAnsi="Arial" w:cs="Arial"/>
          <w:sz w:val="24"/>
          <w:szCs w:val="24"/>
        </w:rPr>
      </w:pPr>
      <w:r>
        <w:rPr>
          <w:rFonts w:ascii="Arial" w:hAnsi="Arial"/>
          <w:sz w:val="24"/>
          <w:szCs w:val="24"/>
          <w:shd w:val="clear" w:color="auto" w:fill="FFFFFF"/>
        </w:rPr>
        <w:t>Des cellules sont contiguës même si elles ne se touchent pas si elles sont reliées par une ou plusieurs cellules qui se touchent par au moins un côté ou au moins un coin (figure 2).</w:t>
      </w:r>
    </w:p>
    <w:p w14:paraId="03E150FB" w14:textId="71C26731" w:rsidR="007321B4" w:rsidRPr="001228DC" w:rsidRDefault="007321B4" w:rsidP="001228DC">
      <w:r>
        <w:rPr>
          <w:noProof/>
        </w:rPr>
        <w:lastRenderedPageBreak/>
        <w:drawing>
          <wp:inline distT="0" distB="0" distL="0" distR="0" wp14:anchorId="092DDA98" wp14:editId="1E8B18A6">
            <wp:extent cx="5220000" cy="3600000"/>
            <wp:effectExtent l="0" t="0" r="0" b="63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0000" cy="3600000"/>
                    </a:xfrm>
                    <a:prstGeom prst="rect">
                      <a:avLst/>
                    </a:prstGeom>
                    <a:noFill/>
                    <a:ln>
                      <a:noFill/>
                    </a:ln>
                  </pic:spPr>
                </pic:pic>
              </a:graphicData>
            </a:graphic>
          </wp:inline>
        </w:drawing>
      </w:r>
    </w:p>
    <w:p w14:paraId="0D2D1600" w14:textId="67C79B3E" w:rsidR="007321B4" w:rsidRPr="00A33E90" w:rsidRDefault="007321B4" w:rsidP="001228DC">
      <w:pPr>
        <w:rPr>
          <w:rFonts w:ascii="Arial" w:hAnsi="Arial" w:cs="Arial"/>
          <w:sz w:val="24"/>
          <w:szCs w:val="24"/>
        </w:rPr>
      </w:pPr>
      <w:r>
        <w:rPr>
          <w:rFonts w:ascii="Arial" w:hAnsi="Arial"/>
          <w:sz w:val="24"/>
          <w:szCs w:val="24"/>
        </w:rPr>
        <w:t xml:space="preserve">Figure 2 :  La cellule A (claim fournisseur) est contiguë à la cellule D (claim receveur).  La cellule A touche un côté de la cellule B et celle-ci touche un coin de la cellule D. </w:t>
      </w:r>
    </w:p>
    <w:p w14:paraId="762F6699" w14:textId="6D34AE01" w:rsidR="007321B4" w:rsidRPr="00506842" w:rsidRDefault="007321B4" w:rsidP="00AD4A96">
      <w:pPr>
        <w:pStyle w:val="Heading1"/>
        <w:spacing w:after="240"/>
        <w:rPr>
          <w:rFonts w:eastAsiaTheme="minorEastAsia"/>
        </w:rPr>
      </w:pPr>
      <w:bookmarkStart w:id="13" w:name="_Toc92365371"/>
      <w:bookmarkStart w:id="14" w:name="_Toc114482294"/>
      <w:r>
        <w:t>Contiguïté des terrains miniers</w:t>
      </w:r>
      <w:bookmarkEnd w:id="13"/>
      <w:bookmarkEnd w:id="14"/>
    </w:p>
    <w:p w14:paraId="02A5B1D8" w14:textId="19044F1E" w:rsidR="00C527BC" w:rsidRPr="00A07071" w:rsidRDefault="007321B4" w:rsidP="001228DC">
      <w:pPr>
        <w:rPr>
          <w:rFonts w:ascii="Arial" w:hAnsi="Arial" w:cs="Arial"/>
          <w:sz w:val="24"/>
          <w:szCs w:val="24"/>
          <w:shd w:val="clear" w:color="auto" w:fill="FFFFFF"/>
        </w:rPr>
      </w:pPr>
      <w:r>
        <w:rPr>
          <w:rFonts w:ascii="Arial" w:hAnsi="Arial"/>
          <w:sz w:val="24"/>
          <w:szCs w:val="24"/>
          <w:shd w:val="clear" w:color="auto" w:fill="FFFFFF"/>
        </w:rPr>
        <w:t>Les terrains miniers (y compris les claims miniers et les terrains miniers qui ne sont pas des claims) sont contigus s’ils satisfont aux règles de contiguïté décrites dans les paragraphes 17 (4), (5) et (6) du Règlement.</w:t>
      </w:r>
      <w:r>
        <w:rPr>
          <w:rFonts w:ascii="Arial" w:hAnsi="Arial"/>
          <w:b/>
          <w:sz w:val="24"/>
          <w:szCs w:val="24"/>
          <w:shd w:val="clear" w:color="auto" w:fill="FFFFFF"/>
        </w:rPr>
        <w:t xml:space="preserve">  </w:t>
      </w:r>
      <w:r>
        <w:rPr>
          <w:rFonts w:ascii="Arial" w:hAnsi="Arial"/>
          <w:sz w:val="24"/>
          <w:szCs w:val="24"/>
        </w:rPr>
        <w:t xml:space="preserve">Aux fins de l’allocation des crédits de travail d’évaluation de la réserve </w:t>
      </w:r>
      <w:r>
        <w:rPr>
          <w:rFonts w:ascii="Arial" w:hAnsi="Arial"/>
          <w:sz w:val="24"/>
          <w:szCs w:val="24"/>
          <w:shd w:val="clear" w:color="auto" w:fill="FFFFFF"/>
        </w:rPr>
        <w:t xml:space="preserve">de terrains miniers qui ne sont pas des claims à un claim minier contigu, la contiguïté est considérée comme étant établie si :  </w:t>
      </w:r>
    </w:p>
    <w:p w14:paraId="0C8993E6" w14:textId="76A01779" w:rsidR="00D77F2B" w:rsidRPr="00FE0D85" w:rsidRDefault="00683CE7" w:rsidP="00FE0D85">
      <w:pPr>
        <w:pStyle w:val="ListParagraph"/>
        <w:numPr>
          <w:ilvl w:val="0"/>
          <w:numId w:val="10"/>
        </w:numPr>
        <w:rPr>
          <w:rFonts w:ascii="Arial" w:eastAsia="Times New Roman" w:hAnsi="Arial" w:cs="Arial"/>
          <w:sz w:val="24"/>
          <w:szCs w:val="24"/>
        </w:rPr>
      </w:pPr>
      <w:bookmarkStart w:id="15" w:name="_Hlk83118696"/>
      <w:r>
        <w:rPr>
          <w:rFonts w:ascii="Arial" w:hAnsi="Arial"/>
          <w:sz w:val="24"/>
          <w:szCs w:val="24"/>
        </w:rPr>
        <w:t>les terrains miniers sont situés</w:t>
      </w:r>
      <w:bookmarkEnd w:id="15"/>
      <w:r>
        <w:rPr>
          <w:rFonts w:ascii="Arial" w:hAnsi="Arial"/>
          <w:sz w:val="24"/>
          <w:szCs w:val="24"/>
        </w:rPr>
        <w:t> :</w:t>
      </w:r>
    </w:p>
    <w:p w14:paraId="05E8D5F4" w14:textId="6F3722FD" w:rsidR="00683CE7" w:rsidRPr="00FE0D85" w:rsidRDefault="00683CE7" w:rsidP="00FE0D85">
      <w:pPr>
        <w:pStyle w:val="ListParagraph"/>
        <w:numPr>
          <w:ilvl w:val="0"/>
          <w:numId w:val="9"/>
        </w:numPr>
        <w:rPr>
          <w:rFonts w:ascii="Arial" w:eastAsia="Times New Roman" w:hAnsi="Arial" w:cs="Arial"/>
          <w:sz w:val="24"/>
          <w:szCs w:val="24"/>
        </w:rPr>
      </w:pPr>
      <w:r>
        <w:rPr>
          <w:rFonts w:ascii="Arial" w:hAnsi="Arial"/>
          <w:sz w:val="24"/>
          <w:szCs w:val="24"/>
        </w:rPr>
        <w:t>dans la même cellule que le claim minier (figure 3).</w:t>
      </w:r>
    </w:p>
    <w:p w14:paraId="6D70987A" w14:textId="789B0775" w:rsidR="00162B1E" w:rsidRPr="001228DC" w:rsidRDefault="00162B1E" w:rsidP="001228DC">
      <w:pPr>
        <w:rPr>
          <w:rFonts w:eastAsia="Times New Roman"/>
          <w:lang w:eastAsia="en-CA"/>
        </w:rPr>
      </w:pPr>
    </w:p>
    <w:p w14:paraId="07883391" w14:textId="77777777" w:rsidR="00A07071" w:rsidRDefault="00A07071" w:rsidP="001228DC">
      <w:pPr>
        <w:rPr>
          <w:noProof/>
        </w:rPr>
      </w:pPr>
    </w:p>
    <w:p w14:paraId="6E7A1B7F" w14:textId="0A29FAD3" w:rsidR="00EB7945" w:rsidRPr="001228DC" w:rsidRDefault="00EB7945" w:rsidP="001228DC">
      <w:pPr>
        <w:rPr>
          <w:rFonts w:eastAsia="Times New Roman"/>
        </w:rPr>
      </w:pPr>
      <w:r>
        <w:rPr>
          <w:noProof/>
        </w:rPr>
        <w:lastRenderedPageBreak/>
        <w:drawing>
          <wp:inline distT="0" distB="0" distL="0" distR="0" wp14:anchorId="2983DDC5" wp14:editId="602757AE">
            <wp:extent cx="5220000" cy="3600000"/>
            <wp:effectExtent l="0" t="0" r="0" b="635"/>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rotWithShape="1">
                    <a:blip r:embed="rId18">
                      <a:extLst>
                        <a:ext uri="{28A0092B-C50C-407E-A947-70E740481C1C}">
                          <a14:useLocalDpi xmlns:a14="http://schemas.microsoft.com/office/drawing/2010/main" val="0"/>
                        </a:ext>
                      </a:extLst>
                    </a:blip>
                    <a:srcRect r="10080" b="-18"/>
                    <a:stretch/>
                  </pic:blipFill>
                  <pic:spPr bwMode="auto">
                    <a:xfrm>
                      <a:off x="0" y="0"/>
                      <a:ext cx="5220000" cy="3600000"/>
                    </a:xfrm>
                    <a:prstGeom prst="rect">
                      <a:avLst/>
                    </a:prstGeom>
                    <a:noFill/>
                    <a:ln>
                      <a:noFill/>
                    </a:ln>
                    <a:extLst>
                      <a:ext uri="{53640926-AAD7-44D8-BBD7-CCE9431645EC}">
                        <a14:shadowObscured xmlns:a14="http://schemas.microsoft.com/office/drawing/2010/main"/>
                      </a:ext>
                    </a:extLst>
                  </pic:spPr>
                </pic:pic>
              </a:graphicData>
            </a:graphic>
          </wp:inline>
        </w:drawing>
      </w:r>
    </w:p>
    <w:p w14:paraId="7F577BE5" w14:textId="109BBDDF" w:rsidR="00162B1E" w:rsidRPr="00A56F34" w:rsidRDefault="00162B1E" w:rsidP="001228DC">
      <w:pPr>
        <w:rPr>
          <w:rFonts w:ascii="Arial" w:hAnsi="Arial" w:cs="Arial"/>
          <w:noProof/>
          <w:sz w:val="24"/>
          <w:szCs w:val="24"/>
        </w:rPr>
      </w:pPr>
      <w:r>
        <w:rPr>
          <w:rFonts w:ascii="Arial" w:hAnsi="Arial"/>
          <w:sz w:val="24"/>
          <w:szCs w:val="24"/>
        </w:rPr>
        <w:t xml:space="preserve">Figure 3 : Les terrains miniers 1 (ML 1 [fournisseur]) sont contigus au claim A (receveur).  ML 1 ne touche pas le claim A, mais les deux se trouvent dans la même cellule. </w:t>
      </w:r>
    </w:p>
    <w:p w14:paraId="5064AE55" w14:textId="2E4AAAB4" w:rsidR="00683CE7" w:rsidRPr="00FE0D85" w:rsidRDefault="00683CE7" w:rsidP="00FE0D85">
      <w:pPr>
        <w:pStyle w:val="ListParagraph"/>
        <w:numPr>
          <w:ilvl w:val="0"/>
          <w:numId w:val="9"/>
        </w:numPr>
        <w:rPr>
          <w:rFonts w:ascii="Arial" w:hAnsi="Arial" w:cs="Arial"/>
          <w:sz w:val="24"/>
          <w:szCs w:val="24"/>
          <w:shd w:val="clear" w:color="auto" w:fill="FFFFFF"/>
        </w:rPr>
      </w:pPr>
      <w:r>
        <w:rPr>
          <w:rFonts w:ascii="Arial" w:hAnsi="Arial"/>
          <w:sz w:val="24"/>
          <w:szCs w:val="24"/>
        </w:rPr>
        <w:t xml:space="preserve">dans la même cellule qu’un autre claim minier qui est contigu au claim receveur en question, </w:t>
      </w:r>
      <w:r>
        <w:rPr>
          <w:rFonts w:ascii="Arial" w:hAnsi="Arial"/>
          <w:sz w:val="24"/>
          <w:szCs w:val="24"/>
          <w:shd w:val="clear" w:color="auto" w:fill="FFFFFF"/>
        </w:rPr>
        <w:t>relié par une ou plusieurs cellules qui se touchent par au moins un côté ou au moins un coin (figure 4).</w:t>
      </w:r>
    </w:p>
    <w:p w14:paraId="137B2EBB" w14:textId="77777777" w:rsidR="00ED736F" w:rsidRPr="001228DC" w:rsidRDefault="00ED736F" w:rsidP="001228DC">
      <w:pPr>
        <w:rPr>
          <w:shd w:val="clear" w:color="auto" w:fill="FFFFFF"/>
        </w:rPr>
      </w:pPr>
    </w:p>
    <w:p w14:paraId="618C1C5F" w14:textId="77777777" w:rsidR="00A07071" w:rsidRDefault="00A07071" w:rsidP="001228DC">
      <w:pPr>
        <w:rPr>
          <w:noProof/>
        </w:rPr>
      </w:pPr>
    </w:p>
    <w:p w14:paraId="3AAD7908" w14:textId="7D9F40F6" w:rsidR="00162B1E" w:rsidRPr="001228DC" w:rsidRDefault="0070440C" w:rsidP="001228DC">
      <w:pPr>
        <w:rPr>
          <w:shd w:val="clear" w:color="auto" w:fill="FFFFFF"/>
        </w:rPr>
      </w:pPr>
      <w:r>
        <w:rPr>
          <w:noProof/>
        </w:rPr>
        <w:lastRenderedPageBreak/>
        <w:drawing>
          <wp:inline distT="0" distB="0" distL="0" distR="0" wp14:anchorId="219587B6" wp14:editId="34DC4858">
            <wp:extent cx="5220000" cy="3600000"/>
            <wp:effectExtent l="0" t="0" r="0" b="635"/>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spect="1" noChangeArrowheads="1"/>
                    </pic:cNvPicPr>
                  </pic:nvPicPr>
                  <pic:blipFill rotWithShape="1">
                    <a:blip r:embed="rId19">
                      <a:extLst>
                        <a:ext uri="{28A0092B-C50C-407E-A947-70E740481C1C}">
                          <a14:useLocalDpi xmlns:a14="http://schemas.microsoft.com/office/drawing/2010/main" val="0"/>
                        </a:ext>
                      </a:extLst>
                    </a:blip>
                    <a:srcRect r="6458"/>
                    <a:stretch/>
                  </pic:blipFill>
                  <pic:spPr bwMode="auto">
                    <a:xfrm>
                      <a:off x="0" y="0"/>
                      <a:ext cx="5220000" cy="3600000"/>
                    </a:xfrm>
                    <a:prstGeom prst="rect">
                      <a:avLst/>
                    </a:prstGeom>
                    <a:noFill/>
                    <a:ln>
                      <a:noFill/>
                    </a:ln>
                    <a:extLst>
                      <a:ext uri="{53640926-AAD7-44D8-BBD7-CCE9431645EC}">
                        <a14:shadowObscured xmlns:a14="http://schemas.microsoft.com/office/drawing/2010/main"/>
                      </a:ext>
                    </a:extLst>
                  </pic:spPr>
                </pic:pic>
              </a:graphicData>
            </a:graphic>
          </wp:inline>
        </w:drawing>
      </w:r>
    </w:p>
    <w:p w14:paraId="558AE0C8" w14:textId="4BB574F9" w:rsidR="00682B58" w:rsidRPr="00A07071" w:rsidRDefault="00AA43E1" w:rsidP="001228DC">
      <w:pPr>
        <w:rPr>
          <w:rFonts w:ascii="Arial" w:hAnsi="Arial" w:cs="Arial"/>
          <w:sz w:val="24"/>
          <w:szCs w:val="24"/>
        </w:rPr>
      </w:pPr>
      <w:r>
        <w:rPr>
          <w:rFonts w:ascii="Arial" w:hAnsi="Arial"/>
          <w:sz w:val="24"/>
          <w:szCs w:val="24"/>
        </w:rPr>
        <w:t xml:space="preserve">Figure 4 :  Les terrains miniers 2 (ML 2 [fournisseur]) sont contigus au claim E (receveur).  ML 2 et le claim 1234 sont dans la même cellule, le claim 1234 touche la cellule F (claim F) par un côté et la cellule F touche le claim E par un coin. </w:t>
      </w:r>
    </w:p>
    <w:p w14:paraId="19E2D90C" w14:textId="18B0DB72" w:rsidR="00AA43E1" w:rsidRPr="00A07071" w:rsidRDefault="00682B58" w:rsidP="001228DC">
      <w:pPr>
        <w:rPr>
          <w:rFonts w:ascii="Arial" w:hAnsi="Arial" w:cs="Arial"/>
          <w:sz w:val="24"/>
          <w:szCs w:val="24"/>
        </w:rPr>
      </w:pPr>
      <w:r>
        <w:rPr>
          <w:rFonts w:ascii="Arial" w:hAnsi="Arial"/>
          <w:sz w:val="24"/>
          <w:szCs w:val="24"/>
        </w:rPr>
        <w:t xml:space="preserve">Note :  Le bas de la punaise indique l’emplacement des terrains miniers ou du claim minier. </w:t>
      </w:r>
    </w:p>
    <w:p w14:paraId="3314F8E2" w14:textId="4A1BAD47" w:rsidR="00A56F34" w:rsidRPr="00FE0D85" w:rsidRDefault="00A07071" w:rsidP="00FE0D85">
      <w:pPr>
        <w:pStyle w:val="ListParagraph"/>
        <w:numPr>
          <w:ilvl w:val="0"/>
          <w:numId w:val="10"/>
        </w:numPr>
        <w:rPr>
          <w:rFonts w:ascii="Arial" w:eastAsia="Times New Roman" w:hAnsi="Arial" w:cs="Arial"/>
          <w:sz w:val="24"/>
          <w:szCs w:val="24"/>
        </w:rPr>
      </w:pPr>
      <w:r>
        <w:rPr>
          <w:rFonts w:ascii="Arial" w:hAnsi="Arial"/>
          <w:sz w:val="24"/>
          <w:szCs w:val="24"/>
        </w:rPr>
        <w:t>Les limites des terrains miniers touchent les limites d’autres terrains miniers qui ne sont pas des claims et une partie de ces autres terrains miniers sont situés :</w:t>
      </w:r>
    </w:p>
    <w:p w14:paraId="05F837FC" w14:textId="31452FE7" w:rsidR="00683CE7" w:rsidRPr="00000B11" w:rsidRDefault="00683CE7" w:rsidP="00913B77">
      <w:pPr>
        <w:pStyle w:val="ListParagraph"/>
        <w:numPr>
          <w:ilvl w:val="0"/>
          <w:numId w:val="5"/>
        </w:numPr>
        <w:rPr>
          <w:rFonts w:ascii="Arial" w:eastAsia="Times New Roman" w:hAnsi="Arial" w:cs="Arial"/>
          <w:sz w:val="24"/>
          <w:szCs w:val="24"/>
        </w:rPr>
      </w:pPr>
      <w:r>
        <w:rPr>
          <w:rFonts w:ascii="Arial" w:hAnsi="Arial"/>
          <w:sz w:val="24"/>
          <w:szCs w:val="24"/>
        </w:rPr>
        <w:t xml:space="preserve"> dans la même cellule que le claim minier (figure 5).</w:t>
      </w:r>
      <w:r>
        <w:rPr>
          <w:rFonts w:ascii="Arial" w:hAnsi="Arial"/>
          <w:sz w:val="24"/>
          <w:szCs w:val="24"/>
        </w:rPr>
        <w:tab/>
      </w:r>
    </w:p>
    <w:p w14:paraId="53A56326" w14:textId="28EC5F26" w:rsidR="000B5768" w:rsidRPr="001228DC" w:rsidRDefault="000B5768" w:rsidP="001228DC">
      <w:pPr>
        <w:rPr>
          <w:rFonts w:eastAsia="Times New Roman"/>
          <w:lang w:eastAsia="en-CA"/>
        </w:rPr>
      </w:pPr>
    </w:p>
    <w:p w14:paraId="0F0B07E7" w14:textId="353AED41" w:rsidR="000B5768" w:rsidRPr="001228DC" w:rsidRDefault="000B5768" w:rsidP="001228DC">
      <w:pPr>
        <w:rPr>
          <w:rFonts w:eastAsia="Times New Roman"/>
          <w:lang w:eastAsia="en-CA"/>
        </w:rPr>
      </w:pPr>
    </w:p>
    <w:p w14:paraId="30ACA344" w14:textId="5A5A5B18" w:rsidR="000B5768" w:rsidRPr="001228DC" w:rsidRDefault="000B5768" w:rsidP="001228DC">
      <w:pPr>
        <w:rPr>
          <w:rFonts w:eastAsia="Times New Roman"/>
        </w:rPr>
      </w:pPr>
      <w:r>
        <w:rPr>
          <w:noProof/>
        </w:rPr>
        <w:lastRenderedPageBreak/>
        <w:drawing>
          <wp:inline distT="0" distB="0" distL="0" distR="0" wp14:anchorId="57658048" wp14:editId="6D309C13">
            <wp:extent cx="5220000" cy="3600000"/>
            <wp:effectExtent l="0" t="0" r="0" b="635"/>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0000" cy="3600000"/>
                    </a:xfrm>
                    <a:prstGeom prst="rect">
                      <a:avLst/>
                    </a:prstGeom>
                    <a:noFill/>
                    <a:ln>
                      <a:noFill/>
                    </a:ln>
                  </pic:spPr>
                </pic:pic>
              </a:graphicData>
            </a:graphic>
          </wp:inline>
        </w:drawing>
      </w:r>
    </w:p>
    <w:p w14:paraId="219AA19F" w14:textId="4508A30E" w:rsidR="000B5768" w:rsidRPr="00A56F34" w:rsidRDefault="000B5768" w:rsidP="001228DC">
      <w:pPr>
        <w:rPr>
          <w:rFonts w:ascii="Arial" w:hAnsi="Arial" w:cs="Arial"/>
          <w:sz w:val="24"/>
          <w:szCs w:val="24"/>
        </w:rPr>
      </w:pPr>
      <w:r>
        <w:rPr>
          <w:rFonts w:ascii="Arial" w:hAnsi="Arial"/>
          <w:sz w:val="24"/>
          <w:szCs w:val="24"/>
        </w:rPr>
        <w:t xml:space="preserve">Figure 5 : Les terrains miniers 4 (ML 4 [fournisseur]) sont contigus au claim 66 (receveur).  La limite de ML 4 touche la limite de ML 3 et une partie de ML 3 se trouve dans la même cellule que le claim 66.  </w:t>
      </w:r>
    </w:p>
    <w:p w14:paraId="1E886E21" w14:textId="23E239F1" w:rsidR="00683CE7" w:rsidRPr="00000B11" w:rsidRDefault="00683CE7" w:rsidP="00913B77">
      <w:pPr>
        <w:pStyle w:val="ListParagraph"/>
        <w:numPr>
          <w:ilvl w:val="0"/>
          <w:numId w:val="5"/>
        </w:numPr>
        <w:rPr>
          <w:rFonts w:ascii="Arial" w:eastAsia="Times New Roman" w:hAnsi="Arial" w:cs="Arial"/>
          <w:sz w:val="24"/>
          <w:szCs w:val="24"/>
        </w:rPr>
      </w:pPr>
      <w:r>
        <w:rPr>
          <w:rFonts w:ascii="Arial" w:hAnsi="Arial"/>
          <w:sz w:val="24"/>
          <w:szCs w:val="24"/>
        </w:rPr>
        <w:t>dans la même cellule qu’un autre claim minier qui est contigu au claim minier en question, relié par une ou plusieurs cellules qui se touchent par au moins un côté ou au moins un coin (figure 6).</w:t>
      </w:r>
    </w:p>
    <w:p w14:paraId="1C571758" w14:textId="518D4B74" w:rsidR="00952A00" w:rsidRPr="001228DC" w:rsidRDefault="008B340E" w:rsidP="001228DC">
      <w:r>
        <w:rPr>
          <w:noProof/>
        </w:rPr>
        <w:lastRenderedPageBreak/>
        <w:drawing>
          <wp:inline distT="0" distB="0" distL="0" distR="0" wp14:anchorId="1FB6CEF8" wp14:editId="633AB8D3">
            <wp:extent cx="5220000" cy="3600000"/>
            <wp:effectExtent l="0" t="0" r="0" b="63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20000" cy="3600000"/>
                    </a:xfrm>
                    <a:prstGeom prst="rect">
                      <a:avLst/>
                    </a:prstGeom>
                    <a:noFill/>
                    <a:ln>
                      <a:noFill/>
                    </a:ln>
                  </pic:spPr>
                </pic:pic>
              </a:graphicData>
            </a:graphic>
          </wp:inline>
        </w:drawing>
      </w:r>
    </w:p>
    <w:p w14:paraId="060D0364" w14:textId="7893E6F4" w:rsidR="001A59AA" w:rsidRPr="00A56F34" w:rsidRDefault="001A59AA" w:rsidP="001228DC">
      <w:pPr>
        <w:rPr>
          <w:rFonts w:ascii="Arial" w:hAnsi="Arial" w:cs="Arial"/>
          <w:sz w:val="24"/>
          <w:szCs w:val="24"/>
        </w:rPr>
      </w:pPr>
      <w:r>
        <w:rPr>
          <w:rFonts w:ascii="Arial" w:hAnsi="Arial"/>
          <w:sz w:val="24"/>
          <w:szCs w:val="24"/>
        </w:rPr>
        <w:t xml:space="preserve">Figure 6 :  Les terrains miniers 12 (MLO 12 [fournisseur identifié par la zone bleue hachurée]) sont contigus au claim 76.  La limite de MLO 12 touche ML 18 et une partie de ML 18 se trouve dans la même cellule que le claim 66.  Le claim 66 a une limite qui touche le claim 70 et celui-ci touche le coin du claim 76.  </w:t>
      </w:r>
    </w:p>
    <w:p w14:paraId="34947270" w14:textId="555BFF99" w:rsidR="001A59AA" w:rsidRPr="00A56F34" w:rsidRDefault="00682B58" w:rsidP="001228DC">
      <w:pPr>
        <w:rPr>
          <w:rFonts w:ascii="Arial" w:hAnsi="Arial" w:cs="Arial"/>
          <w:sz w:val="24"/>
          <w:szCs w:val="24"/>
        </w:rPr>
      </w:pPr>
      <w:r>
        <w:rPr>
          <w:rFonts w:ascii="Arial" w:hAnsi="Arial"/>
          <w:sz w:val="24"/>
          <w:szCs w:val="24"/>
        </w:rPr>
        <w:t>Note :  Le bas de la punaise indique l’emplacement des terrains miniers.</w:t>
      </w:r>
    </w:p>
    <w:p w14:paraId="4DE9A609" w14:textId="0C870050" w:rsidR="001A59AA" w:rsidRPr="001D0FA1" w:rsidRDefault="001A59AA" w:rsidP="001228DC">
      <w:pPr>
        <w:rPr>
          <w:lang w:eastAsia="en-CA"/>
        </w:rPr>
      </w:pPr>
    </w:p>
    <w:p w14:paraId="6837AA0F" w14:textId="39810B80" w:rsidR="00266CD9" w:rsidRPr="001D0FA1" w:rsidRDefault="00266CD9" w:rsidP="001228DC">
      <w:pPr>
        <w:rPr>
          <w:lang w:eastAsia="en-CA"/>
        </w:rPr>
      </w:pPr>
    </w:p>
    <w:p w14:paraId="0CE786F7" w14:textId="293168BB" w:rsidR="00003D22" w:rsidRPr="001228DC" w:rsidRDefault="00003D22" w:rsidP="001228DC">
      <w:pPr>
        <w:rPr>
          <w:b/>
        </w:rPr>
      </w:pPr>
    </w:p>
    <w:p w14:paraId="678B8DD8" w14:textId="6FCD9558" w:rsidR="00003D22" w:rsidRPr="001228DC" w:rsidRDefault="00003D22" w:rsidP="001228DC">
      <w:pPr>
        <w:rPr>
          <w:b/>
        </w:rPr>
      </w:pPr>
    </w:p>
    <w:p w14:paraId="3CE7572A" w14:textId="1207CC63" w:rsidR="00003D22" w:rsidRPr="001228DC" w:rsidRDefault="00003D22" w:rsidP="001228DC">
      <w:pPr>
        <w:rPr>
          <w:b/>
        </w:rPr>
      </w:pPr>
    </w:p>
    <w:p w14:paraId="5038BB8B" w14:textId="2B7FAB93" w:rsidR="00003D22" w:rsidRPr="001228DC" w:rsidRDefault="00003D22" w:rsidP="001228DC">
      <w:pPr>
        <w:rPr>
          <w:b/>
        </w:rPr>
      </w:pPr>
    </w:p>
    <w:p w14:paraId="5BE5E557" w14:textId="1D9C2AA0" w:rsidR="00003D22" w:rsidRPr="001228DC" w:rsidRDefault="00003D22" w:rsidP="001228DC">
      <w:pPr>
        <w:rPr>
          <w:b/>
        </w:rPr>
      </w:pPr>
    </w:p>
    <w:p w14:paraId="0B1C04CF" w14:textId="4CF13404" w:rsidR="00003D22" w:rsidRPr="001228DC" w:rsidRDefault="00003D22" w:rsidP="001228DC">
      <w:pPr>
        <w:rPr>
          <w:b/>
        </w:rPr>
      </w:pPr>
    </w:p>
    <w:p w14:paraId="5C656DD8" w14:textId="77777777" w:rsidR="00003D22" w:rsidRPr="001228DC" w:rsidRDefault="00003D22" w:rsidP="001228DC">
      <w:pPr>
        <w:rPr>
          <w:b/>
        </w:rPr>
      </w:pPr>
    </w:p>
    <w:p w14:paraId="1F90DD5F" w14:textId="77777777" w:rsidR="00461834" w:rsidRDefault="00461834" w:rsidP="001228DC">
      <w:pPr>
        <w:rPr>
          <w:rFonts w:ascii="Arial" w:hAnsi="Arial" w:cs="Arial"/>
          <w:b/>
          <w:sz w:val="24"/>
          <w:szCs w:val="24"/>
        </w:rPr>
      </w:pPr>
    </w:p>
    <w:p w14:paraId="7EFA39D3" w14:textId="7A384AFA" w:rsidR="00003D22" w:rsidRPr="00AD4A96" w:rsidRDefault="001A59AA" w:rsidP="00AD4A96">
      <w:pPr>
        <w:rPr>
          <w:b/>
          <w:bCs/>
          <w:sz w:val="28"/>
          <w:szCs w:val="28"/>
        </w:rPr>
      </w:pPr>
      <w:bookmarkStart w:id="16" w:name="_Toc92365372"/>
      <w:r w:rsidRPr="00AD4A96">
        <w:rPr>
          <w:b/>
          <w:bCs/>
          <w:sz w:val="28"/>
          <w:szCs w:val="28"/>
        </w:rPr>
        <w:lastRenderedPageBreak/>
        <w:t>Exemple de contiguïté complexe</w:t>
      </w:r>
      <w:bookmarkEnd w:id="16"/>
      <w:r w:rsidRPr="00AD4A96">
        <w:rPr>
          <w:b/>
          <w:bCs/>
          <w:sz w:val="28"/>
          <w:szCs w:val="28"/>
        </w:rPr>
        <w:t xml:space="preserve"> </w:t>
      </w:r>
    </w:p>
    <w:p w14:paraId="339C6BB9" w14:textId="6268E2FB" w:rsidR="008E090A" w:rsidRPr="001228DC" w:rsidRDefault="00C46FDA" w:rsidP="001228DC">
      <w:r>
        <w:rPr>
          <w:noProof/>
        </w:rPr>
        <w:drawing>
          <wp:inline distT="0" distB="0" distL="0" distR="0" wp14:anchorId="1EAF9D4C" wp14:editId="2432A9D0">
            <wp:extent cx="6181725" cy="3657600"/>
            <wp:effectExtent l="0" t="0" r="9525"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82085" cy="3657813"/>
                    </a:xfrm>
                    <a:prstGeom prst="rect">
                      <a:avLst/>
                    </a:prstGeom>
                    <a:noFill/>
                    <a:ln>
                      <a:noFill/>
                    </a:ln>
                  </pic:spPr>
                </pic:pic>
              </a:graphicData>
            </a:graphic>
          </wp:inline>
        </w:drawing>
      </w:r>
    </w:p>
    <w:p w14:paraId="5E57567B" w14:textId="3AD0C607" w:rsidR="00260796" w:rsidRPr="00A56F34" w:rsidRDefault="007E1773" w:rsidP="001228DC">
      <w:pPr>
        <w:rPr>
          <w:rFonts w:ascii="Arial" w:eastAsia="Times New Roman" w:hAnsi="Arial" w:cs="Arial"/>
          <w:sz w:val="24"/>
          <w:szCs w:val="24"/>
        </w:rPr>
      </w:pPr>
      <w:r>
        <w:rPr>
          <w:rFonts w:ascii="Arial" w:hAnsi="Arial"/>
          <w:sz w:val="24"/>
          <w:szCs w:val="24"/>
        </w:rPr>
        <w:t>Figure 7 :  Les terrains miniers 1 (ML 1 [fournisseur]) sont contigus au claim D (receveur).  ML 4 touche un point sur la limite de ML 1 et touche une limite de ML 3.   ML 3 touche un coin de ML 4.  ML 4 est dans la même cellule sur le claim A. Le claim A touche un coin du claim B. Le claim B touche une limite du claim C. Le claim C touche une limite du claim D.</w:t>
      </w:r>
    </w:p>
    <w:p w14:paraId="1841B197" w14:textId="5CA15D71" w:rsidR="00682B58" w:rsidRPr="00A56F34" w:rsidRDefault="00682B58" w:rsidP="001228DC">
      <w:pPr>
        <w:rPr>
          <w:rFonts w:ascii="Arial" w:eastAsia="Times New Roman" w:hAnsi="Arial" w:cs="Arial"/>
          <w:sz w:val="24"/>
          <w:szCs w:val="24"/>
        </w:rPr>
      </w:pPr>
      <w:r>
        <w:rPr>
          <w:rFonts w:ascii="Arial" w:hAnsi="Arial"/>
          <w:sz w:val="24"/>
          <w:szCs w:val="24"/>
        </w:rPr>
        <w:t>Note :  Le bas de la punaise indique l’emplacement des terrains miniers.</w:t>
      </w:r>
    </w:p>
    <w:p w14:paraId="348B44ED" w14:textId="358AA55F" w:rsidR="009B209B" w:rsidRPr="001228DC" w:rsidRDefault="00E665DB" w:rsidP="001228DC">
      <w:r>
        <w:rPr>
          <w:b/>
        </w:rPr>
        <w:t>Note</w:t>
      </w:r>
      <w:r>
        <w:t xml:space="preserve"> : </w:t>
      </w:r>
      <w:r>
        <w:rPr>
          <w:rFonts w:ascii="Arial" w:hAnsi="Arial"/>
          <w:sz w:val="24"/>
          <w:szCs w:val="24"/>
        </w:rPr>
        <w:t>Les terrains miniers concédés par lettres patentes en fief simple doivent être inscrits dans le dossier d’impôt des terrains miniers avant de pouvoir être utilisés pour établir la contiguïté.  Si une propriété n’est pas inscrite dans le dossier d’impôt des terrains miniers, le propriétaire doit fournir un avis écrit au ministère au moins 30 jours avant d’allouer les crédits de travail d’évaluation dans le SATM. Pour obtenir de plus amples renseignements, veuillez consulter la politique relative à l’impôt sur les terrains miniers.</w:t>
      </w:r>
      <w:r>
        <w:t xml:space="preserve"> </w:t>
      </w:r>
    </w:p>
    <w:p w14:paraId="02B78E8C" w14:textId="61696144" w:rsidR="00730582" w:rsidRPr="00022BCF" w:rsidRDefault="007220B3" w:rsidP="00AD4A96">
      <w:pPr>
        <w:pStyle w:val="Heading1"/>
        <w:spacing w:after="240"/>
      </w:pPr>
      <w:bookmarkStart w:id="17" w:name="_Toc55468615"/>
      <w:bookmarkStart w:id="18" w:name="_Toc92365373"/>
      <w:bookmarkStart w:id="19" w:name="_Toc114482295"/>
      <w:r>
        <w:t>Paiement au lieu de travaux d’évaluation</w:t>
      </w:r>
      <w:bookmarkEnd w:id="17"/>
      <w:bookmarkEnd w:id="18"/>
      <w:bookmarkEnd w:id="19"/>
    </w:p>
    <w:p w14:paraId="7B25006F" w14:textId="33AFDDA3" w:rsidR="004F006C" w:rsidRPr="0059117E" w:rsidRDefault="00730582" w:rsidP="001228DC">
      <w:pPr>
        <w:rPr>
          <w:rFonts w:ascii="Arial" w:hAnsi="Arial" w:cs="Arial"/>
          <w:sz w:val="24"/>
          <w:szCs w:val="24"/>
        </w:rPr>
      </w:pPr>
      <w:r>
        <w:rPr>
          <w:rFonts w:ascii="Arial" w:hAnsi="Arial"/>
          <w:sz w:val="24"/>
          <w:szCs w:val="24"/>
        </w:rPr>
        <w:t>Le titulaire d’un claim peut effectuer un paiement au lieu de travaux d’évaluation requis pour un claim minier. Voici les limites prescrites :</w:t>
      </w:r>
    </w:p>
    <w:p w14:paraId="1BE5C9A8" w14:textId="656173EF" w:rsidR="00EE3D3D" w:rsidRPr="00000B11" w:rsidRDefault="00EE3D3D" w:rsidP="00913B77">
      <w:pPr>
        <w:pStyle w:val="ListParagraph"/>
        <w:numPr>
          <w:ilvl w:val="0"/>
          <w:numId w:val="1"/>
        </w:numPr>
        <w:rPr>
          <w:rFonts w:ascii="Arial" w:hAnsi="Arial" w:cs="Arial"/>
          <w:sz w:val="24"/>
          <w:szCs w:val="24"/>
        </w:rPr>
      </w:pPr>
      <w:r>
        <w:rPr>
          <w:rFonts w:ascii="Arial" w:hAnsi="Arial"/>
          <w:sz w:val="24"/>
          <w:szCs w:val="24"/>
        </w:rPr>
        <w:lastRenderedPageBreak/>
        <w:t>Le paiement au lieu de travaux doit être versé au ministre au plus tard à la date d’échéance du claim minier,</w:t>
      </w:r>
    </w:p>
    <w:p w14:paraId="126FCD6B" w14:textId="2234DACE" w:rsidR="00EE3D3D" w:rsidRPr="00000B11" w:rsidRDefault="00EE3D3D" w:rsidP="00913B77">
      <w:pPr>
        <w:pStyle w:val="ListParagraph"/>
        <w:numPr>
          <w:ilvl w:val="0"/>
          <w:numId w:val="1"/>
        </w:numPr>
        <w:rPr>
          <w:rFonts w:ascii="Arial" w:hAnsi="Arial" w:cs="Arial"/>
          <w:sz w:val="24"/>
          <w:szCs w:val="24"/>
        </w:rPr>
      </w:pPr>
      <w:r>
        <w:rPr>
          <w:rFonts w:ascii="Arial" w:hAnsi="Arial"/>
          <w:sz w:val="24"/>
          <w:szCs w:val="24"/>
        </w:rPr>
        <w:t>Un paiement au lieu de travaux ne peut être versé qu’une fois que la première unité de travail d’évaluation a été exécutée,</w:t>
      </w:r>
    </w:p>
    <w:p w14:paraId="4DF90D51" w14:textId="6DFFB542" w:rsidR="00EE3D3D" w:rsidRPr="00000B11" w:rsidRDefault="00EE3D3D" w:rsidP="00913B77">
      <w:pPr>
        <w:pStyle w:val="ListParagraph"/>
        <w:numPr>
          <w:ilvl w:val="0"/>
          <w:numId w:val="1"/>
        </w:numPr>
        <w:rPr>
          <w:rFonts w:ascii="Arial" w:hAnsi="Arial" w:cs="Arial"/>
          <w:sz w:val="24"/>
          <w:szCs w:val="24"/>
        </w:rPr>
      </w:pPr>
      <w:r>
        <w:rPr>
          <w:rFonts w:ascii="Arial" w:hAnsi="Arial"/>
          <w:sz w:val="24"/>
          <w:szCs w:val="24"/>
        </w:rPr>
        <w:t>Un paiement au lieu de travaux ne peut être versé que pour l’année d’évaluation en cours,</w:t>
      </w:r>
    </w:p>
    <w:p w14:paraId="72106E8B" w14:textId="4FAE3C1D" w:rsidR="004F006C" w:rsidRPr="00000B11" w:rsidRDefault="004F006C" w:rsidP="00913B77">
      <w:pPr>
        <w:pStyle w:val="ListParagraph"/>
        <w:numPr>
          <w:ilvl w:val="0"/>
          <w:numId w:val="1"/>
        </w:numPr>
        <w:rPr>
          <w:rFonts w:ascii="Arial" w:hAnsi="Arial" w:cs="Arial"/>
          <w:sz w:val="24"/>
          <w:szCs w:val="24"/>
        </w:rPr>
      </w:pPr>
      <w:r>
        <w:rPr>
          <w:rFonts w:ascii="Arial" w:hAnsi="Arial"/>
          <w:sz w:val="24"/>
          <w:szCs w:val="24"/>
        </w:rPr>
        <w:t xml:space="preserve">Un paiement au lieu de travaux ne peut pas dépasser le montant requis pour conserver le claim minier pour l’année en cours,  </w:t>
      </w:r>
    </w:p>
    <w:p w14:paraId="41EB8DDE" w14:textId="1ED550A4" w:rsidR="00EE3D3D" w:rsidRPr="00000B11" w:rsidRDefault="00EE3D3D" w:rsidP="00913B77">
      <w:pPr>
        <w:pStyle w:val="ListParagraph"/>
        <w:numPr>
          <w:ilvl w:val="0"/>
          <w:numId w:val="1"/>
        </w:numPr>
        <w:rPr>
          <w:rFonts w:ascii="Arial" w:hAnsi="Arial" w:cs="Arial"/>
          <w:sz w:val="24"/>
          <w:szCs w:val="24"/>
        </w:rPr>
      </w:pPr>
      <w:r>
        <w:rPr>
          <w:rFonts w:ascii="Arial" w:hAnsi="Arial"/>
          <w:sz w:val="24"/>
          <w:szCs w:val="24"/>
        </w:rPr>
        <w:t xml:space="preserve">Un paiement ne peut pas être versé pour le claim minier pendant deux années consécutives.  </w:t>
      </w:r>
    </w:p>
    <w:p w14:paraId="18781397" w14:textId="7CD67CB8" w:rsidR="00E64541" w:rsidRPr="00022BCF" w:rsidRDefault="00E64541" w:rsidP="00AD4A96">
      <w:pPr>
        <w:pStyle w:val="Heading1"/>
      </w:pPr>
      <w:bookmarkStart w:id="20" w:name="_Toc529954819"/>
      <w:bookmarkStart w:id="21" w:name="_Toc72928433"/>
      <w:bookmarkStart w:id="22" w:name="_Toc92365374"/>
      <w:bookmarkStart w:id="23" w:name="_Toc114482296"/>
      <w:r>
        <w:t>Contacter la Section des terrains miniers</w:t>
      </w:r>
      <w:bookmarkEnd w:id="20"/>
      <w:bookmarkEnd w:id="21"/>
      <w:bookmarkEnd w:id="22"/>
      <w:bookmarkEnd w:id="23"/>
    </w:p>
    <w:p w14:paraId="51945721" w14:textId="77777777" w:rsidR="00E64541" w:rsidRPr="0059117E" w:rsidRDefault="00E64541" w:rsidP="001228DC">
      <w:pPr>
        <w:rPr>
          <w:rFonts w:ascii="Arial" w:eastAsia="Times New Roman" w:hAnsi="Arial" w:cs="Arial"/>
          <w:sz w:val="24"/>
          <w:szCs w:val="24"/>
        </w:rPr>
      </w:pPr>
      <w:r>
        <w:rPr>
          <w:rFonts w:ascii="Arial" w:hAnsi="Arial"/>
          <w:sz w:val="24"/>
          <w:szCs w:val="24"/>
        </w:rPr>
        <w:t>Pour toute question concernant les coûts d’évaluation, veuillez contacter :</w:t>
      </w:r>
    </w:p>
    <w:p w14:paraId="42DF6D92" w14:textId="398AD8DB" w:rsidR="00E64541" w:rsidRPr="0059117E" w:rsidRDefault="00E64541" w:rsidP="00A36B54">
      <w:pPr>
        <w:spacing w:after="0"/>
        <w:rPr>
          <w:rFonts w:ascii="Arial" w:eastAsia="Times New Roman" w:hAnsi="Arial" w:cs="Arial"/>
          <w:sz w:val="24"/>
          <w:szCs w:val="24"/>
        </w:rPr>
      </w:pPr>
      <w:r>
        <w:rPr>
          <w:rFonts w:ascii="Arial" w:hAnsi="Arial"/>
          <w:sz w:val="24"/>
          <w:szCs w:val="24"/>
        </w:rPr>
        <w:t xml:space="preserve">Ministère </w:t>
      </w:r>
      <w:r w:rsidR="00AD4A96">
        <w:rPr>
          <w:rFonts w:ascii="Arial" w:hAnsi="Arial"/>
          <w:sz w:val="24"/>
          <w:szCs w:val="24"/>
        </w:rPr>
        <w:t>des Mines</w:t>
      </w:r>
    </w:p>
    <w:p w14:paraId="107B590D" w14:textId="77777777" w:rsidR="00E64541" w:rsidRPr="0059117E" w:rsidRDefault="00E64541" w:rsidP="00A36B54">
      <w:pPr>
        <w:spacing w:after="0"/>
        <w:rPr>
          <w:rFonts w:ascii="Arial" w:eastAsia="Times New Roman" w:hAnsi="Arial" w:cs="Arial"/>
          <w:sz w:val="24"/>
          <w:szCs w:val="24"/>
        </w:rPr>
      </w:pPr>
      <w:r>
        <w:rPr>
          <w:rFonts w:ascii="Arial" w:hAnsi="Arial"/>
          <w:sz w:val="24"/>
          <w:szCs w:val="24"/>
        </w:rPr>
        <w:t>Section des terrains miniers</w:t>
      </w:r>
    </w:p>
    <w:p w14:paraId="6714077C" w14:textId="77777777" w:rsidR="00E64541" w:rsidRPr="0059117E" w:rsidRDefault="00E64541" w:rsidP="00A36B54">
      <w:pPr>
        <w:spacing w:after="0"/>
        <w:rPr>
          <w:rFonts w:ascii="Arial" w:eastAsia="Times New Roman" w:hAnsi="Arial" w:cs="Arial"/>
          <w:sz w:val="24"/>
          <w:szCs w:val="24"/>
        </w:rPr>
      </w:pPr>
      <w:r>
        <w:rPr>
          <w:rFonts w:ascii="Arial" w:hAnsi="Arial"/>
          <w:sz w:val="24"/>
          <w:szCs w:val="24"/>
        </w:rPr>
        <w:t xml:space="preserve">Unité de la tenure minière et de l’évaluation </w:t>
      </w:r>
    </w:p>
    <w:p w14:paraId="06700FFE" w14:textId="77777777" w:rsidR="00E64541" w:rsidRPr="001D0FA1" w:rsidRDefault="00E64541" w:rsidP="00A36B54">
      <w:pPr>
        <w:spacing w:after="0"/>
        <w:rPr>
          <w:rFonts w:ascii="Arial" w:eastAsia="Times New Roman" w:hAnsi="Arial" w:cs="Arial"/>
          <w:sz w:val="24"/>
          <w:szCs w:val="24"/>
          <w:lang w:val="en-CA"/>
        </w:rPr>
      </w:pPr>
      <w:r w:rsidRPr="001D0FA1">
        <w:rPr>
          <w:rFonts w:ascii="Arial" w:hAnsi="Arial"/>
          <w:sz w:val="24"/>
          <w:szCs w:val="24"/>
          <w:lang w:val="en-CA"/>
        </w:rPr>
        <w:t>B-3, 933 Ramsey Lake Road</w:t>
      </w:r>
    </w:p>
    <w:p w14:paraId="142244FD" w14:textId="77777777" w:rsidR="00E64541" w:rsidRPr="001D0FA1" w:rsidRDefault="00E64541" w:rsidP="00A36B54">
      <w:pPr>
        <w:spacing w:after="0"/>
        <w:rPr>
          <w:rFonts w:ascii="Arial" w:eastAsia="Times New Roman" w:hAnsi="Arial" w:cs="Arial"/>
          <w:sz w:val="24"/>
          <w:szCs w:val="24"/>
          <w:lang w:val="en-CA"/>
        </w:rPr>
      </w:pPr>
      <w:r w:rsidRPr="001D0FA1">
        <w:rPr>
          <w:rFonts w:ascii="Arial" w:hAnsi="Arial"/>
          <w:sz w:val="24"/>
          <w:szCs w:val="24"/>
          <w:lang w:val="en-CA"/>
        </w:rPr>
        <w:t>Centre Willet Green Millet</w:t>
      </w:r>
    </w:p>
    <w:p w14:paraId="01BD5CDB" w14:textId="77777777" w:rsidR="00E64541" w:rsidRPr="0059117E" w:rsidRDefault="00E64541" w:rsidP="00A36B54">
      <w:pPr>
        <w:spacing w:after="0"/>
        <w:rPr>
          <w:rFonts w:ascii="Arial" w:eastAsia="Times New Roman" w:hAnsi="Arial" w:cs="Arial"/>
          <w:sz w:val="24"/>
          <w:szCs w:val="24"/>
        </w:rPr>
      </w:pPr>
      <w:r>
        <w:rPr>
          <w:rFonts w:ascii="Arial" w:hAnsi="Arial"/>
          <w:sz w:val="24"/>
          <w:szCs w:val="24"/>
        </w:rPr>
        <w:t>Sudbury (Ontario)  P3E 6B5</w:t>
      </w:r>
    </w:p>
    <w:p w14:paraId="589FE0D9" w14:textId="77777777" w:rsidR="00E64541" w:rsidRPr="0059117E" w:rsidRDefault="00E64541" w:rsidP="00A36B54">
      <w:pPr>
        <w:spacing w:after="0"/>
        <w:rPr>
          <w:rFonts w:ascii="Arial" w:eastAsia="Times New Roman" w:hAnsi="Arial" w:cs="Arial"/>
          <w:sz w:val="24"/>
          <w:szCs w:val="24"/>
        </w:rPr>
      </w:pPr>
      <w:r>
        <w:rPr>
          <w:rFonts w:ascii="Arial" w:hAnsi="Arial"/>
          <w:sz w:val="24"/>
          <w:szCs w:val="24"/>
        </w:rPr>
        <w:t>Téléphone sans frais : 1 888 415-9845</w:t>
      </w:r>
    </w:p>
    <w:p w14:paraId="0881D3E2" w14:textId="7865EFC3" w:rsidR="00E64541" w:rsidRPr="0059117E" w:rsidRDefault="00E64541" w:rsidP="00A36B54">
      <w:pPr>
        <w:spacing w:after="0"/>
        <w:rPr>
          <w:rFonts w:ascii="Arial" w:eastAsia="Times New Roman" w:hAnsi="Arial" w:cs="Arial"/>
          <w:sz w:val="24"/>
          <w:szCs w:val="24"/>
        </w:rPr>
      </w:pPr>
      <w:r>
        <w:rPr>
          <w:rFonts w:ascii="Arial" w:hAnsi="Arial"/>
          <w:sz w:val="24"/>
          <w:szCs w:val="24"/>
        </w:rPr>
        <w:t>Courriel : mlas.ltau@ontario.ca</w:t>
      </w:r>
    </w:p>
    <w:p w14:paraId="5E87DC38" w14:textId="77AA308F" w:rsidR="00F37D9C" w:rsidRPr="001228DC" w:rsidRDefault="00F37D9C" w:rsidP="001228DC"/>
    <w:p w14:paraId="3248055E" w14:textId="213F2654" w:rsidR="00F24B94" w:rsidRPr="001228DC" w:rsidRDefault="002B3B3F" w:rsidP="001228DC">
      <w:pPr>
        <w:rPr>
          <w:b/>
          <w:bCs/>
        </w:rPr>
      </w:pPr>
      <w:r>
        <w:rPr>
          <w:b/>
          <w:bCs/>
        </w:rPr>
        <w:t xml:space="preserve"> </w:t>
      </w:r>
    </w:p>
    <w:p w14:paraId="6C8DE19B" w14:textId="16622C87" w:rsidR="00F37D9C" w:rsidRPr="001228DC" w:rsidRDefault="00F37D9C" w:rsidP="001228DC">
      <w:pPr>
        <w:rPr>
          <w:rFonts w:eastAsia="Times New Roman"/>
          <w:lang w:eastAsia="en-CA"/>
        </w:rPr>
      </w:pPr>
    </w:p>
    <w:p w14:paraId="2D5BECFF" w14:textId="6882940C" w:rsidR="00F37D9C" w:rsidRPr="001228DC" w:rsidRDefault="00F37D9C" w:rsidP="001228DC"/>
    <w:p w14:paraId="3A9FCBF4" w14:textId="7BCB6EEF" w:rsidR="00F37D9C" w:rsidRPr="001228DC" w:rsidRDefault="00F24B94" w:rsidP="001228DC">
      <w:r>
        <w:t xml:space="preserve"> </w:t>
      </w:r>
    </w:p>
    <w:p w14:paraId="445B456E" w14:textId="70FCF758" w:rsidR="00F37D9C" w:rsidRPr="001228DC" w:rsidRDefault="00F37D9C" w:rsidP="001228DC">
      <w:r>
        <w:t xml:space="preserve"> </w:t>
      </w:r>
    </w:p>
    <w:p w14:paraId="55E970B7" w14:textId="38F5ACA3" w:rsidR="00F37D9C" w:rsidRPr="001228DC" w:rsidRDefault="00F37D9C" w:rsidP="001228DC">
      <w:r>
        <w:t xml:space="preserve"> </w:t>
      </w:r>
    </w:p>
    <w:p w14:paraId="7796059A" w14:textId="77777777" w:rsidR="00F37D9C" w:rsidRPr="001228DC" w:rsidRDefault="00F37D9C" w:rsidP="001228DC"/>
    <w:p w14:paraId="58E53193" w14:textId="77777777" w:rsidR="00A36B54" w:rsidRPr="001D0FA1" w:rsidRDefault="00A36B54" w:rsidP="001228DC">
      <w:pPr>
        <w:rPr>
          <w:rFonts w:eastAsia="Times New Roman"/>
          <w:lang w:eastAsia="en-CA"/>
        </w:rPr>
      </w:pPr>
    </w:p>
    <w:p w14:paraId="355F25A7" w14:textId="77777777" w:rsidR="00A36B54" w:rsidRPr="001D0FA1" w:rsidRDefault="00A36B54" w:rsidP="001228DC">
      <w:pPr>
        <w:rPr>
          <w:rFonts w:eastAsia="Times New Roman"/>
          <w:lang w:eastAsia="en-CA"/>
        </w:rPr>
      </w:pPr>
    </w:p>
    <w:p w14:paraId="55AF5659" w14:textId="77777777" w:rsidR="00A36B54" w:rsidRPr="001D0FA1" w:rsidRDefault="00A36B54" w:rsidP="001228DC">
      <w:pPr>
        <w:rPr>
          <w:rFonts w:eastAsia="Times New Roman"/>
          <w:lang w:eastAsia="en-CA"/>
        </w:rPr>
      </w:pPr>
    </w:p>
    <w:p w14:paraId="6B7A7843" w14:textId="77777777" w:rsidR="00D153AB" w:rsidRPr="001D0FA1" w:rsidRDefault="00D153AB" w:rsidP="001228DC">
      <w:pPr>
        <w:rPr>
          <w:rFonts w:eastAsia="Times New Roman"/>
          <w:lang w:eastAsia="en-CA"/>
        </w:rPr>
      </w:pPr>
    </w:p>
    <w:p w14:paraId="5F2D5D67" w14:textId="42AFF125" w:rsidR="00827661" w:rsidRPr="00022BCF" w:rsidRDefault="00827661" w:rsidP="00022BCF">
      <w:pPr>
        <w:pStyle w:val="Heading2"/>
        <w:spacing w:after="240"/>
        <w:rPr>
          <w:rFonts w:eastAsia="Times New Roman"/>
          <w:sz w:val="28"/>
          <w:szCs w:val="24"/>
        </w:rPr>
      </w:pPr>
      <w:bookmarkStart w:id="24" w:name="_Toc92365375"/>
      <w:bookmarkStart w:id="25" w:name="_Toc114482297"/>
      <w:r>
        <w:rPr>
          <w:sz w:val="28"/>
          <w:szCs w:val="24"/>
        </w:rPr>
        <w:lastRenderedPageBreak/>
        <w:t>Détails concernant les pouvoirs</w:t>
      </w:r>
      <w:bookmarkEnd w:id="24"/>
      <w:bookmarkEnd w:id="25"/>
    </w:p>
    <w:p w14:paraId="040FCE0B" w14:textId="574D184A" w:rsidR="001A0E85" w:rsidRPr="001228DC" w:rsidRDefault="00E15BF2" w:rsidP="00022BCF">
      <w:pPr>
        <w:pStyle w:val="Heading2"/>
        <w:rPr>
          <w:rFonts w:eastAsia="Times New Roman"/>
        </w:rPr>
      </w:pPr>
      <w:bookmarkStart w:id="26" w:name="_Toc92365376"/>
      <w:bookmarkStart w:id="27" w:name="_Toc114482298"/>
      <w:r>
        <w:rPr>
          <w:rStyle w:val="Hyperlink"/>
          <w:rFonts w:ascii="Arial" w:hAnsi="Arial"/>
          <w:color w:val="auto"/>
          <w:sz w:val="24"/>
          <w:szCs w:val="24"/>
        </w:rPr>
        <w:t>Loi sur les mines, L.R.O. 1990, chap. M.14</w:t>
      </w:r>
      <w:bookmarkEnd w:id="26"/>
      <w:bookmarkEnd w:id="27"/>
      <w:r>
        <w:t> </w:t>
      </w:r>
    </w:p>
    <w:p w14:paraId="513C3A5E" w14:textId="77777777" w:rsidR="003D298B" w:rsidRPr="00022BCF" w:rsidRDefault="003D298B" w:rsidP="00022BCF">
      <w:pPr>
        <w:pStyle w:val="Heading2"/>
        <w:rPr>
          <w:sz w:val="24"/>
          <w:szCs w:val="22"/>
        </w:rPr>
      </w:pPr>
      <w:bookmarkStart w:id="28" w:name="_Toc92365377"/>
      <w:bookmarkStart w:id="29" w:name="_Toc114482299"/>
      <w:r>
        <w:rPr>
          <w:sz w:val="24"/>
          <w:szCs w:val="22"/>
        </w:rPr>
        <w:t>Travaux sur des terrains miniers</w:t>
      </w:r>
      <w:bookmarkEnd w:id="28"/>
      <w:bookmarkEnd w:id="29"/>
    </w:p>
    <w:p w14:paraId="0E9807E9" w14:textId="77777777" w:rsidR="003D298B" w:rsidRPr="00B03D36" w:rsidRDefault="003D298B" w:rsidP="003D298B">
      <w:pPr>
        <w:shd w:val="clear" w:color="auto" w:fill="FFFFFF"/>
        <w:spacing w:before="100" w:beforeAutospacing="1" w:after="100" w:afterAutospacing="1" w:line="240" w:lineRule="auto"/>
        <w:rPr>
          <w:rFonts w:ascii="Arial" w:eastAsia="Times New Roman" w:hAnsi="Arial" w:cs="Arial"/>
          <w:sz w:val="24"/>
          <w:szCs w:val="24"/>
        </w:rPr>
      </w:pPr>
      <w:r>
        <w:rPr>
          <w:rFonts w:ascii="Arial" w:hAnsi="Arial"/>
          <w:sz w:val="24"/>
          <w:szCs w:val="24"/>
        </w:rPr>
        <w:t>66 (3) Les travaux d’évaluation exécutés sur des terrains miniers ou les paiements effectués à la place de tels travaux peuvent être attribués selon les modalités prescrites à des claims non concédés par lettres patentes et contigus.  2009, chap. 21, par. 34 (3).</w:t>
      </w:r>
    </w:p>
    <w:p w14:paraId="34FD2F7A" w14:textId="0B4EED17" w:rsidR="003D298B" w:rsidRDefault="003D298B" w:rsidP="0094368B">
      <w:pPr>
        <w:pStyle w:val="Heading2"/>
        <w:spacing w:after="240"/>
        <w:rPr>
          <w:shd w:val="clear" w:color="auto" w:fill="FFFFFF"/>
        </w:rPr>
      </w:pPr>
      <w:bookmarkStart w:id="30" w:name="_Toc92365378"/>
      <w:bookmarkStart w:id="31" w:name="_Toc114482300"/>
      <w:r>
        <w:rPr>
          <w:sz w:val="24"/>
          <w:szCs w:val="22"/>
          <w:u w:val="single"/>
          <w:shd w:val="clear" w:color="auto" w:fill="FFFFFF"/>
        </w:rPr>
        <w:t>Règl. de l’Ont. 65/18 : Travaux d’évaluation</w:t>
      </w:r>
      <w:bookmarkEnd w:id="30"/>
      <w:bookmarkEnd w:id="31"/>
    </w:p>
    <w:p w14:paraId="70131DB4" w14:textId="77777777" w:rsidR="003D298B" w:rsidRPr="00F958A3" w:rsidRDefault="003D298B" w:rsidP="00F958A3">
      <w:pPr>
        <w:pStyle w:val="Heading2"/>
        <w:spacing w:before="0"/>
        <w:rPr>
          <w:sz w:val="24"/>
          <w:szCs w:val="22"/>
        </w:rPr>
      </w:pPr>
      <w:bookmarkStart w:id="32" w:name="_Toc92365379"/>
      <w:bookmarkStart w:id="33" w:name="_Toc114482301"/>
      <w:r>
        <w:rPr>
          <w:sz w:val="24"/>
          <w:szCs w:val="22"/>
        </w:rPr>
        <w:t>Système de crédits de travail d’évaluation</w:t>
      </w:r>
      <w:bookmarkEnd w:id="32"/>
      <w:bookmarkEnd w:id="33"/>
    </w:p>
    <w:p w14:paraId="2867800C" w14:textId="77777777" w:rsidR="003D298B" w:rsidRPr="00A64BCD" w:rsidRDefault="003D298B" w:rsidP="003D298B">
      <w:pPr>
        <w:pStyle w:val="section-e"/>
        <w:shd w:val="clear" w:color="auto" w:fill="FFFFFF"/>
        <w:rPr>
          <w:rFonts w:ascii="Arial" w:hAnsi="Arial" w:cs="Arial"/>
        </w:rPr>
      </w:pPr>
      <w:r>
        <w:rPr>
          <w:rFonts w:ascii="Arial" w:hAnsi="Arial"/>
          <w:b/>
          <w:bCs/>
        </w:rPr>
        <w:t>8. </w:t>
      </w:r>
      <w:r>
        <w:rPr>
          <w:rFonts w:ascii="Arial" w:hAnsi="Arial"/>
        </w:rPr>
        <w:t>(2) Les crédits de travail d’évaluation ont pour objet de permettre aux titulaires de claim de satisfaire aux exigences relatives aux unités annuelles de travail d’évaluation devant être exécutées sur le claim, en application de l’article 65 de la Loi et en les utilisant conformément à la présente partie.</w:t>
      </w:r>
    </w:p>
    <w:p w14:paraId="25A8175D" w14:textId="77777777" w:rsidR="003D298B" w:rsidRPr="00A64BCD" w:rsidRDefault="003D298B" w:rsidP="003D298B">
      <w:pPr>
        <w:pStyle w:val="subsection-e"/>
        <w:shd w:val="clear" w:color="auto" w:fill="FFFFFF"/>
        <w:rPr>
          <w:rFonts w:ascii="Arial" w:hAnsi="Arial" w:cs="Arial"/>
        </w:rPr>
      </w:pPr>
      <w:r>
        <w:rPr>
          <w:rFonts w:ascii="Arial" w:hAnsi="Arial"/>
        </w:rPr>
        <w:t>(4) Le titulaire de claim est autorisé à faire ce qui suit dans le cadre du système de crédits de travail d’évaluation :</w:t>
      </w:r>
    </w:p>
    <w:p w14:paraId="3C951DCE" w14:textId="77777777" w:rsidR="003D298B" w:rsidRPr="00A64BCD" w:rsidRDefault="003D298B" w:rsidP="003D298B">
      <w:pPr>
        <w:pStyle w:val="clause-e"/>
        <w:shd w:val="clear" w:color="auto" w:fill="FFFFFF"/>
        <w:spacing w:before="0" w:beforeAutospacing="0" w:after="120" w:afterAutospacing="0"/>
        <w:ind w:left="720" w:hanging="360"/>
        <w:rPr>
          <w:rFonts w:ascii="Arial" w:hAnsi="Arial" w:cs="Arial"/>
        </w:rPr>
      </w:pPr>
      <w:r>
        <w:rPr>
          <w:rFonts w:ascii="Arial" w:hAnsi="Arial"/>
        </w:rPr>
        <w:t>a) utiliser les crédits de travail d’évaluation accordés pour les travaux d’évaluation exécutés sur des terrains miniers qui ne sont pas des claims afin de satisfaire aux exigences relatives aux unités annuelles de travail d’évaluation devant être exécutés à l’égard du claim, à condition que les terrains miniers soient contigus au claim;</w:t>
      </w:r>
    </w:p>
    <w:p w14:paraId="4350CA73" w14:textId="262B08A5" w:rsidR="003D298B" w:rsidRDefault="003D298B" w:rsidP="003D298B">
      <w:pPr>
        <w:pStyle w:val="clause-e"/>
        <w:shd w:val="clear" w:color="auto" w:fill="FFFFFF"/>
        <w:spacing w:before="0" w:beforeAutospacing="0" w:after="120" w:afterAutospacing="0"/>
        <w:ind w:left="720" w:hanging="360"/>
        <w:rPr>
          <w:rFonts w:ascii="Arial" w:hAnsi="Arial" w:cs="Arial"/>
        </w:rPr>
      </w:pPr>
      <w:r>
        <w:rPr>
          <w:rFonts w:ascii="Arial" w:hAnsi="Arial"/>
        </w:rPr>
        <w:t>b) utiliser les crédits de travail d’évaluation accordés pour les travaux d’évaluation exécutés dans une année d’évaluation donnée sur le claim ou les terrains miniers qui ne sont pas des claims afin de satisfaire aux exigences relatives aux unités annuelles de travail d’évaluation devant être exécutées pour cette année d’évaluation et pour les années d’évaluation subséquentes, sous réserve des restrictions énoncées à l’article 19.</w:t>
      </w:r>
    </w:p>
    <w:p w14:paraId="0D737047" w14:textId="77777777" w:rsidR="003D298B" w:rsidRPr="0094368B" w:rsidRDefault="003D298B" w:rsidP="0094368B">
      <w:pPr>
        <w:pStyle w:val="Heading2"/>
        <w:rPr>
          <w:sz w:val="24"/>
          <w:szCs w:val="22"/>
        </w:rPr>
      </w:pPr>
      <w:bookmarkStart w:id="34" w:name="_Toc92365380"/>
      <w:bookmarkStart w:id="35" w:name="_Toc114482302"/>
      <w:r>
        <w:rPr>
          <w:sz w:val="24"/>
          <w:szCs w:val="22"/>
        </w:rPr>
        <w:t>Fonctionnement du système</w:t>
      </w:r>
      <w:bookmarkEnd w:id="34"/>
      <w:bookmarkEnd w:id="35"/>
    </w:p>
    <w:p w14:paraId="20A706BF" w14:textId="77777777" w:rsidR="003D298B" w:rsidRPr="00A64BCD" w:rsidRDefault="003D298B" w:rsidP="003D298B">
      <w:pPr>
        <w:pStyle w:val="section-e"/>
        <w:shd w:val="clear" w:color="auto" w:fill="FFFFFF"/>
        <w:rPr>
          <w:rFonts w:ascii="Arial" w:hAnsi="Arial" w:cs="Arial"/>
        </w:rPr>
      </w:pPr>
      <w:r>
        <w:rPr>
          <w:rFonts w:ascii="Arial" w:hAnsi="Arial"/>
          <w:b/>
          <w:bCs/>
        </w:rPr>
        <w:t>9. </w:t>
      </w:r>
      <w:r>
        <w:rPr>
          <w:rFonts w:ascii="Arial" w:hAnsi="Arial"/>
        </w:rPr>
        <w:t>(1) Le ministre examine tous les rapports de travaux d’évaluation soumis en application de l’article 6 et évalue les travaux qui y sont décrits afin de décider :</w:t>
      </w:r>
    </w:p>
    <w:p w14:paraId="42BA94A5" w14:textId="77777777" w:rsidR="003D298B" w:rsidRPr="00A64BCD" w:rsidRDefault="003D298B" w:rsidP="003D298B">
      <w:pPr>
        <w:pStyle w:val="clause-e"/>
        <w:shd w:val="clear" w:color="auto" w:fill="FFFFFF"/>
        <w:spacing w:before="0" w:beforeAutospacing="0" w:after="120" w:afterAutospacing="0"/>
        <w:ind w:left="720" w:hanging="360"/>
        <w:rPr>
          <w:rFonts w:ascii="Arial" w:hAnsi="Arial" w:cs="Arial"/>
        </w:rPr>
      </w:pPr>
      <w:r>
        <w:rPr>
          <w:rFonts w:ascii="Arial" w:hAnsi="Arial"/>
        </w:rPr>
        <w:t>a) conformément à l’article 12, s’ils sont admissibles à des crédits de travail d’évaluation;</w:t>
      </w:r>
    </w:p>
    <w:p w14:paraId="0AE54DD2" w14:textId="77777777" w:rsidR="003D298B" w:rsidRPr="00A64BCD" w:rsidRDefault="003D298B" w:rsidP="003D298B">
      <w:pPr>
        <w:pStyle w:val="clause-e"/>
        <w:shd w:val="clear" w:color="auto" w:fill="FFFFFF"/>
        <w:spacing w:before="0" w:beforeAutospacing="0" w:after="120" w:afterAutospacing="0"/>
        <w:ind w:left="720" w:hanging="360"/>
        <w:rPr>
          <w:rFonts w:ascii="Arial" w:hAnsi="Arial" w:cs="Arial"/>
        </w:rPr>
      </w:pPr>
      <w:r>
        <w:rPr>
          <w:rFonts w:ascii="Arial" w:hAnsi="Arial"/>
        </w:rPr>
        <w:t>b) conformément à l’article 13, du montant des crédits de travail d’évaluation à leur accorder.</w:t>
      </w:r>
    </w:p>
    <w:p w14:paraId="19E71688" w14:textId="77777777" w:rsidR="003D298B" w:rsidRPr="00A64BCD" w:rsidRDefault="003D298B" w:rsidP="003D298B">
      <w:pPr>
        <w:pStyle w:val="subsection-e"/>
        <w:shd w:val="clear" w:color="auto" w:fill="FFFFFF"/>
        <w:rPr>
          <w:rFonts w:ascii="Arial" w:hAnsi="Arial" w:cs="Arial"/>
        </w:rPr>
      </w:pPr>
      <w:r>
        <w:rPr>
          <w:rFonts w:ascii="Arial" w:hAnsi="Arial"/>
        </w:rPr>
        <w:lastRenderedPageBreak/>
        <w:t>(2) Le ministre transfère le montant des crédits de travail d’évaluation dans une réserve créée pour le claim en application de l’article 16.</w:t>
      </w:r>
    </w:p>
    <w:p w14:paraId="51581D72" w14:textId="77777777" w:rsidR="003D298B" w:rsidRPr="00A64BCD" w:rsidRDefault="003D298B" w:rsidP="003D298B">
      <w:pPr>
        <w:pStyle w:val="subsection-e"/>
        <w:shd w:val="clear" w:color="auto" w:fill="FFFFFF"/>
        <w:rPr>
          <w:rFonts w:ascii="Arial" w:hAnsi="Arial" w:cs="Arial"/>
        </w:rPr>
      </w:pPr>
      <w:r>
        <w:rPr>
          <w:rFonts w:ascii="Arial" w:hAnsi="Arial"/>
        </w:rPr>
        <w:t>(3) Le titulaire de claim peut, conformément aux articles 17 et 19, allouer des crédits de travail d’évaluation d’une réserve au claim selon un montant qui est suffisant pour satisfaire aux exigences relatives aux unités annuelles de travail d’évaluation qu’il doit exécuter sur le claim en application de l’article 65 de la Loi :</w:t>
      </w:r>
    </w:p>
    <w:p w14:paraId="3C6E878A" w14:textId="77777777" w:rsidR="003D298B" w:rsidRPr="00A64BCD" w:rsidRDefault="003D298B" w:rsidP="003D298B">
      <w:pPr>
        <w:pStyle w:val="clause-e"/>
        <w:shd w:val="clear" w:color="auto" w:fill="FFFFFF"/>
        <w:spacing w:before="0" w:beforeAutospacing="0" w:after="120" w:afterAutospacing="0"/>
        <w:ind w:left="720" w:hanging="360"/>
        <w:rPr>
          <w:rFonts w:ascii="Arial" w:hAnsi="Arial" w:cs="Arial"/>
        </w:rPr>
      </w:pPr>
      <w:r>
        <w:rPr>
          <w:rFonts w:ascii="Arial" w:hAnsi="Arial"/>
        </w:rPr>
        <w:t>a) soit pour l’année d’évaluation en cours de laquelle les travaux d’évaluation sont exécutés;</w:t>
      </w:r>
    </w:p>
    <w:p w14:paraId="77528CE6" w14:textId="77777777" w:rsidR="003D298B" w:rsidRPr="00A64BCD" w:rsidRDefault="003D298B" w:rsidP="003D298B">
      <w:pPr>
        <w:pStyle w:val="clause-e"/>
        <w:shd w:val="clear" w:color="auto" w:fill="FFFFFF"/>
        <w:spacing w:before="0" w:beforeAutospacing="0" w:after="120" w:afterAutospacing="0"/>
        <w:ind w:left="720" w:hanging="360"/>
        <w:rPr>
          <w:rFonts w:ascii="Arial" w:hAnsi="Arial" w:cs="Arial"/>
        </w:rPr>
      </w:pPr>
      <w:r>
        <w:rPr>
          <w:rFonts w:ascii="Arial" w:hAnsi="Arial"/>
        </w:rPr>
        <w:t>b) soit pour les années d’évaluation postérieures à l’année d’évaluation au cours de laquelle les travaux d’évaluation sont exécutés, sous réserve des restrictions énoncées à l’article 19;</w:t>
      </w:r>
    </w:p>
    <w:p w14:paraId="34F4569B" w14:textId="77777777" w:rsidR="003D298B" w:rsidRDefault="003D298B" w:rsidP="003D298B">
      <w:pPr>
        <w:pStyle w:val="clause-e"/>
        <w:shd w:val="clear" w:color="auto" w:fill="FFFFFF"/>
        <w:spacing w:before="0" w:beforeAutospacing="0" w:after="120" w:afterAutospacing="0"/>
        <w:ind w:left="720" w:hanging="360"/>
        <w:rPr>
          <w:rFonts w:ascii="Arial" w:hAnsi="Arial" w:cs="Arial"/>
        </w:rPr>
      </w:pPr>
      <w:r>
        <w:rPr>
          <w:rFonts w:ascii="Arial" w:hAnsi="Arial"/>
        </w:rPr>
        <w:t>c) soit pour les années d’évaluation visées aux alinéas a) et b).</w:t>
      </w:r>
    </w:p>
    <w:p w14:paraId="71B521E8" w14:textId="77777777" w:rsidR="003D298B" w:rsidRPr="0094368B" w:rsidRDefault="003D298B" w:rsidP="00170D35">
      <w:pPr>
        <w:pStyle w:val="Heading2"/>
        <w:spacing w:after="240"/>
        <w:rPr>
          <w:sz w:val="24"/>
          <w:szCs w:val="22"/>
          <w:shd w:val="clear" w:color="auto" w:fill="FFFFFF"/>
        </w:rPr>
      </w:pPr>
      <w:r>
        <w:t xml:space="preserve"> </w:t>
      </w:r>
      <w:bookmarkStart w:id="36" w:name="_Toc92365381"/>
      <w:bookmarkStart w:id="37" w:name="_Toc114482303"/>
      <w:r>
        <w:rPr>
          <w:sz w:val="24"/>
          <w:szCs w:val="22"/>
          <w:shd w:val="clear" w:color="auto" w:fill="FFFFFF"/>
        </w:rPr>
        <w:t>Allocation des crédits de travail d’évaluation</w:t>
      </w:r>
      <w:bookmarkEnd w:id="36"/>
      <w:bookmarkEnd w:id="37"/>
    </w:p>
    <w:p w14:paraId="4CE2BFFC" w14:textId="77777777" w:rsidR="003D298B" w:rsidRPr="00414889" w:rsidRDefault="003D298B" w:rsidP="003D298B">
      <w:pPr>
        <w:ind w:left="284"/>
        <w:contextualSpacing/>
        <w:rPr>
          <w:rFonts w:ascii="Arial" w:hAnsi="Arial" w:cs="Arial"/>
          <w:sz w:val="24"/>
          <w:szCs w:val="24"/>
        </w:rPr>
      </w:pPr>
      <w:r>
        <w:rPr>
          <w:rFonts w:ascii="Arial" w:hAnsi="Arial"/>
          <w:b/>
        </w:rPr>
        <w:t>17 (4)</w:t>
      </w:r>
      <w:r>
        <w:rPr>
          <w:rFonts w:ascii="Arial" w:hAnsi="Arial"/>
          <w:sz w:val="24"/>
          <w:szCs w:val="24"/>
        </w:rPr>
        <w:t xml:space="preserve"> Aux fins de l’attribution à un claim contigu, en vertu de l’alinéa (3) b), de crédits de travail d’évaluation de la réserve d’un claim, des claims sont considérés comme étant contigus si les cellules de la grille provinciale dans lesquelles ils sont situés sont contiguës de l’une des façons suivantes :</w:t>
      </w:r>
    </w:p>
    <w:p w14:paraId="31EC0662" w14:textId="77777777" w:rsidR="003D298B" w:rsidRPr="00414889" w:rsidRDefault="003D298B" w:rsidP="003D298B">
      <w:pPr>
        <w:pStyle w:val="paragraph-e"/>
        <w:shd w:val="clear" w:color="auto" w:fill="FFFFFF"/>
        <w:spacing w:before="0" w:beforeAutospacing="0" w:after="120" w:afterAutospacing="0"/>
        <w:ind w:left="720" w:hanging="360"/>
        <w:rPr>
          <w:rFonts w:ascii="Arial" w:hAnsi="Arial" w:cs="Arial"/>
        </w:rPr>
      </w:pPr>
      <w:r>
        <w:rPr>
          <w:rFonts w:ascii="Arial" w:hAnsi="Arial"/>
        </w:rPr>
        <w:t>1. Des cellules sont contiguës si elles se touchent par au moins un côté ou au moins un coin.</w:t>
      </w:r>
    </w:p>
    <w:p w14:paraId="46BD9D4A" w14:textId="77777777" w:rsidR="003D298B" w:rsidRPr="00414889" w:rsidRDefault="003D298B" w:rsidP="003D298B">
      <w:pPr>
        <w:pStyle w:val="paragraph-e"/>
        <w:shd w:val="clear" w:color="auto" w:fill="FFFFFF"/>
        <w:spacing w:before="0" w:beforeAutospacing="0" w:after="120" w:afterAutospacing="0"/>
        <w:ind w:left="720" w:hanging="360"/>
        <w:rPr>
          <w:rFonts w:ascii="Arial" w:hAnsi="Arial" w:cs="Arial"/>
        </w:rPr>
      </w:pPr>
      <w:r>
        <w:rPr>
          <w:rFonts w:ascii="Arial" w:hAnsi="Arial"/>
        </w:rPr>
        <w:t>2. Des cellules sont contiguës même si elles ne se touchent pas de la façon décrite à l’alinéa 1 si elles sont reliées par une ou plusieurs cellules qui sont contiguës de la façon décrite à cet alinéa.</w:t>
      </w:r>
    </w:p>
    <w:p w14:paraId="734808DB" w14:textId="77777777" w:rsidR="003D298B" w:rsidRPr="00414889" w:rsidRDefault="003D298B" w:rsidP="003D298B">
      <w:pPr>
        <w:pStyle w:val="subsection-e"/>
        <w:shd w:val="clear" w:color="auto" w:fill="FFFFFF"/>
        <w:ind w:left="284"/>
        <w:rPr>
          <w:rFonts w:ascii="Arial" w:hAnsi="Arial" w:cs="Arial"/>
        </w:rPr>
      </w:pPr>
      <w:r>
        <w:rPr>
          <w:rFonts w:ascii="Arial" w:hAnsi="Arial"/>
          <w:b/>
        </w:rPr>
        <w:t>17 (5)</w:t>
      </w:r>
      <w:r>
        <w:rPr>
          <w:rFonts w:ascii="Arial" w:hAnsi="Arial"/>
        </w:rPr>
        <w:t xml:space="preserve"> Aux fins de l’attribution à un claim contigu, en vertu de l’alinéa (3) b), de crédits de travail d’évaluation d’une réserve de terrains miniers qui ne sont pas des claims, les terrains miniers et un claim sont considérés comme étant contigus si, selon le cas :</w:t>
      </w:r>
    </w:p>
    <w:p w14:paraId="2D88A5C2" w14:textId="77777777" w:rsidR="003D298B" w:rsidRPr="00414889" w:rsidRDefault="003D298B" w:rsidP="003D298B">
      <w:pPr>
        <w:pStyle w:val="clause-e"/>
        <w:numPr>
          <w:ilvl w:val="0"/>
          <w:numId w:val="13"/>
        </w:numPr>
        <w:shd w:val="clear" w:color="auto" w:fill="FFFFFF"/>
        <w:spacing w:before="0" w:beforeAutospacing="0" w:after="120" w:afterAutospacing="0"/>
        <w:rPr>
          <w:rFonts w:ascii="Arial" w:hAnsi="Arial" w:cs="Arial"/>
        </w:rPr>
      </w:pPr>
      <w:r>
        <w:rPr>
          <w:rFonts w:ascii="Arial" w:hAnsi="Arial"/>
        </w:rPr>
        <w:t>les terrains miniers sont situés :</w:t>
      </w:r>
    </w:p>
    <w:p w14:paraId="6E4BC20A" w14:textId="77777777" w:rsidR="003D298B" w:rsidRPr="00414889" w:rsidRDefault="003D298B" w:rsidP="003D298B">
      <w:pPr>
        <w:pStyle w:val="subclause-e"/>
        <w:numPr>
          <w:ilvl w:val="0"/>
          <w:numId w:val="15"/>
        </w:numPr>
        <w:shd w:val="clear" w:color="auto" w:fill="FFFFFF"/>
        <w:spacing w:before="0" w:beforeAutospacing="0" w:after="120" w:afterAutospacing="0"/>
        <w:rPr>
          <w:rFonts w:ascii="Arial" w:hAnsi="Arial" w:cs="Arial"/>
        </w:rPr>
      </w:pPr>
      <w:r>
        <w:rPr>
          <w:rFonts w:ascii="Arial" w:hAnsi="Arial"/>
        </w:rPr>
        <w:t>soit dans la même cellule que le claim,</w:t>
      </w:r>
    </w:p>
    <w:p w14:paraId="6B5FED2C" w14:textId="77777777" w:rsidR="003D298B" w:rsidRPr="00414889" w:rsidRDefault="003D298B" w:rsidP="003D298B">
      <w:pPr>
        <w:pStyle w:val="subclause-e"/>
        <w:numPr>
          <w:ilvl w:val="0"/>
          <w:numId w:val="15"/>
        </w:numPr>
        <w:shd w:val="clear" w:color="auto" w:fill="FFFFFF"/>
        <w:spacing w:before="0" w:beforeAutospacing="0" w:after="120" w:afterAutospacing="0"/>
        <w:rPr>
          <w:rFonts w:ascii="Arial" w:hAnsi="Arial" w:cs="Arial"/>
        </w:rPr>
      </w:pPr>
      <w:r>
        <w:rPr>
          <w:rFonts w:ascii="Arial" w:hAnsi="Arial"/>
        </w:rPr>
        <w:t>soit dans la même cellule qu’un autre claim, celui-ci et le claim en question étant contigus conformément au paragraphe (4);</w:t>
      </w:r>
    </w:p>
    <w:p w14:paraId="5A1A8E6B" w14:textId="77777777" w:rsidR="003D298B" w:rsidRPr="00414889" w:rsidRDefault="003D298B" w:rsidP="00170D35">
      <w:pPr>
        <w:pStyle w:val="subclause-e"/>
        <w:shd w:val="clear" w:color="auto" w:fill="FFFFFF"/>
        <w:spacing w:before="0" w:beforeAutospacing="0" w:after="0" w:afterAutospacing="0"/>
        <w:ind w:left="644"/>
        <w:rPr>
          <w:rFonts w:ascii="Arial" w:hAnsi="Arial" w:cs="Arial"/>
        </w:rPr>
      </w:pPr>
    </w:p>
    <w:p w14:paraId="47D68C31" w14:textId="77777777" w:rsidR="003D298B" w:rsidRPr="00414889" w:rsidRDefault="003D298B" w:rsidP="003D298B">
      <w:pPr>
        <w:pStyle w:val="clause-e"/>
        <w:numPr>
          <w:ilvl w:val="0"/>
          <w:numId w:val="13"/>
        </w:numPr>
        <w:shd w:val="clear" w:color="auto" w:fill="FFFFFF"/>
        <w:spacing w:before="0" w:beforeAutospacing="0" w:after="120" w:afterAutospacing="0"/>
        <w:rPr>
          <w:rFonts w:ascii="Arial" w:hAnsi="Arial" w:cs="Arial"/>
        </w:rPr>
      </w:pPr>
      <w:r>
        <w:rPr>
          <w:rFonts w:ascii="Arial" w:hAnsi="Arial"/>
        </w:rPr>
        <w:t>les limites des terrains miniers touchent celles d’autres terrains miniers qui ne sont pas des claims et une partie de ces autres terrains miniers sont situés :</w:t>
      </w:r>
    </w:p>
    <w:p w14:paraId="0CCD0E2B" w14:textId="77777777" w:rsidR="003D298B" w:rsidRPr="00414889" w:rsidRDefault="003D298B" w:rsidP="003D298B">
      <w:pPr>
        <w:pStyle w:val="subclause-e"/>
        <w:numPr>
          <w:ilvl w:val="0"/>
          <w:numId w:val="14"/>
        </w:numPr>
        <w:shd w:val="clear" w:color="auto" w:fill="FFFFFF"/>
        <w:spacing w:before="0" w:beforeAutospacing="0" w:after="120" w:afterAutospacing="0"/>
        <w:rPr>
          <w:rFonts w:ascii="Arial" w:hAnsi="Arial" w:cs="Arial"/>
        </w:rPr>
      </w:pPr>
      <w:r>
        <w:rPr>
          <w:rFonts w:ascii="Arial" w:hAnsi="Arial"/>
        </w:rPr>
        <w:t>soit dans la même cellule que le claim,</w:t>
      </w:r>
    </w:p>
    <w:p w14:paraId="31A53D59" w14:textId="77777777" w:rsidR="003D298B" w:rsidRPr="00414889" w:rsidRDefault="003D298B" w:rsidP="003D298B">
      <w:pPr>
        <w:pStyle w:val="subclause-e"/>
        <w:numPr>
          <w:ilvl w:val="0"/>
          <w:numId w:val="14"/>
        </w:numPr>
        <w:shd w:val="clear" w:color="auto" w:fill="FFFFFF"/>
        <w:spacing w:before="0" w:beforeAutospacing="0" w:after="120" w:afterAutospacing="0"/>
        <w:rPr>
          <w:rFonts w:ascii="Arial" w:hAnsi="Arial" w:cs="Arial"/>
        </w:rPr>
      </w:pPr>
      <w:r>
        <w:rPr>
          <w:rFonts w:ascii="Arial" w:hAnsi="Arial"/>
        </w:rPr>
        <w:t>soit dans la même cellule qu’un autre claim, celui-ci et le claim en question étant contigus conformément au paragraphe (4);</w:t>
      </w:r>
    </w:p>
    <w:p w14:paraId="2B2F3BE0" w14:textId="77777777" w:rsidR="003D298B" w:rsidRPr="00414889" w:rsidRDefault="003D298B" w:rsidP="003D298B">
      <w:pPr>
        <w:pStyle w:val="subsection-e"/>
        <w:shd w:val="clear" w:color="auto" w:fill="FFFFFF"/>
        <w:ind w:left="284"/>
        <w:rPr>
          <w:rFonts w:ascii="Arial" w:hAnsi="Arial" w:cs="Arial"/>
        </w:rPr>
      </w:pPr>
      <w:r>
        <w:rPr>
          <w:rFonts w:ascii="Arial" w:hAnsi="Arial"/>
          <w:b/>
        </w:rPr>
        <w:lastRenderedPageBreak/>
        <w:t>17 (6)</w:t>
      </w:r>
      <w:r>
        <w:rPr>
          <w:rFonts w:ascii="Arial" w:hAnsi="Arial"/>
        </w:rPr>
        <w:t> Le titulaire ou propriétaire de terrains miniers ne doit pas attribuer les crédits de travaux d’évaluation de la réserve de ces terrains à un claim contigu, sauf si les terrains miniers et le claim, et tout autre claim ou terrain minier qui les relie entre eux conformément aux règles de contiguïté décrites aux paragraphes (4) et (5) :</w:t>
      </w:r>
    </w:p>
    <w:p w14:paraId="4E18D139" w14:textId="77777777" w:rsidR="003D298B" w:rsidRPr="00414889" w:rsidRDefault="003D298B" w:rsidP="003D298B">
      <w:pPr>
        <w:pStyle w:val="clause-e"/>
        <w:numPr>
          <w:ilvl w:val="0"/>
          <w:numId w:val="16"/>
        </w:numPr>
        <w:shd w:val="clear" w:color="auto" w:fill="FFFFFF"/>
        <w:spacing w:before="0" w:beforeAutospacing="0" w:after="120" w:afterAutospacing="0"/>
        <w:rPr>
          <w:rFonts w:ascii="Arial" w:hAnsi="Arial" w:cs="Arial"/>
        </w:rPr>
      </w:pPr>
      <w:r>
        <w:rPr>
          <w:rFonts w:ascii="Arial" w:hAnsi="Arial"/>
        </w:rPr>
        <w:t>soit ont le même titulaire ou propriétaire;</w:t>
      </w:r>
    </w:p>
    <w:p w14:paraId="291F512C" w14:textId="77777777" w:rsidR="003D298B" w:rsidRPr="00414889" w:rsidRDefault="003D298B" w:rsidP="003D298B">
      <w:pPr>
        <w:pStyle w:val="clause-e"/>
        <w:numPr>
          <w:ilvl w:val="0"/>
          <w:numId w:val="16"/>
        </w:numPr>
        <w:shd w:val="clear" w:color="auto" w:fill="FFFFFF"/>
        <w:spacing w:before="0" w:beforeAutospacing="0" w:after="120" w:afterAutospacing="0"/>
        <w:rPr>
          <w:rFonts w:ascii="Arial" w:hAnsi="Arial" w:cs="Arial"/>
        </w:rPr>
      </w:pPr>
      <w:r>
        <w:rPr>
          <w:rFonts w:ascii="Arial" w:hAnsi="Arial"/>
        </w:rPr>
        <w:t>soit ont au moins un titulaire ou propriétaire en commun, si un groupe de personnes est le titulaire ou propriétaire d’au moins l’un d’entre eux;</w:t>
      </w:r>
    </w:p>
    <w:p w14:paraId="3179DA2E" w14:textId="77777777" w:rsidR="003D298B" w:rsidRDefault="003D298B" w:rsidP="003D298B">
      <w:pPr>
        <w:pStyle w:val="clause-e"/>
        <w:numPr>
          <w:ilvl w:val="0"/>
          <w:numId w:val="16"/>
        </w:numPr>
        <w:shd w:val="clear" w:color="auto" w:fill="FFFFFF"/>
        <w:spacing w:before="0" w:beforeAutospacing="0" w:after="120" w:afterAutospacing="0"/>
        <w:rPr>
          <w:rFonts w:ascii="Arial" w:hAnsi="Arial" w:cs="Arial"/>
        </w:rPr>
      </w:pPr>
      <w:r>
        <w:rPr>
          <w:rFonts w:ascii="Arial" w:hAnsi="Arial"/>
        </w:rPr>
        <w:t>soit ont le même chef des travaux d’évaluation nommé en vertu de l’article 18.</w:t>
      </w:r>
    </w:p>
    <w:p w14:paraId="5165A252" w14:textId="77777777" w:rsidR="003D298B" w:rsidRPr="00170D35" w:rsidRDefault="003D298B" w:rsidP="00170D35">
      <w:pPr>
        <w:pStyle w:val="Heading2"/>
        <w:rPr>
          <w:sz w:val="24"/>
          <w:szCs w:val="22"/>
        </w:rPr>
      </w:pPr>
      <w:bookmarkStart w:id="38" w:name="_Toc92365382"/>
      <w:bookmarkStart w:id="39" w:name="_Toc114482304"/>
      <w:r>
        <w:rPr>
          <w:sz w:val="24"/>
          <w:szCs w:val="22"/>
        </w:rPr>
        <w:t>Chef des travaux d’évaluation</w:t>
      </w:r>
      <w:bookmarkEnd w:id="38"/>
      <w:bookmarkEnd w:id="39"/>
    </w:p>
    <w:p w14:paraId="43110126" w14:textId="77777777" w:rsidR="003D298B" w:rsidRPr="00A64BCD" w:rsidRDefault="003D298B" w:rsidP="003D298B">
      <w:pPr>
        <w:pStyle w:val="section-e"/>
        <w:shd w:val="clear" w:color="auto" w:fill="FFFFFF"/>
        <w:rPr>
          <w:rFonts w:ascii="Arial" w:hAnsi="Arial" w:cs="Arial"/>
        </w:rPr>
      </w:pPr>
      <w:r>
        <w:rPr>
          <w:rFonts w:ascii="Arial" w:hAnsi="Arial"/>
          <w:b/>
          <w:bCs/>
        </w:rPr>
        <w:t>18. </w:t>
      </w:r>
      <w:r>
        <w:rPr>
          <w:rFonts w:ascii="Arial" w:hAnsi="Arial"/>
        </w:rPr>
        <w:t>(1) Le titulaire ou propriétaire de terrains miniers peut nommer un chef des travaux pour allouer à sa place et conformément au présent règlement les crédits de travail d’évaluation des réserves de ces terrains.</w:t>
      </w:r>
    </w:p>
    <w:p w14:paraId="2877FE26" w14:textId="77777777" w:rsidR="003D298B" w:rsidRPr="00170D35" w:rsidRDefault="003D298B" w:rsidP="00170D35">
      <w:pPr>
        <w:pStyle w:val="Heading2"/>
        <w:spacing w:after="240"/>
        <w:rPr>
          <w:sz w:val="24"/>
          <w:szCs w:val="22"/>
          <w:shd w:val="clear" w:color="auto" w:fill="FFFFFF"/>
        </w:rPr>
      </w:pPr>
      <w:bookmarkStart w:id="40" w:name="_Toc92365383"/>
      <w:bookmarkStart w:id="41" w:name="_Toc114482305"/>
      <w:r>
        <w:rPr>
          <w:sz w:val="24"/>
          <w:szCs w:val="22"/>
          <w:shd w:val="clear" w:color="auto" w:fill="FFFFFF"/>
        </w:rPr>
        <w:t>Plafonnement de l’allocation des crédits</w:t>
      </w:r>
      <w:bookmarkEnd w:id="40"/>
      <w:bookmarkEnd w:id="41"/>
    </w:p>
    <w:p w14:paraId="0B66B07C" w14:textId="33E1883E" w:rsidR="003D298B" w:rsidRPr="00AD0C53" w:rsidRDefault="003D298B" w:rsidP="003D298B">
      <w:pPr>
        <w:pStyle w:val="clause-e"/>
        <w:shd w:val="clear" w:color="auto" w:fill="FFFFFF"/>
        <w:spacing w:before="0" w:beforeAutospacing="0" w:after="120" w:afterAutospacing="0"/>
        <w:rPr>
          <w:rFonts w:ascii="Arial" w:hAnsi="Arial" w:cs="Arial"/>
          <w:b/>
          <w:shd w:val="clear" w:color="auto" w:fill="FFFFFF"/>
        </w:rPr>
      </w:pPr>
      <w:r>
        <w:rPr>
          <w:rFonts w:ascii="Arial" w:hAnsi="Arial"/>
          <w:b/>
          <w:bCs/>
          <w:shd w:val="clear" w:color="auto" w:fill="FFFFFF"/>
        </w:rPr>
        <w:t>19. </w:t>
      </w:r>
      <w:r>
        <w:rPr>
          <w:rFonts w:ascii="Arial" w:hAnsi="Arial"/>
          <w:shd w:val="clear" w:color="auto" w:fill="FFFFFF"/>
        </w:rPr>
        <w:t>Le montant des crédits de travail d’évaluation de la réserve d’un claim ou d’autres terrains miniers qui peuvent être alloués à un claim à un moment donné est assujetti aux plafonds suivants :</w:t>
      </w:r>
    </w:p>
    <w:p w14:paraId="7D8D47A8" w14:textId="77777777" w:rsidR="003D298B" w:rsidRPr="00B66695" w:rsidRDefault="003D298B" w:rsidP="003D298B">
      <w:pPr>
        <w:pStyle w:val="paragraph-e"/>
        <w:shd w:val="clear" w:color="auto" w:fill="FFFFFF"/>
        <w:spacing w:before="0" w:beforeAutospacing="0" w:after="120" w:afterAutospacing="0"/>
        <w:ind w:left="720" w:hanging="360"/>
        <w:rPr>
          <w:rFonts w:ascii="Arial" w:hAnsi="Arial" w:cs="Arial"/>
        </w:rPr>
      </w:pPr>
      <w:r>
        <w:rPr>
          <w:rFonts w:ascii="Arial" w:hAnsi="Arial"/>
        </w:rPr>
        <w:t xml:space="preserve"> 1. Le montant de crédits de travail d’évaluation alloués à un claim ne doit pas dépasser le montant nécessaire pour satisfaire aux exigences relatives aux unités annuelles de travail d’évaluation à exécuter l’année d’évaluation de l’allocation et pour les cinq subséquentes.</w:t>
      </w:r>
    </w:p>
    <w:p w14:paraId="3002E43B" w14:textId="77777777" w:rsidR="003D298B" w:rsidRPr="00B66695" w:rsidRDefault="003D298B" w:rsidP="003D298B">
      <w:pPr>
        <w:pStyle w:val="paragraph-e"/>
        <w:shd w:val="clear" w:color="auto" w:fill="FFFFFF"/>
        <w:spacing w:before="0" w:beforeAutospacing="0" w:after="120" w:afterAutospacing="0"/>
        <w:ind w:left="720" w:hanging="360"/>
        <w:rPr>
          <w:rFonts w:ascii="Arial" w:hAnsi="Arial" w:cs="Arial"/>
        </w:rPr>
      </w:pPr>
      <w:r>
        <w:rPr>
          <w:rFonts w:ascii="Arial" w:hAnsi="Arial"/>
        </w:rPr>
        <w:t>2. Le montant maximal des crédits de travail d’évaluation provenant de la réserve d’un claim qui peuvent être alloués à un ou plusieurs claims contigus pour une année d’évaluation donnée est le suivant :</w:t>
      </w:r>
    </w:p>
    <w:p w14:paraId="79FA69FF" w14:textId="77777777" w:rsidR="003D298B" w:rsidRPr="00B66695" w:rsidRDefault="003D298B" w:rsidP="003D298B">
      <w:pPr>
        <w:pStyle w:val="subpara-e"/>
        <w:shd w:val="clear" w:color="auto" w:fill="FFFFFF"/>
        <w:ind w:left="1080"/>
        <w:rPr>
          <w:rFonts w:ascii="Arial" w:hAnsi="Arial" w:cs="Arial"/>
        </w:rPr>
      </w:pPr>
      <w:r>
        <w:rPr>
          <w:rFonts w:ascii="Arial" w:hAnsi="Arial"/>
        </w:rPr>
        <w:t>i. 50 000 $, dans le cas de l’allocation de crédits de la réserve d’un claim sur cellule mixte ou d’un claim sur cellule constitué d’une ou deux cellules,</w:t>
      </w:r>
    </w:p>
    <w:p w14:paraId="16C14F2E" w14:textId="77777777" w:rsidR="003D298B" w:rsidRPr="00B66695" w:rsidRDefault="003D298B" w:rsidP="003D298B">
      <w:pPr>
        <w:pStyle w:val="subpara-e"/>
        <w:shd w:val="clear" w:color="auto" w:fill="FFFFFF"/>
        <w:ind w:left="1080"/>
        <w:rPr>
          <w:rFonts w:ascii="Arial" w:hAnsi="Arial" w:cs="Arial"/>
        </w:rPr>
      </w:pPr>
      <w:r>
        <w:rPr>
          <w:rFonts w:ascii="Arial" w:hAnsi="Arial"/>
        </w:rPr>
        <w:t>ii. 100 000 $, dans le cas de l’allocation de crédits de la réserve d’un claim sur cellule constitué de trois à cinq cellules,</w:t>
      </w:r>
    </w:p>
    <w:p w14:paraId="11074EC9" w14:textId="77777777" w:rsidR="003D298B" w:rsidRPr="00B66695" w:rsidRDefault="003D298B" w:rsidP="003D298B">
      <w:pPr>
        <w:pStyle w:val="subpara-e"/>
        <w:shd w:val="clear" w:color="auto" w:fill="FFFFFF"/>
        <w:ind w:left="1080"/>
        <w:rPr>
          <w:rFonts w:ascii="Arial" w:hAnsi="Arial" w:cs="Arial"/>
        </w:rPr>
      </w:pPr>
      <w:r>
        <w:rPr>
          <w:rFonts w:ascii="Arial" w:hAnsi="Arial"/>
        </w:rPr>
        <w:t>iii. 150 000 $, dans le cas de l’allocation de crédits de la réserve d’un claim sur cellule constitué de 6 à 25 cellules.</w:t>
      </w:r>
    </w:p>
    <w:p w14:paraId="6883C19C" w14:textId="77777777" w:rsidR="00F66743" w:rsidRDefault="003D298B" w:rsidP="00F66743">
      <w:pPr>
        <w:pStyle w:val="paragraph-e"/>
        <w:shd w:val="clear" w:color="auto" w:fill="FFFFFF"/>
        <w:spacing w:before="0" w:beforeAutospacing="0" w:after="120" w:afterAutospacing="0"/>
        <w:ind w:left="720" w:hanging="360"/>
        <w:rPr>
          <w:rFonts w:ascii="Arial" w:hAnsi="Arial" w:cs="Arial"/>
        </w:rPr>
      </w:pPr>
      <w:r>
        <w:rPr>
          <w:rFonts w:ascii="Arial" w:hAnsi="Arial"/>
        </w:rPr>
        <w:t>3. Le montant maximal de crédits de travail d’évaluation de la réserve de terrains miniers qui ne sont pas des claims qui peuvent être alloués à un ou plusieurs claims contigus pour une année donnée est le suivant :</w:t>
      </w:r>
    </w:p>
    <w:p w14:paraId="773D6767" w14:textId="77777777" w:rsidR="00F66743" w:rsidRDefault="0068246E" w:rsidP="00FA5E49">
      <w:pPr>
        <w:pStyle w:val="paragraph-e"/>
        <w:shd w:val="clear" w:color="auto" w:fill="FFFFFF"/>
        <w:ind w:left="1434" w:hanging="357"/>
        <w:rPr>
          <w:rFonts w:ascii="Arial" w:hAnsi="Arial" w:cs="Arial"/>
        </w:rPr>
      </w:pPr>
      <w:r>
        <w:rPr>
          <w:rFonts w:ascii="Arial" w:hAnsi="Arial"/>
        </w:rPr>
        <w:t xml:space="preserve"> i. 50 000 $, dans le cas des terrains miniers d’une superficie d’au plus 25 hectares,</w:t>
      </w:r>
    </w:p>
    <w:p w14:paraId="76E2F274" w14:textId="77777777" w:rsidR="00F66743" w:rsidRDefault="003D298B" w:rsidP="00FA5E49">
      <w:pPr>
        <w:pStyle w:val="paragraph-e"/>
        <w:shd w:val="clear" w:color="auto" w:fill="FFFFFF"/>
        <w:ind w:left="1434" w:hanging="357"/>
        <w:rPr>
          <w:rFonts w:ascii="Arial" w:hAnsi="Arial" w:cs="Arial"/>
        </w:rPr>
      </w:pPr>
      <w:r>
        <w:rPr>
          <w:rFonts w:ascii="Arial" w:hAnsi="Arial"/>
        </w:rPr>
        <w:lastRenderedPageBreak/>
        <w:t xml:space="preserve"> ii. 100 000 $, dans le cas des terrains miniers d’une superficie de plus de 25 hectares mais de moins de 100 hectares,    </w:t>
      </w:r>
    </w:p>
    <w:p w14:paraId="502CA3E8" w14:textId="62D740EF" w:rsidR="003D298B" w:rsidRPr="00C84B0F" w:rsidRDefault="003D298B" w:rsidP="00FA5E49">
      <w:pPr>
        <w:pStyle w:val="paragraph-e"/>
        <w:shd w:val="clear" w:color="auto" w:fill="FFFFFF"/>
        <w:ind w:left="1434" w:hanging="357"/>
        <w:rPr>
          <w:rFonts w:ascii="Arial" w:hAnsi="Arial" w:cs="Arial"/>
        </w:rPr>
      </w:pPr>
      <w:r>
        <w:rPr>
          <w:rFonts w:ascii="Arial" w:hAnsi="Arial"/>
        </w:rPr>
        <w:t xml:space="preserve"> iii. 150 000 $, dans le cas des terrains miniers d’une superficie de plus de 100 hectares.</w:t>
      </w:r>
    </w:p>
    <w:sectPr w:rsidR="003D298B" w:rsidRPr="00C84B0F">
      <w:headerReference w:type="even" r:id="rId23"/>
      <w:headerReference w:type="default" r:id="rId24"/>
      <w:footerReference w:type="default" r:id="rId25"/>
      <w:headerReference w:type="first" r:id="rId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737A1" w14:textId="77777777" w:rsidR="00206DBE" w:rsidRDefault="00206DBE" w:rsidP="00F72078">
      <w:pPr>
        <w:spacing w:after="0" w:line="240" w:lineRule="auto"/>
      </w:pPr>
      <w:r>
        <w:separator/>
      </w:r>
    </w:p>
  </w:endnote>
  <w:endnote w:type="continuationSeparator" w:id="0">
    <w:p w14:paraId="4CCF3DCF" w14:textId="77777777" w:rsidR="00206DBE" w:rsidRDefault="00206DBE" w:rsidP="00F72078">
      <w:pPr>
        <w:spacing w:after="0" w:line="240" w:lineRule="auto"/>
      </w:pPr>
      <w:r>
        <w:continuationSeparator/>
      </w:r>
    </w:p>
  </w:endnote>
  <w:endnote w:type="continuationNotice" w:id="1">
    <w:p w14:paraId="4F485443" w14:textId="77777777" w:rsidR="00206DBE" w:rsidRDefault="00206D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80FC" w14:textId="24C244F7" w:rsidR="00A931AB" w:rsidRDefault="00A931AB">
    <w:pPr>
      <w:pStyle w:val="Footer"/>
    </w:pPr>
    <w:r>
      <w:tab/>
    </w:r>
    <w:r>
      <w:tab/>
      <w:t xml:space="preserve">Page </w:t>
    </w:r>
    <w:r>
      <w:rPr>
        <w:b/>
      </w:rPr>
      <w:fldChar w:fldCharType="begin"/>
    </w:r>
    <w:r>
      <w:rPr>
        <w:b/>
      </w:rPr>
      <w:instrText xml:space="preserve"> PAGE  \* Arabic  \* MERGEFORMAT </w:instrText>
    </w:r>
    <w:r>
      <w:rPr>
        <w:b/>
      </w:rPr>
      <w:fldChar w:fldCharType="separate"/>
    </w:r>
    <w:r>
      <w:rPr>
        <w:b/>
      </w:rPr>
      <w:t>14</w:t>
    </w:r>
    <w:r>
      <w:rPr>
        <w:b/>
      </w:rPr>
      <w:fldChar w:fldCharType="end"/>
    </w:r>
    <w:r>
      <w:t xml:space="preserve"> de </w:t>
    </w:r>
    <w:r>
      <w:rPr>
        <w:b/>
      </w:rPr>
      <w:fldChar w:fldCharType="begin"/>
    </w:r>
    <w:r>
      <w:rPr>
        <w:b/>
      </w:rPr>
      <w:instrText xml:space="preserve"> NUMPAGES  \* Arabic  \* MERGEFORMAT </w:instrText>
    </w:r>
    <w:r>
      <w:rPr>
        <w:b/>
      </w:rPr>
      <w:fldChar w:fldCharType="separate"/>
    </w:r>
    <w:r>
      <w:rPr>
        <w:b/>
      </w:rPr>
      <w:t>14</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23790" w14:textId="77777777" w:rsidR="00206DBE" w:rsidRDefault="00206DBE" w:rsidP="00F72078">
      <w:pPr>
        <w:spacing w:after="0" w:line="240" w:lineRule="auto"/>
      </w:pPr>
      <w:r>
        <w:separator/>
      </w:r>
    </w:p>
  </w:footnote>
  <w:footnote w:type="continuationSeparator" w:id="0">
    <w:p w14:paraId="5562C05B" w14:textId="77777777" w:rsidR="00206DBE" w:rsidRDefault="00206DBE" w:rsidP="00F72078">
      <w:pPr>
        <w:spacing w:after="0" w:line="240" w:lineRule="auto"/>
      </w:pPr>
      <w:r>
        <w:continuationSeparator/>
      </w:r>
    </w:p>
  </w:footnote>
  <w:footnote w:type="continuationNotice" w:id="1">
    <w:p w14:paraId="143FD813" w14:textId="77777777" w:rsidR="00206DBE" w:rsidRDefault="00206DBE">
      <w:pPr>
        <w:spacing w:after="0" w:line="240" w:lineRule="auto"/>
      </w:pPr>
    </w:p>
  </w:footnote>
  <w:footnote w:id="2">
    <w:p w14:paraId="1B4AB6EE" w14:textId="77777777" w:rsidR="00881852" w:rsidRPr="00556097" w:rsidRDefault="00881852" w:rsidP="00881852">
      <w:pPr>
        <w:spacing w:after="0" w:line="240" w:lineRule="auto"/>
        <w:rPr>
          <w:sz w:val="20"/>
          <w:szCs w:val="20"/>
        </w:rPr>
      </w:pPr>
      <w:r>
        <w:rPr>
          <w:rStyle w:val="FootnoteReference"/>
        </w:rPr>
        <w:footnoteRef/>
      </w:r>
      <w:r>
        <w:t xml:space="preserve"> </w:t>
      </w:r>
      <w:r>
        <w:rPr>
          <w:sz w:val="20"/>
          <w:szCs w:val="20"/>
        </w:rPr>
        <w:t xml:space="preserve">Tous les énoncés concernant les exigences législatives et réglementaires sont exacts à la date de publication de la présente politique. Toutefois, la loi et les règlements peuvent changer de temps à autre. Des copies à jour de la </w:t>
      </w:r>
      <w:r>
        <w:rPr>
          <w:i/>
          <w:iCs/>
          <w:sz w:val="20"/>
          <w:szCs w:val="20"/>
        </w:rPr>
        <w:t>Loi sur les mines</w:t>
      </w:r>
      <w:r>
        <w:rPr>
          <w:sz w:val="20"/>
          <w:szCs w:val="20"/>
        </w:rPr>
        <w:t xml:space="preserve"> et du Règl. de l’Ont. 65/18 sont disponibles aux liens suivants :</w:t>
      </w:r>
    </w:p>
    <w:p w14:paraId="1C587738" w14:textId="77777777" w:rsidR="00881852" w:rsidRPr="00556097" w:rsidRDefault="00881852" w:rsidP="00881852">
      <w:pPr>
        <w:spacing w:after="0" w:line="240" w:lineRule="auto"/>
        <w:rPr>
          <w:rFonts w:ascii="Arial" w:eastAsia="Times New Roman" w:hAnsi="Arial" w:cs="Arial"/>
          <w:sz w:val="20"/>
          <w:szCs w:val="20"/>
        </w:rPr>
      </w:pPr>
    </w:p>
    <w:p w14:paraId="08E26003" w14:textId="77777777" w:rsidR="00881852" w:rsidRPr="00556097" w:rsidRDefault="00881852" w:rsidP="00881852">
      <w:pPr>
        <w:spacing w:after="0" w:line="240" w:lineRule="auto"/>
        <w:rPr>
          <w:rFonts w:ascii="Arial" w:eastAsia="Times New Roman" w:hAnsi="Arial" w:cs="Arial"/>
          <w:color w:val="44546A"/>
          <w:sz w:val="20"/>
          <w:szCs w:val="20"/>
        </w:rPr>
      </w:pPr>
      <w:r>
        <w:rPr>
          <w:rFonts w:ascii="Arial" w:hAnsi="Arial"/>
          <w:i/>
          <w:iCs/>
          <w:sz w:val="20"/>
          <w:szCs w:val="20"/>
        </w:rPr>
        <w:t>Loi sur les mines</w:t>
      </w:r>
      <w:r>
        <w:rPr>
          <w:rFonts w:ascii="Arial" w:hAnsi="Arial"/>
          <w:sz w:val="20"/>
          <w:szCs w:val="20"/>
        </w:rPr>
        <w:t xml:space="preserve"> : </w:t>
      </w:r>
      <w:hyperlink r:id="rId1" w:history="1">
        <w:r>
          <w:rPr>
            <w:rStyle w:val="Hyperlink"/>
            <w:rFonts w:ascii="Arial" w:hAnsi="Arial"/>
            <w:sz w:val="20"/>
            <w:szCs w:val="20"/>
          </w:rPr>
          <w:t>https://www.ontario.ca/fr/lois/loi/90m14</w:t>
        </w:r>
      </w:hyperlink>
      <w:r>
        <w:rPr>
          <w:rFonts w:ascii="Arial" w:hAnsi="Arial"/>
          <w:sz w:val="20"/>
          <w:szCs w:val="20"/>
        </w:rPr>
        <w:t xml:space="preserve"> </w:t>
      </w:r>
    </w:p>
    <w:p w14:paraId="6F89FD32" w14:textId="77777777" w:rsidR="00881852" w:rsidRPr="00556097" w:rsidRDefault="00881852" w:rsidP="00881852">
      <w:pPr>
        <w:pStyle w:val="FootnoteText"/>
        <w:rPr>
          <w:rFonts w:ascii="Arial" w:hAnsi="Arial" w:cs="Arial"/>
        </w:rPr>
      </w:pPr>
      <w:r>
        <w:rPr>
          <w:rFonts w:ascii="Arial" w:hAnsi="Arial"/>
        </w:rPr>
        <w:t xml:space="preserve">Règl. de l’Ont. 65/18 : Travaux d’évaluation : </w:t>
      </w:r>
      <w:hyperlink r:id="rId2" w:history="1">
        <w:r>
          <w:rPr>
            <w:rStyle w:val="Hyperlink"/>
            <w:rFonts w:ascii="Arial" w:hAnsi="Arial"/>
          </w:rPr>
          <w:t>https://www.ontario.ca/fr/lois/reglement/180065</w:t>
        </w:r>
      </w:hyperlink>
    </w:p>
    <w:p w14:paraId="1BC36A84" w14:textId="77777777" w:rsidR="00881852" w:rsidRPr="001D0FA1" w:rsidRDefault="00881852" w:rsidP="0088185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EE41" w14:textId="0C4D6E3C" w:rsidR="00A931AB" w:rsidRDefault="00C30E72">
    <w:pPr>
      <w:pStyle w:val="Header"/>
    </w:pPr>
    <w:r>
      <w:pict w14:anchorId="234AEC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913641"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A532" w14:textId="4161D0C5" w:rsidR="00A931AB" w:rsidRDefault="00C30E72">
    <w:pPr>
      <w:pStyle w:val="Header"/>
    </w:pPr>
    <w:r>
      <w:pict w14:anchorId="21CC9A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913642"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A631" w14:textId="31448F16" w:rsidR="00A931AB" w:rsidRDefault="00C30E72">
    <w:pPr>
      <w:pStyle w:val="Header"/>
    </w:pPr>
    <w:r>
      <w:pict w14:anchorId="5E8BB8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913640"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0B95"/>
    <w:multiLevelType w:val="hybridMultilevel"/>
    <w:tmpl w:val="D1C03C4C"/>
    <w:lvl w:ilvl="0" w:tplc="1E74CE10">
      <w:start w:val="1"/>
      <w:numFmt w:val="lowerLetter"/>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 w15:restartNumberingAfterBreak="0">
    <w:nsid w:val="11286E99"/>
    <w:multiLevelType w:val="hybridMultilevel"/>
    <w:tmpl w:val="3404F398"/>
    <w:lvl w:ilvl="0" w:tplc="99A6F812">
      <w:start w:val="1"/>
      <w:numFmt w:val="lowerRoman"/>
      <w:lvlText w:val="(%1)"/>
      <w:lvlJc w:val="left"/>
      <w:pPr>
        <w:ind w:left="1080" w:hanging="360"/>
      </w:pPr>
      <w:rPr>
        <w:rFonts w:hint="default"/>
      </w:rPr>
    </w:lvl>
    <w:lvl w:ilvl="1" w:tplc="10090019">
      <w:start w:val="1"/>
      <w:numFmt w:val="lowerLetter"/>
      <w:lvlText w:val="%2."/>
      <w:lvlJc w:val="left"/>
      <w:pPr>
        <w:ind w:left="1800" w:hanging="360"/>
      </w:pPr>
    </w:lvl>
    <w:lvl w:ilvl="2" w:tplc="D72C3B9C">
      <w:start w:val="1"/>
      <w:numFmt w:val="lowerLetter"/>
      <w:lvlText w:val="(%3)"/>
      <w:lvlJc w:val="left"/>
      <w:pPr>
        <w:ind w:left="2700" w:hanging="360"/>
      </w:pPr>
      <w:rPr>
        <w:rFonts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4EF4138"/>
    <w:multiLevelType w:val="hybridMultilevel"/>
    <w:tmpl w:val="C822481E"/>
    <w:lvl w:ilvl="0" w:tplc="D466CA3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E0B3619"/>
    <w:multiLevelType w:val="hybridMultilevel"/>
    <w:tmpl w:val="EA36BFEC"/>
    <w:lvl w:ilvl="0" w:tplc="DE88C09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11432C1"/>
    <w:multiLevelType w:val="hybridMultilevel"/>
    <w:tmpl w:val="AAE0D3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2562E3"/>
    <w:multiLevelType w:val="hybridMultilevel"/>
    <w:tmpl w:val="5CBAC74E"/>
    <w:lvl w:ilvl="0" w:tplc="0BC6F2A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6256C31"/>
    <w:multiLevelType w:val="hybridMultilevel"/>
    <w:tmpl w:val="D7A6B64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C3C0B62"/>
    <w:multiLevelType w:val="hybridMultilevel"/>
    <w:tmpl w:val="DB444A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801406"/>
    <w:multiLevelType w:val="hybridMultilevel"/>
    <w:tmpl w:val="A0508848"/>
    <w:lvl w:ilvl="0" w:tplc="0B9E13F4">
      <w:start w:val="1"/>
      <w:numFmt w:val="lowerLetter"/>
      <w:lvlText w:val="(%1)"/>
      <w:lvlJc w:val="left"/>
      <w:pPr>
        <w:ind w:left="644" w:hanging="360"/>
      </w:pPr>
      <w:rPr>
        <w:rFonts w:hint="default"/>
      </w:rPr>
    </w:lvl>
    <w:lvl w:ilvl="1" w:tplc="10090019">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9" w15:restartNumberingAfterBreak="0">
    <w:nsid w:val="464B5BC5"/>
    <w:multiLevelType w:val="hybridMultilevel"/>
    <w:tmpl w:val="D9588760"/>
    <w:lvl w:ilvl="0" w:tplc="CCCE7AD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9592213"/>
    <w:multiLevelType w:val="hybridMultilevel"/>
    <w:tmpl w:val="F12E293A"/>
    <w:lvl w:ilvl="0" w:tplc="99A6F812">
      <w:start w:val="1"/>
      <w:numFmt w:val="lowerRoman"/>
      <w:lvlText w:val="(%1)"/>
      <w:lvlJc w:val="left"/>
      <w:pPr>
        <w:ind w:left="1004" w:hanging="360"/>
      </w:pPr>
      <w:rPr>
        <w:rFonts w:hint="default"/>
      </w:rPr>
    </w:lvl>
    <w:lvl w:ilvl="1" w:tplc="99A6F812">
      <w:start w:val="1"/>
      <w:numFmt w:val="lowerRoman"/>
      <w:lvlText w:val="(%2)"/>
      <w:lvlJc w:val="left"/>
      <w:pPr>
        <w:ind w:left="1724" w:hanging="360"/>
      </w:pPr>
      <w:rPr>
        <w:rFonts w:hint="default"/>
      </w:r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1" w15:restartNumberingAfterBreak="0">
    <w:nsid w:val="5033009B"/>
    <w:multiLevelType w:val="hybridMultilevel"/>
    <w:tmpl w:val="4FEEEE50"/>
    <w:lvl w:ilvl="0" w:tplc="2F5EA88A">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33020AF"/>
    <w:multiLevelType w:val="hybridMultilevel"/>
    <w:tmpl w:val="4698B250"/>
    <w:lvl w:ilvl="0" w:tplc="0BC6F2AC">
      <w:start w:val="1"/>
      <w:numFmt w:val="lowerRoman"/>
      <w:lvlText w:val="(%1)"/>
      <w:lvlJc w:val="left"/>
      <w:pPr>
        <w:ind w:left="1145"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6A80F82"/>
    <w:multiLevelType w:val="hybridMultilevel"/>
    <w:tmpl w:val="C69008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C9017D9"/>
    <w:multiLevelType w:val="hybridMultilevel"/>
    <w:tmpl w:val="2758A06E"/>
    <w:lvl w:ilvl="0" w:tplc="FEB8973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FD63437"/>
    <w:multiLevelType w:val="hybridMultilevel"/>
    <w:tmpl w:val="C3B0E274"/>
    <w:lvl w:ilvl="0" w:tplc="0B9E13F4">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3"/>
  </w:num>
  <w:num w:numId="2">
    <w:abstractNumId w:val="7"/>
  </w:num>
  <w:num w:numId="3">
    <w:abstractNumId w:val="6"/>
  </w:num>
  <w:num w:numId="4">
    <w:abstractNumId w:val="5"/>
  </w:num>
  <w:num w:numId="5">
    <w:abstractNumId w:val="9"/>
  </w:num>
  <w:num w:numId="6">
    <w:abstractNumId w:val="4"/>
  </w:num>
  <w:num w:numId="7">
    <w:abstractNumId w:val="14"/>
  </w:num>
  <w:num w:numId="8">
    <w:abstractNumId w:val="3"/>
  </w:num>
  <w:num w:numId="9">
    <w:abstractNumId w:val="12"/>
  </w:num>
  <w:num w:numId="10">
    <w:abstractNumId w:val="11"/>
  </w:num>
  <w:num w:numId="11">
    <w:abstractNumId w:val="0"/>
  </w:num>
  <w:num w:numId="12">
    <w:abstractNumId w:val="2"/>
  </w:num>
  <w:num w:numId="13">
    <w:abstractNumId w:val="8"/>
  </w:num>
  <w:num w:numId="14">
    <w:abstractNumId w:val="1"/>
  </w:num>
  <w:num w:numId="15">
    <w:abstractNumId w:val="10"/>
  </w:num>
  <w:num w:numId="1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61"/>
    <w:rsid w:val="00000B11"/>
    <w:rsid w:val="00002B6D"/>
    <w:rsid w:val="0000390E"/>
    <w:rsid w:val="00003D22"/>
    <w:rsid w:val="00007732"/>
    <w:rsid w:val="000151A2"/>
    <w:rsid w:val="0001609B"/>
    <w:rsid w:val="00016A97"/>
    <w:rsid w:val="00016B46"/>
    <w:rsid w:val="00022BCF"/>
    <w:rsid w:val="00024176"/>
    <w:rsid w:val="000261D5"/>
    <w:rsid w:val="00033F80"/>
    <w:rsid w:val="00034E34"/>
    <w:rsid w:val="000375D0"/>
    <w:rsid w:val="00044633"/>
    <w:rsid w:val="00044D5E"/>
    <w:rsid w:val="00045CC7"/>
    <w:rsid w:val="0004629F"/>
    <w:rsid w:val="000469AA"/>
    <w:rsid w:val="00050331"/>
    <w:rsid w:val="0005104B"/>
    <w:rsid w:val="00052F2D"/>
    <w:rsid w:val="00055675"/>
    <w:rsid w:val="0006011A"/>
    <w:rsid w:val="00061842"/>
    <w:rsid w:val="0006206C"/>
    <w:rsid w:val="00062F83"/>
    <w:rsid w:val="00063DC8"/>
    <w:rsid w:val="0006583B"/>
    <w:rsid w:val="00065925"/>
    <w:rsid w:val="00082003"/>
    <w:rsid w:val="00084BA0"/>
    <w:rsid w:val="00085B14"/>
    <w:rsid w:val="00086CA5"/>
    <w:rsid w:val="00087F46"/>
    <w:rsid w:val="00087F8F"/>
    <w:rsid w:val="000917B5"/>
    <w:rsid w:val="000924D7"/>
    <w:rsid w:val="000925E9"/>
    <w:rsid w:val="00095A60"/>
    <w:rsid w:val="00096DB6"/>
    <w:rsid w:val="00097215"/>
    <w:rsid w:val="000A0119"/>
    <w:rsid w:val="000A2A15"/>
    <w:rsid w:val="000A3E5C"/>
    <w:rsid w:val="000A4A4E"/>
    <w:rsid w:val="000A4B40"/>
    <w:rsid w:val="000A68F8"/>
    <w:rsid w:val="000A6FD2"/>
    <w:rsid w:val="000B1ADA"/>
    <w:rsid w:val="000B1EAF"/>
    <w:rsid w:val="000B2416"/>
    <w:rsid w:val="000B5768"/>
    <w:rsid w:val="000B66CD"/>
    <w:rsid w:val="000B71A1"/>
    <w:rsid w:val="000C0F98"/>
    <w:rsid w:val="000C1119"/>
    <w:rsid w:val="000C168B"/>
    <w:rsid w:val="000C1B3F"/>
    <w:rsid w:val="000C5575"/>
    <w:rsid w:val="000D11C5"/>
    <w:rsid w:val="000D41CA"/>
    <w:rsid w:val="000D557C"/>
    <w:rsid w:val="000D6D5D"/>
    <w:rsid w:val="000E3D00"/>
    <w:rsid w:val="000E42AC"/>
    <w:rsid w:val="000E4E8F"/>
    <w:rsid w:val="000F00E0"/>
    <w:rsid w:val="000F1ADE"/>
    <w:rsid w:val="0010254D"/>
    <w:rsid w:val="0010334A"/>
    <w:rsid w:val="00104B26"/>
    <w:rsid w:val="00105022"/>
    <w:rsid w:val="00105168"/>
    <w:rsid w:val="00111AE5"/>
    <w:rsid w:val="0012247B"/>
    <w:rsid w:val="001227F8"/>
    <w:rsid w:val="001228DC"/>
    <w:rsid w:val="00122DEA"/>
    <w:rsid w:val="0012335C"/>
    <w:rsid w:val="00124B6E"/>
    <w:rsid w:val="00126413"/>
    <w:rsid w:val="00130C33"/>
    <w:rsid w:val="001312F4"/>
    <w:rsid w:val="00132737"/>
    <w:rsid w:val="00133F6C"/>
    <w:rsid w:val="00134871"/>
    <w:rsid w:val="0013571E"/>
    <w:rsid w:val="00140A5D"/>
    <w:rsid w:val="0014500E"/>
    <w:rsid w:val="001457FC"/>
    <w:rsid w:val="001470F9"/>
    <w:rsid w:val="001501E0"/>
    <w:rsid w:val="00151348"/>
    <w:rsid w:val="0015683A"/>
    <w:rsid w:val="00160D6E"/>
    <w:rsid w:val="00162B1E"/>
    <w:rsid w:val="00163FD2"/>
    <w:rsid w:val="001655F5"/>
    <w:rsid w:val="00170D35"/>
    <w:rsid w:val="001720A7"/>
    <w:rsid w:val="001776EB"/>
    <w:rsid w:val="00184AE6"/>
    <w:rsid w:val="0018643B"/>
    <w:rsid w:val="001911CA"/>
    <w:rsid w:val="00193C7B"/>
    <w:rsid w:val="00195516"/>
    <w:rsid w:val="00195E93"/>
    <w:rsid w:val="00196EA8"/>
    <w:rsid w:val="001A0E85"/>
    <w:rsid w:val="001A5542"/>
    <w:rsid w:val="001A59AA"/>
    <w:rsid w:val="001B22CA"/>
    <w:rsid w:val="001B2573"/>
    <w:rsid w:val="001B485C"/>
    <w:rsid w:val="001B5B66"/>
    <w:rsid w:val="001B5F05"/>
    <w:rsid w:val="001B652B"/>
    <w:rsid w:val="001B6F68"/>
    <w:rsid w:val="001B7AAF"/>
    <w:rsid w:val="001C0068"/>
    <w:rsid w:val="001C0A37"/>
    <w:rsid w:val="001C0B27"/>
    <w:rsid w:val="001C15E6"/>
    <w:rsid w:val="001C37B4"/>
    <w:rsid w:val="001C56B5"/>
    <w:rsid w:val="001D0FA1"/>
    <w:rsid w:val="001D5E05"/>
    <w:rsid w:val="001E0346"/>
    <w:rsid w:val="001E4D5E"/>
    <w:rsid w:val="001F129E"/>
    <w:rsid w:val="001F2D44"/>
    <w:rsid w:val="001F44F7"/>
    <w:rsid w:val="001F6B65"/>
    <w:rsid w:val="001F7D36"/>
    <w:rsid w:val="00202C7B"/>
    <w:rsid w:val="00203176"/>
    <w:rsid w:val="00206DBE"/>
    <w:rsid w:val="0021022A"/>
    <w:rsid w:val="002110BE"/>
    <w:rsid w:val="00213210"/>
    <w:rsid w:val="002133E3"/>
    <w:rsid w:val="00213CE0"/>
    <w:rsid w:val="002156EF"/>
    <w:rsid w:val="00220515"/>
    <w:rsid w:val="0022384F"/>
    <w:rsid w:val="00225BE4"/>
    <w:rsid w:val="00226173"/>
    <w:rsid w:val="002262C2"/>
    <w:rsid w:val="0023302F"/>
    <w:rsid w:val="00235F7F"/>
    <w:rsid w:val="002368D3"/>
    <w:rsid w:val="00241040"/>
    <w:rsid w:val="00245597"/>
    <w:rsid w:val="0024596E"/>
    <w:rsid w:val="00245B99"/>
    <w:rsid w:val="00260796"/>
    <w:rsid w:val="00260B85"/>
    <w:rsid w:val="0026121C"/>
    <w:rsid w:val="0026201B"/>
    <w:rsid w:val="0026340A"/>
    <w:rsid w:val="00263CE4"/>
    <w:rsid w:val="002657E4"/>
    <w:rsid w:val="0026603B"/>
    <w:rsid w:val="00266CD9"/>
    <w:rsid w:val="002702C0"/>
    <w:rsid w:val="0028001C"/>
    <w:rsid w:val="00280AAF"/>
    <w:rsid w:val="00280FDF"/>
    <w:rsid w:val="002832B8"/>
    <w:rsid w:val="0028472A"/>
    <w:rsid w:val="0028640E"/>
    <w:rsid w:val="00287047"/>
    <w:rsid w:val="0029092C"/>
    <w:rsid w:val="002977A4"/>
    <w:rsid w:val="002A0879"/>
    <w:rsid w:val="002A0998"/>
    <w:rsid w:val="002A0B8C"/>
    <w:rsid w:val="002A120D"/>
    <w:rsid w:val="002A3288"/>
    <w:rsid w:val="002A63BF"/>
    <w:rsid w:val="002A670E"/>
    <w:rsid w:val="002A6AA3"/>
    <w:rsid w:val="002B072A"/>
    <w:rsid w:val="002B0ABD"/>
    <w:rsid w:val="002B0BA9"/>
    <w:rsid w:val="002B2156"/>
    <w:rsid w:val="002B3B3F"/>
    <w:rsid w:val="002B3E79"/>
    <w:rsid w:val="002B4612"/>
    <w:rsid w:val="002B7F3A"/>
    <w:rsid w:val="002C11DC"/>
    <w:rsid w:val="002C15CA"/>
    <w:rsid w:val="002C63CE"/>
    <w:rsid w:val="002D26DE"/>
    <w:rsid w:val="002D3018"/>
    <w:rsid w:val="002D4C5A"/>
    <w:rsid w:val="002D4CE9"/>
    <w:rsid w:val="002D6A68"/>
    <w:rsid w:val="002D6E49"/>
    <w:rsid w:val="002E250E"/>
    <w:rsid w:val="002E40FC"/>
    <w:rsid w:val="002E6863"/>
    <w:rsid w:val="002E6FF6"/>
    <w:rsid w:val="002E74C0"/>
    <w:rsid w:val="002E7C37"/>
    <w:rsid w:val="002F4A38"/>
    <w:rsid w:val="002F5FF6"/>
    <w:rsid w:val="002F7676"/>
    <w:rsid w:val="002F768C"/>
    <w:rsid w:val="002F7B36"/>
    <w:rsid w:val="003038B1"/>
    <w:rsid w:val="003055B7"/>
    <w:rsid w:val="00312B9A"/>
    <w:rsid w:val="00317F1F"/>
    <w:rsid w:val="003256DA"/>
    <w:rsid w:val="00331976"/>
    <w:rsid w:val="003321EA"/>
    <w:rsid w:val="0033455A"/>
    <w:rsid w:val="00335BA6"/>
    <w:rsid w:val="0033604D"/>
    <w:rsid w:val="0033718F"/>
    <w:rsid w:val="00341E6C"/>
    <w:rsid w:val="00342C05"/>
    <w:rsid w:val="00342F36"/>
    <w:rsid w:val="0034526C"/>
    <w:rsid w:val="00350321"/>
    <w:rsid w:val="003573E1"/>
    <w:rsid w:val="00361B9A"/>
    <w:rsid w:val="003624F6"/>
    <w:rsid w:val="00362D24"/>
    <w:rsid w:val="00363DA7"/>
    <w:rsid w:val="0036413B"/>
    <w:rsid w:val="003671E8"/>
    <w:rsid w:val="003706DD"/>
    <w:rsid w:val="00371092"/>
    <w:rsid w:val="00371BD7"/>
    <w:rsid w:val="0037240B"/>
    <w:rsid w:val="0038550E"/>
    <w:rsid w:val="00386965"/>
    <w:rsid w:val="00391047"/>
    <w:rsid w:val="0039282D"/>
    <w:rsid w:val="00393CA2"/>
    <w:rsid w:val="00394589"/>
    <w:rsid w:val="00396B41"/>
    <w:rsid w:val="003A0A6D"/>
    <w:rsid w:val="003A41D5"/>
    <w:rsid w:val="003B034E"/>
    <w:rsid w:val="003B4F35"/>
    <w:rsid w:val="003B5893"/>
    <w:rsid w:val="003B64EF"/>
    <w:rsid w:val="003B659B"/>
    <w:rsid w:val="003B7F13"/>
    <w:rsid w:val="003C5222"/>
    <w:rsid w:val="003C7A0A"/>
    <w:rsid w:val="003C7B1F"/>
    <w:rsid w:val="003D0368"/>
    <w:rsid w:val="003D298B"/>
    <w:rsid w:val="003E5F47"/>
    <w:rsid w:val="003E6A10"/>
    <w:rsid w:val="003F2EEA"/>
    <w:rsid w:val="004009C7"/>
    <w:rsid w:val="00400C44"/>
    <w:rsid w:val="00401EDC"/>
    <w:rsid w:val="00404226"/>
    <w:rsid w:val="004045C7"/>
    <w:rsid w:val="0040473A"/>
    <w:rsid w:val="00404C1A"/>
    <w:rsid w:val="00405289"/>
    <w:rsid w:val="00413BC5"/>
    <w:rsid w:val="00414889"/>
    <w:rsid w:val="00415236"/>
    <w:rsid w:val="00415C86"/>
    <w:rsid w:val="0041610B"/>
    <w:rsid w:val="00422BB7"/>
    <w:rsid w:val="00423EA7"/>
    <w:rsid w:val="00426CA2"/>
    <w:rsid w:val="00430879"/>
    <w:rsid w:val="004309EB"/>
    <w:rsid w:val="00430BDA"/>
    <w:rsid w:val="00433FAC"/>
    <w:rsid w:val="004347D7"/>
    <w:rsid w:val="00435736"/>
    <w:rsid w:val="004422EA"/>
    <w:rsid w:val="00443F32"/>
    <w:rsid w:val="004459AF"/>
    <w:rsid w:val="0045103D"/>
    <w:rsid w:val="004516A3"/>
    <w:rsid w:val="00452B3D"/>
    <w:rsid w:val="0045456E"/>
    <w:rsid w:val="004555F6"/>
    <w:rsid w:val="00455FFF"/>
    <w:rsid w:val="004605B9"/>
    <w:rsid w:val="00461834"/>
    <w:rsid w:val="004662FE"/>
    <w:rsid w:val="00467017"/>
    <w:rsid w:val="004708FD"/>
    <w:rsid w:val="0047626A"/>
    <w:rsid w:val="004768BE"/>
    <w:rsid w:val="0048233E"/>
    <w:rsid w:val="00484682"/>
    <w:rsid w:val="004869F7"/>
    <w:rsid w:val="00486A01"/>
    <w:rsid w:val="00487378"/>
    <w:rsid w:val="00491AB0"/>
    <w:rsid w:val="00493606"/>
    <w:rsid w:val="0049363B"/>
    <w:rsid w:val="00495B21"/>
    <w:rsid w:val="00496B2A"/>
    <w:rsid w:val="004973F5"/>
    <w:rsid w:val="00497DBC"/>
    <w:rsid w:val="004A14C2"/>
    <w:rsid w:val="004A2238"/>
    <w:rsid w:val="004A392D"/>
    <w:rsid w:val="004A41D2"/>
    <w:rsid w:val="004B023C"/>
    <w:rsid w:val="004B1D43"/>
    <w:rsid w:val="004B2415"/>
    <w:rsid w:val="004B291B"/>
    <w:rsid w:val="004B347D"/>
    <w:rsid w:val="004B69F7"/>
    <w:rsid w:val="004B6AE2"/>
    <w:rsid w:val="004B6FB2"/>
    <w:rsid w:val="004C0AEC"/>
    <w:rsid w:val="004C5F3E"/>
    <w:rsid w:val="004C6F58"/>
    <w:rsid w:val="004C746D"/>
    <w:rsid w:val="004C761A"/>
    <w:rsid w:val="004D11F3"/>
    <w:rsid w:val="004D399A"/>
    <w:rsid w:val="004D664A"/>
    <w:rsid w:val="004D6D23"/>
    <w:rsid w:val="004E096C"/>
    <w:rsid w:val="004E0ADD"/>
    <w:rsid w:val="004E1711"/>
    <w:rsid w:val="004E7AAA"/>
    <w:rsid w:val="004F006C"/>
    <w:rsid w:val="004F0DB8"/>
    <w:rsid w:val="004F1B03"/>
    <w:rsid w:val="004F20C3"/>
    <w:rsid w:val="004F328F"/>
    <w:rsid w:val="004F5503"/>
    <w:rsid w:val="005000EE"/>
    <w:rsid w:val="00500232"/>
    <w:rsid w:val="005025B8"/>
    <w:rsid w:val="005049FB"/>
    <w:rsid w:val="005050B6"/>
    <w:rsid w:val="005054C4"/>
    <w:rsid w:val="00506842"/>
    <w:rsid w:val="00511D63"/>
    <w:rsid w:val="0051300F"/>
    <w:rsid w:val="00513132"/>
    <w:rsid w:val="00514391"/>
    <w:rsid w:val="00516F6F"/>
    <w:rsid w:val="0051783A"/>
    <w:rsid w:val="005179DE"/>
    <w:rsid w:val="0052063D"/>
    <w:rsid w:val="00522A2E"/>
    <w:rsid w:val="00522BA0"/>
    <w:rsid w:val="0052338F"/>
    <w:rsid w:val="00523883"/>
    <w:rsid w:val="005239AE"/>
    <w:rsid w:val="00524EBD"/>
    <w:rsid w:val="00530DCB"/>
    <w:rsid w:val="00532AD0"/>
    <w:rsid w:val="005331D2"/>
    <w:rsid w:val="00533CE6"/>
    <w:rsid w:val="00535DF5"/>
    <w:rsid w:val="00540B68"/>
    <w:rsid w:val="005462B6"/>
    <w:rsid w:val="005505FD"/>
    <w:rsid w:val="00550BC8"/>
    <w:rsid w:val="00550DBE"/>
    <w:rsid w:val="005515DD"/>
    <w:rsid w:val="00553375"/>
    <w:rsid w:val="0055406A"/>
    <w:rsid w:val="005568DF"/>
    <w:rsid w:val="005617CD"/>
    <w:rsid w:val="00565369"/>
    <w:rsid w:val="00566F35"/>
    <w:rsid w:val="005707CD"/>
    <w:rsid w:val="00573B0A"/>
    <w:rsid w:val="005741EB"/>
    <w:rsid w:val="005767DD"/>
    <w:rsid w:val="0057719E"/>
    <w:rsid w:val="0057735C"/>
    <w:rsid w:val="00581499"/>
    <w:rsid w:val="00583C47"/>
    <w:rsid w:val="00585015"/>
    <w:rsid w:val="00587BE6"/>
    <w:rsid w:val="0059117E"/>
    <w:rsid w:val="0059159C"/>
    <w:rsid w:val="00591AC6"/>
    <w:rsid w:val="00594B2D"/>
    <w:rsid w:val="00594CFD"/>
    <w:rsid w:val="00595679"/>
    <w:rsid w:val="005A671E"/>
    <w:rsid w:val="005A75DF"/>
    <w:rsid w:val="005B69EF"/>
    <w:rsid w:val="005C0E1E"/>
    <w:rsid w:val="005C1BD4"/>
    <w:rsid w:val="005C2D98"/>
    <w:rsid w:val="005C2FA8"/>
    <w:rsid w:val="005C2FAF"/>
    <w:rsid w:val="005C6A7B"/>
    <w:rsid w:val="005C6B4D"/>
    <w:rsid w:val="005D0642"/>
    <w:rsid w:val="005D1231"/>
    <w:rsid w:val="005D26EE"/>
    <w:rsid w:val="005E0C69"/>
    <w:rsid w:val="005E0EC9"/>
    <w:rsid w:val="005E259A"/>
    <w:rsid w:val="005E6D06"/>
    <w:rsid w:val="005F265F"/>
    <w:rsid w:val="005F28EB"/>
    <w:rsid w:val="005F43E1"/>
    <w:rsid w:val="00600767"/>
    <w:rsid w:val="00605D99"/>
    <w:rsid w:val="00613F77"/>
    <w:rsid w:val="006153D4"/>
    <w:rsid w:val="00615AFE"/>
    <w:rsid w:val="006168AF"/>
    <w:rsid w:val="006175AD"/>
    <w:rsid w:val="00621324"/>
    <w:rsid w:val="0062351F"/>
    <w:rsid w:val="00623DCC"/>
    <w:rsid w:val="00623F72"/>
    <w:rsid w:val="00624942"/>
    <w:rsid w:val="00624B02"/>
    <w:rsid w:val="00627922"/>
    <w:rsid w:val="006308CF"/>
    <w:rsid w:val="00631047"/>
    <w:rsid w:val="00631166"/>
    <w:rsid w:val="00633344"/>
    <w:rsid w:val="00634DDD"/>
    <w:rsid w:val="00635961"/>
    <w:rsid w:val="00637132"/>
    <w:rsid w:val="006376A0"/>
    <w:rsid w:val="0064218A"/>
    <w:rsid w:val="00642CBE"/>
    <w:rsid w:val="006434F8"/>
    <w:rsid w:val="00644560"/>
    <w:rsid w:val="00645349"/>
    <w:rsid w:val="0064613E"/>
    <w:rsid w:val="0064669E"/>
    <w:rsid w:val="006472D6"/>
    <w:rsid w:val="00651B1E"/>
    <w:rsid w:val="00652018"/>
    <w:rsid w:val="00653243"/>
    <w:rsid w:val="006565C1"/>
    <w:rsid w:val="00657385"/>
    <w:rsid w:val="006609C9"/>
    <w:rsid w:val="00661BCA"/>
    <w:rsid w:val="00663112"/>
    <w:rsid w:val="00666DE5"/>
    <w:rsid w:val="00672D93"/>
    <w:rsid w:val="00673B08"/>
    <w:rsid w:val="00675BD9"/>
    <w:rsid w:val="00677BF9"/>
    <w:rsid w:val="0068246E"/>
    <w:rsid w:val="00682B58"/>
    <w:rsid w:val="0068300B"/>
    <w:rsid w:val="0068348F"/>
    <w:rsid w:val="00683CE7"/>
    <w:rsid w:val="00686279"/>
    <w:rsid w:val="0069420C"/>
    <w:rsid w:val="00695E04"/>
    <w:rsid w:val="006971F3"/>
    <w:rsid w:val="006A03E6"/>
    <w:rsid w:val="006B03FB"/>
    <w:rsid w:val="006B3F80"/>
    <w:rsid w:val="006C022F"/>
    <w:rsid w:val="006C0FBA"/>
    <w:rsid w:val="006C546C"/>
    <w:rsid w:val="006C5C9F"/>
    <w:rsid w:val="006C7751"/>
    <w:rsid w:val="006C795E"/>
    <w:rsid w:val="006D0B6A"/>
    <w:rsid w:val="006D1879"/>
    <w:rsid w:val="006D3E3B"/>
    <w:rsid w:val="006D5EF7"/>
    <w:rsid w:val="006D7211"/>
    <w:rsid w:val="006D72AA"/>
    <w:rsid w:val="006E1E5A"/>
    <w:rsid w:val="006E3226"/>
    <w:rsid w:val="006E40DA"/>
    <w:rsid w:val="006E6DB9"/>
    <w:rsid w:val="006F29E9"/>
    <w:rsid w:val="006F2F23"/>
    <w:rsid w:val="006F48AE"/>
    <w:rsid w:val="006F6339"/>
    <w:rsid w:val="006F71E7"/>
    <w:rsid w:val="00702265"/>
    <w:rsid w:val="007025C9"/>
    <w:rsid w:val="0070440C"/>
    <w:rsid w:val="00705D85"/>
    <w:rsid w:val="00713072"/>
    <w:rsid w:val="0071409C"/>
    <w:rsid w:val="00716C8A"/>
    <w:rsid w:val="007220B3"/>
    <w:rsid w:val="007238F9"/>
    <w:rsid w:val="00725A66"/>
    <w:rsid w:val="00730188"/>
    <w:rsid w:val="00730582"/>
    <w:rsid w:val="00730E60"/>
    <w:rsid w:val="007321B4"/>
    <w:rsid w:val="007328B8"/>
    <w:rsid w:val="00735078"/>
    <w:rsid w:val="00735581"/>
    <w:rsid w:val="007367B2"/>
    <w:rsid w:val="0073782E"/>
    <w:rsid w:val="00740258"/>
    <w:rsid w:val="00742F66"/>
    <w:rsid w:val="00743520"/>
    <w:rsid w:val="00743810"/>
    <w:rsid w:val="00745605"/>
    <w:rsid w:val="00747A63"/>
    <w:rsid w:val="00756075"/>
    <w:rsid w:val="00763CD9"/>
    <w:rsid w:val="0076431C"/>
    <w:rsid w:val="00764387"/>
    <w:rsid w:val="00764BDA"/>
    <w:rsid w:val="00765B83"/>
    <w:rsid w:val="00767151"/>
    <w:rsid w:val="00767B69"/>
    <w:rsid w:val="00770639"/>
    <w:rsid w:val="007707B1"/>
    <w:rsid w:val="00771E74"/>
    <w:rsid w:val="0077261D"/>
    <w:rsid w:val="00777FA6"/>
    <w:rsid w:val="00786F10"/>
    <w:rsid w:val="00792194"/>
    <w:rsid w:val="00794C32"/>
    <w:rsid w:val="007A2624"/>
    <w:rsid w:val="007A4511"/>
    <w:rsid w:val="007A62B1"/>
    <w:rsid w:val="007A7151"/>
    <w:rsid w:val="007B141C"/>
    <w:rsid w:val="007B5F4A"/>
    <w:rsid w:val="007B5FCD"/>
    <w:rsid w:val="007B74CC"/>
    <w:rsid w:val="007C49F2"/>
    <w:rsid w:val="007C7194"/>
    <w:rsid w:val="007D23AA"/>
    <w:rsid w:val="007D6DDD"/>
    <w:rsid w:val="007D75D7"/>
    <w:rsid w:val="007E1773"/>
    <w:rsid w:val="007E2AEC"/>
    <w:rsid w:val="007E3556"/>
    <w:rsid w:val="007F1FDC"/>
    <w:rsid w:val="007F547B"/>
    <w:rsid w:val="007F54DC"/>
    <w:rsid w:val="007F7CED"/>
    <w:rsid w:val="00801BEB"/>
    <w:rsid w:val="0080261E"/>
    <w:rsid w:val="00803F6E"/>
    <w:rsid w:val="0080648D"/>
    <w:rsid w:val="008074B9"/>
    <w:rsid w:val="008079E3"/>
    <w:rsid w:val="008114E6"/>
    <w:rsid w:val="00813841"/>
    <w:rsid w:val="008145FD"/>
    <w:rsid w:val="00815B1A"/>
    <w:rsid w:val="008171C5"/>
    <w:rsid w:val="008206E7"/>
    <w:rsid w:val="00821220"/>
    <w:rsid w:val="00822B4F"/>
    <w:rsid w:val="00826776"/>
    <w:rsid w:val="00827661"/>
    <w:rsid w:val="008321F7"/>
    <w:rsid w:val="00833715"/>
    <w:rsid w:val="00834B05"/>
    <w:rsid w:val="00834D8F"/>
    <w:rsid w:val="008363F0"/>
    <w:rsid w:val="00844041"/>
    <w:rsid w:val="00845261"/>
    <w:rsid w:val="00846D56"/>
    <w:rsid w:val="00855C6D"/>
    <w:rsid w:val="008631C4"/>
    <w:rsid w:val="00866B92"/>
    <w:rsid w:val="00873C04"/>
    <w:rsid w:val="008764C8"/>
    <w:rsid w:val="008773F3"/>
    <w:rsid w:val="00880887"/>
    <w:rsid w:val="00881852"/>
    <w:rsid w:val="008827E3"/>
    <w:rsid w:val="008842E7"/>
    <w:rsid w:val="00884864"/>
    <w:rsid w:val="0088508F"/>
    <w:rsid w:val="00887A04"/>
    <w:rsid w:val="00891D62"/>
    <w:rsid w:val="00891EE3"/>
    <w:rsid w:val="00891FC9"/>
    <w:rsid w:val="0089279B"/>
    <w:rsid w:val="008934AE"/>
    <w:rsid w:val="008A4727"/>
    <w:rsid w:val="008A67CB"/>
    <w:rsid w:val="008A70FB"/>
    <w:rsid w:val="008B1768"/>
    <w:rsid w:val="008B340E"/>
    <w:rsid w:val="008B450D"/>
    <w:rsid w:val="008B4FB9"/>
    <w:rsid w:val="008C09B7"/>
    <w:rsid w:val="008C14B4"/>
    <w:rsid w:val="008C361F"/>
    <w:rsid w:val="008C71E0"/>
    <w:rsid w:val="008C73C3"/>
    <w:rsid w:val="008D237B"/>
    <w:rsid w:val="008D7BCE"/>
    <w:rsid w:val="008D7DA0"/>
    <w:rsid w:val="008E090A"/>
    <w:rsid w:val="008E2296"/>
    <w:rsid w:val="008E2350"/>
    <w:rsid w:val="008E6083"/>
    <w:rsid w:val="008F1D38"/>
    <w:rsid w:val="008F1D86"/>
    <w:rsid w:val="008F1E88"/>
    <w:rsid w:val="008F227B"/>
    <w:rsid w:val="008F3F99"/>
    <w:rsid w:val="008F49E8"/>
    <w:rsid w:val="0090025B"/>
    <w:rsid w:val="009013A1"/>
    <w:rsid w:val="0090404A"/>
    <w:rsid w:val="009043D6"/>
    <w:rsid w:val="00904BC4"/>
    <w:rsid w:val="00904C25"/>
    <w:rsid w:val="00905930"/>
    <w:rsid w:val="00913B77"/>
    <w:rsid w:val="00913C0D"/>
    <w:rsid w:val="00914D9C"/>
    <w:rsid w:val="009171AA"/>
    <w:rsid w:val="00917D5F"/>
    <w:rsid w:val="00921856"/>
    <w:rsid w:val="00923E53"/>
    <w:rsid w:val="00923FB0"/>
    <w:rsid w:val="009244D5"/>
    <w:rsid w:val="009352E9"/>
    <w:rsid w:val="00936CA6"/>
    <w:rsid w:val="009415A2"/>
    <w:rsid w:val="0094368B"/>
    <w:rsid w:val="00951325"/>
    <w:rsid w:val="00952A00"/>
    <w:rsid w:val="00960737"/>
    <w:rsid w:val="00960928"/>
    <w:rsid w:val="00962776"/>
    <w:rsid w:val="00963C71"/>
    <w:rsid w:val="00967346"/>
    <w:rsid w:val="00975101"/>
    <w:rsid w:val="00976596"/>
    <w:rsid w:val="00982447"/>
    <w:rsid w:val="0098282B"/>
    <w:rsid w:val="00982E77"/>
    <w:rsid w:val="00983B99"/>
    <w:rsid w:val="0098462D"/>
    <w:rsid w:val="00985513"/>
    <w:rsid w:val="00987538"/>
    <w:rsid w:val="009951CC"/>
    <w:rsid w:val="00995E85"/>
    <w:rsid w:val="009965E7"/>
    <w:rsid w:val="0099751D"/>
    <w:rsid w:val="009A0518"/>
    <w:rsid w:val="009A2D44"/>
    <w:rsid w:val="009A53AD"/>
    <w:rsid w:val="009A656C"/>
    <w:rsid w:val="009A7030"/>
    <w:rsid w:val="009B0147"/>
    <w:rsid w:val="009B1D63"/>
    <w:rsid w:val="009B209B"/>
    <w:rsid w:val="009B236A"/>
    <w:rsid w:val="009B2D81"/>
    <w:rsid w:val="009B5ED0"/>
    <w:rsid w:val="009B65DE"/>
    <w:rsid w:val="009B6AB4"/>
    <w:rsid w:val="009B6EE8"/>
    <w:rsid w:val="009B77A1"/>
    <w:rsid w:val="009B77F8"/>
    <w:rsid w:val="009B7E4E"/>
    <w:rsid w:val="009C27BE"/>
    <w:rsid w:val="009C5C91"/>
    <w:rsid w:val="009C621F"/>
    <w:rsid w:val="009C7339"/>
    <w:rsid w:val="009D0EBE"/>
    <w:rsid w:val="009D219B"/>
    <w:rsid w:val="009D2690"/>
    <w:rsid w:val="009D380E"/>
    <w:rsid w:val="009D3D1E"/>
    <w:rsid w:val="009D6F0D"/>
    <w:rsid w:val="009D73AB"/>
    <w:rsid w:val="009E028D"/>
    <w:rsid w:val="009E1832"/>
    <w:rsid w:val="009E19E5"/>
    <w:rsid w:val="009E1D30"/>
    <w:rsid w:val="009E242A"/>
    <w:rsid w:val="009E57A4"/>
    <w:rsid w:val="009F13F4"/>
    <w:rsid w:val="009F2261"/>
    <w:rsid w:val="009F2494"/>
    <w:rsid w:val="009F443E"/>
    <w:rsid w:val="009F5565"/>
    <w:rsid w:val="009F55EA"/>
    <w:rsid w:val="00A005EA"/>
    <w:rsid w:val="00A00E88"/>
    <w:rsid w:val="00A0149A"/>
    <w:rsid w:val="00A01F89"/>
    <w:rsid w:val="00A02118"/>
    <w:rsid w:val="00A021FD"/>
    <w:rsid w:val="00A04627"/>
    <w:rsid w:val="00A07071"/>
    <w:rsid w:val="00A07242"/>
    <w:rsid w:val="00A10BE4"/>
    <w:rsid w:val="00A1656B"/>
    <w:rsid w:val="00A21605"/>
    <w:rsid w:val="00A22A99"/>
    <w:rsid w:val="00A25B55"/>
    <w:rsid w:val="00A31FCE"/>
    <w:rsid w:val="00A33E90"/>
    <w:rsid w:val="00A34A1E"/>
    <w:rsid w:val="00A36B54"/>
    <w:rsid w:val="00A36ED7"/>
    <w:rsid w:val="00A370C4"/>
    <w:rsid w:val="00A409CF"/>
    <w:rsid w:val="00A41408"/>
    <w:rsid w:val="00A455B0"/>
    <w:rsid w:val="00A4582B"/>
    <w:rsid w:val="00A465EB"/>
    <w:rsid w:val="00A4736E"/>
    <w:rsid w:val="00A508DF"/>
    <w:rsid w:val="00A51A31"/>
    <w:rsid w:val="00A54467"/>
    <w:rsid w:val="00A56F34"/>
    <w:rsid w:val="00A57465"/>
    <w:rsid w:val="00A64BCD"/>
    <w:rsid w:val="00A73109"/>
    <w:rsid w:val="00A731AA"/>
    <w:rsid w:val="00A73CD1"/>
    <w:rsid w:val="00A73D4E"/>
    <w:rsid w:val="00A752CD"/>
    <w:rsid w:val="00A76308"/>
    <w:rsid w:val="00A77188"/>
    <w:rsid w:val="00A806F6"/>
    <w:rsid w:val="00A8165B"/>
    <w:rsid w:val="00A81F90"/>
    <w:rsid w:val="00A83FB0"/>
    <w:rsid w:val="00A86A57"/>
    <w:rsid w:val="00A87128"/>
    <w:rsid w:val="00A91D40"/>
    <w:rsid w:val="00A92DA8"/>
    <w:rsid w:val="00A92E03"/>
    <w:rsid w:val="00A9309A"/>
    <w:rsid w:val="00A931AB"/>
    <w:rsid w:val="00A963FC"/>
    <w:rsid w:val="00AA0B6F"/>
    <w:rsid w:val="00AA1B61"/>
    <w:rsid w:val="00AA1B70"/>
    <w:rsid w:val="00AA1C21"/>
    <w:rsid w:val="00AA2078"/>
    <w:rsid w:val="00AA27D8"/>
    <w:rsid w:val="00AA300D"/>
    <w:rsid w:val="00AA37A2"/>
    <w:rsid w:val="00AA3E15"/>
    <w:rsid w:val="00AA3EC4"/>
    <w:rsid w:val="00AA43E1"/>
    <w:rsid w:val="00AB44A8"/>
    <w:rsid w:val="00AB4FE5"/>
    <w:rsid w:val="00AC21F3"/>
    <w:rsid w:val="00AC272E"/>
    <w:rsid w:val="00AC3F1D"/>
    <w:rsid w:val="00AC785F"/>
    <w:rsid w:val="00AD0C53"/>
    <w:rsid w:val="00AD219C"/>
    <w:rsid w:val="00AD249B"/>
    <w:rsid w:val="00AD4A96"/>
    <w:rsid w:val="00AD71CE"/>
    <w:rsid w:val="00AD733A"/>
    <w:rsid w:val="00AE3A3C"/>
    <w:rsid w:val="00AE66BE"/>
    <w:rsid w:val="00AF2162"/>
    <w:rsid w:val="00AF2B2A"/>
    <w:rsid w:val="00AF2F2D"/>
    <w:rsid w:val="00AF3881"/>
    <w:rsid w:val="00AF41BB"/>
    <w:rsid w:val="00AF56E0"/>
    <w:rsid w:val="00AF5F8D"/>
    <w:rsid w:val="00AF6F9A"/>
    <w:rsid w:val="00AF7454"/>
    <w:rsid w:val="00B007F8"/>
    <w:rsid w:val="00B02CE8"/>
    <w:rsid w:val="00B03D36"/>
    <w:rsid w:val="00B04D1A"/>
    <w:rsid w:val="00B06A20"/>
    <w:rsid w:val="00B12DC2"/>
    <w:rsid w:val="00B14463"/>
    <w:rsid w:val="00B20FF9"/>
    <w:rsid w:val="00B21078"/>
    <w:rsid w:val="00B23C99"/>
    <w:rsid w:val="00B25DC0"/>
    <w:rsid w:val="00B30D12"/>
    <w:rsid w:val="00B31140"/>
    <w:rsid w:val="00B34CE6"/>
    <w:rsid w:val="00B41B00"/>
    <w:rsid w:val="00B41CEF"/>
    <w:rsid w:val="00B43CE7"/>
    <w:rsid w:val="00B46308"/>
    <w:rsid w:val="00B50363"/>
    <w:rsid w:val="00B539CD"/>
    <w:rsid w:val="00B60485"/>
    <w:rsid w:val="00B65E93"/>
    <w:rsid w:val="00B66695"/>
    <w:rsid w:val="00B671B3"/>
    <w:rsid w:val="00B70671"/>
    <w:rsid w:val="00B73280"/>
    <w:rsid w:val="00B74E82"/>
    <w:rsid w:val="00B80193"/>
    <w:rsid w:val="00B82614"/>
    <w:rsid w:val="00B84E2D"/>
    <w:rsid w:val="00B93223"/>
    <w:rsid w:val="00B936BC"/>
    <w:rsid w:val="00B94341"/>
    <w:rsid w:val="00B951AF"/>
    <w:rsid w:val="00B9621A"/>
    <w:rsid w:val="00B976A0"/>
    <w:rsid w:val="00BA0D83"/>
    <w:rsid w:val="00BA16F3"/>
    <w:rsid w:val="00BA286D"/>
    <w:rsid w:val="00BA6B1A"/>
    <w:rsid w:val="00BA6B98"/>
    <w:rsid w:val="00BA7675"/>
    <w:rsid w:val="00BB3759"/>
    <w:rsid w:val="00BB3992"/>
    <w:rsid w:val="00BB445B"/>
    <w:rsid w:val="00BC7CD1"/>
    <w:rsid w:val="00BD3A64"/>
    <w:rsid w:val="00BD3C3A"/>
    <w:rsid w:val="00BD4088"/>
    <w:rsid w:val="00BD4BBD"/>
    <w:rsid w:val="00BE1F29"/>
    <w:rsid w:val="00BE5C07"/>
    <w:rsid w:val="00BE5CD7"/>
    <w:rsid w:val="00BE5F65"/>
    <w:rsid w:val="00BE6B69"/>
    <w:rsid w:val="00BE7DD8"/>
    <w:rsid w:val="00BE7F89"/>
    <w:rsid w:val="00BF1910"/>
    <w:rsid w:val="00BF1C85"/>
    <w:rsid w:val="00BF3B76"/>
    <w:rsid w:val="00BF3B90"/>
    <w:rsid w:val="00BF4042"/>
    <w:rsid w:val="00C029AC"/>
    <w:rsid w:val="00C03A03"/>
    <w:rsid w:val="00C03F18"/>
    <w:rsid w:val="00C057A1"/>
    <w:rsid w:val="00C1266B"/>
    <w:rsid w:val="00C16247"/>
    <w:rsid w:val="00C206D6"/>
    <w:rsid w:val="00C228B6"/>
    <w:rsid w:val="00C23251"/>
    <w:rsid w:val="00C26625"/>
    <w:rsid w:val="00C273B1"/>
    <w:rsid w:val="00C2771E"/>
    <w:rsid w:val="00C30763"/>
    <w:rsid w:val="00C30E72"/>
    <w:rsid w:val="00C33103"/>
    <w:rsid w:val="00C341CF"/>
    <w:rsid w:val="00C376FB"/>
    <w:rsid w:val="00C37A96"/>
    <w:rsid w:val="00C442F5"/>
    <w:rsid w:val="00C448A4"/>
    <w:rsid w:val="00C45791"/>
    <w:rsid w:val="00C46F6B"/>
    <w:rsid w:val="00C46FDA"/>
    <w:rsid w:val="00C47278"/>
    <w:rsid w:val="00C47763"/>
    <w:rsid w:val="00C50F23"/>
    <w:rsid w:val="00C5136E"/>
    <w:rsid w:val="00C51F1E"/>
    <w:rsid w:val="00C527BC"/>
    <w:rsid w:val="00C54CD1"/>
    <w:rsid w:val="00C55825"/>
    <w:rsid w:val="00C55FB7"/>
    <w:rsid w:val="00C55FF3"/>
    <w:rsid w:val="00C6228C"/>
    <w:rsid w:val="00C63CE2"/>
    <w:rsid w:val="00C65B71"/>
    <w:rsid w:val="00C66EBA"/>
    <w:rsid w:val="00C762BC"/>
    <w:rsid w:val="00C7657F"/>
    <w:rsid w:val="00C800E3"/>
    <w:rsid w:val="00C81DC7"/>
    <w:rsid w:val="00C81EFC"/>
    <w:rsid w:val="00C8250E"/>
    <w:rsid w:val="00C84B0F"/>
    <w:rsid w:val="00C93AB7"/>
    <w:rsid w:val="00CA0168"/>
    <w:rsid w:val="00CA0D90"/>
    <w:rsid w:val="00CA2592"/>
    <w:rsid w:val="00CA273C"/>
    <w:rsid w:val="00CA3E72"/>
    <w:rsid w:val="00CB0CD1"/>
    <w:rsid w:val="00CB1C15"/>
    <w:rsid w:val="00CC034D"/>
    <w:rsid w:val="00CC267A"/>
    <w:rsid w:val="00CC3999"/>
    <w:rsid w:val="00CC4075"/>
    <w:rsid w:val="00CC68A6"/>
    <w:rsid w:val="00CC72BA"/>
    <w:rsid w:val="00CC7457"/>
    <w:rsid w:val="00CD24E7"/>
    <w:rsid w:val="00CD342E"/>
    <w:rsid w:val="00CD34B5"/>
    <w:rsid w:val="00CD5038"/>
    <w:rsid w:val="00CE5583"/>
    <w:rsid w:val="00CE792C"/>
    <w:rsid w:val="00CF7829"/>
    <w:rsid w:val="00D10D03"/>
    <w:rsid w:val="00D11788"/>
    <w:rsid w:val="00D14438"/>
    <w:rsid w:val="00D153AB"/>
    <w:rsid w:val="00D16B41"/>
    <w:rsid w:val="00D24636"/>
    <w:rsid w:val="00D3554C"/>
    <w:rsid w:val="00D35DA8"/>
    <w:rsid w:val="00D37B55"/>
    <w:rsid w:val="00D42601"/>
    <w:rsid w:val="00D42FED"/>
    <w:rsid w:val="00D456F8"/>
    <w:rsid w:val="00D46950"/>
    <w:rsid w:val="00D47B99"/>
    <w:rsid w:val="00D51469"/>
    <w:rsid w:val="00D5235C"/>
    <w:rsid w:val="00D57873"/>
    <w:rsid w:val="00D6429F"/>
    <w:rsid w:val="00D71C59"/>
    <w:rsid w:val="00D76410"/>
    <w:rsid w:val="00D77961"/>
    <w:rsid w:val="00D77F2B"/>
    <w:rsid w:val="00D81F03"/>
    <w:rsid w:val="00D82425"/>
    <w:rsid w:val="00D82594"/>
    <w:rsid w:val="00D825E1"/>
    <w:rsid w:val="00D83F89"/>
    <w:rsid w:val="00D8463B"/>
    <w:rsid w:val="00D856A1"/>
    <w:rsid w:val="00D864A6"/>
    <w:rsid w:val="00D94B23"/>
    <w:rsid w:val="00D95C7A"/>
    <w:rsid w:val="00DA0308"/>
    <w:rsid w:val="00DA16E6"/>
    <w:rsid w:val="00DA27EA"/>
    <w:rsid w:val="00DA63DB"/>
    <w:rsid w:val="00DA6B5D"/>
    <w:rsid w:val="00DB0671"/>
    <w:rsid w:val="00DB147D"/>
    <w:rsid w:val="00DB14FF"/>
    <w:rsid w:val="00DB6475"/>
    <w:rsid w:val="00DB7B5E"/>
    <w:rsid w:val="00DC270A"/>
    <w:rsid w:val="00DC29C7"/>
    <w:rsid w:val="00DC2C39"/>
    <w:rsid w:val="00DC2CEA"/>
    <w:rsid w:val="00DC2D6E"/>
    <w:rsid w:val="00DD0F0E"/>
    <w:rsid w:val="00DD17C5"/>
    <w:rsid w:val="00DD233D"/>
    <w:rsid w:val="00DD31E1"/>
    <w:rsid w:val="00DD34E2"/>
    <w:rsid w:val="00DD4360"/>
    <w:rsid w:val="00DE3E84"/>
    <w:rsid w:val="00DE4588"/>
    <w:rsid w:val="00DE6A7A"/>
    <w:rsid w:val="00DE6E03"/>
    <w:rsid w:val="00DE7E14"/>
    <w:rsid w:val="00DF0EA1"/>
    <w:rsid w:val="00DF23F5"/>
    <w:rsid w:val="00E027CD"/>
    <w:rsid w:val="00E02A6E"/>
    <w:rsid w:val="00E032D0"/>
    <w:rsid w:val="00E03A74"/>
    <w:rsid w:val="00E0451E"/>
    <w:rsid w:val="00E05846"/>
    <w:rsid w:val="00E062FC"/>
    <w:rsid w:val="00E109F7"/>
    <w:rsid w:val="00E137C4"/>
    <w:rsid w:val="00E15BF2"/>
    <w:rsid w:val="00E161C6"/>
    <w:rsid w:val="00E169B8"/>
    <w:rsid w:val="00E24FA3"/>
    <w:rsid w:val="00E25AA2"/>
    <w:rsid w:val="00E261C4"/>
    <w:rsid w:val="00E2666E"/>
    <w:rsid w:val="00E26B77"/>
    <w:rsid w:val="00E30963"/>
    <w:rsid w:val="00E34E65"/>
    <w:rsid w:val="00E428EA"/>
    <w:rsid w:val="00E452C3"/>
    <w:rsid w:val="00E47667"/>
    <w:rsid w:val="00E607E6"/>
    <w:rsid w:val="00E64541"/>
    <w:rsid w:val="00E64C30"/>
    <w:rsid w:val="00E663C0"/>
    <w:rsid w:val="00E665DB"/>
    <w:rsid w:val="00E700E9"/>
    <w:rsid w:val="00E7554A"/>
    <w:rsid w:val="00E75D1E"/>
    <w:rsid w:val="00E76685"/>
    <w:rsid w:val="00E82BA0"/>
    <w:rsid w:val="00E86E91"/>
    <w:rsid w:val="00E91B79"/>
    <w:rsid w:val="00E924BA"/>
    <w:rsid w:val="00E93709"/>
    <w:rsid w:val="00E93FE0"/>
    <w:rsid w:val="00E963F0"/>
    <w:rsid w:val="00EA0355"/>
    <w:rsid w:val="00EA4956"/>
    <w:rsid w:val="00EA65D7"/>
    <w:rsid w:val="00EA7FB5"/>
    <w:rsid w:val="00EB0063"/>
    <w:rsid w:val="00EB0B18"/>
    <w:rsid w:val="00EB2435"/>
    <w:rsid w:val="00EB2B66"/>
    <w:rsid w:val="00EB41F2"/>
    <w:rsid w:val="00EB4C41"/>
    <w:rsid w:val="00EB7945"/>
    <w:rsid w:val="00EC0417"/>
    <w:rsid w:val="00EC4732"/>
    <w:rsid w:val="00EC623D"/>
    <w:rsid w:val="00ED0138"/>
    <w:rsid w:val="00ED03AD"/>
    <w:rsid w:val="00ED2FB0"/>
    <w:rsid w:val="00ED59C4"/>
    <w:rsid w:val="00ED736F"/>
    <w:rsid w:val="00EE121F"/>
    <w:rsid w:val="00EE2E12"/>
    <w:rsid w:val="00EE2E24"/>
    <w:rsid w:val="00EE3D3D"/>
    <w:rsid w:val="00EE6B57"/>
    <w:rsid w:val="00EE6E53"/>
    <w:rsid w:val="00EF4DB2"/>
    <w:rsid w:val="00F0047D"/>
    <w:rsid w:val="00F0171C"/>
    <w:rsid w:val="00F018DF"/>
    <w:rsid w:val="00F02082"/>
    <w:rsid w:val="00F026FA"/>
    <w:rsid w:val="00F04974"/>
    <w:rsid w:val="00F06BC8"/>
    <w:rsid w:val="00F12FC4"/>
    <w:rsid w:val="00F16CCF"/>
    <w:rsid w:val="00F17B57"/>
    <w:rsid w:val="00F21CBC"/>
    <w:rsid w:val="00F220ED"/>
    <w:rsid w:val="00F22985"/>
    <w:rsid w:val="00F230E5"/>
    <w:rsid w:val="00F24B94"/>
    <w:rsid w:val="00F25128"/>
    <w:rsid w:val="00F252BC"/>
    <w:rsid w:val="00F30870"/>
    <w:rsid w:val="00F31371"/>
    <w:rsid w:val="00F3192F"/>
    <w:rsid w:val="00F3453B"/>
    <w:rsid w:val="00F3770A"/>
    <w:rsid w:val="00F37D9C"/>
    <w:rsid w:val="00F37E28"/>
    <w:rsid w:val="00F41577"/>
    <w:rsid w:val="00F43D9E"/>
    <w:rsid w:val="00F4521A"/>
    <w:rsid w:val="00F45EE1"/>
    <w:rsid w:val="00F55E00"/>
    <w:rsid w:val="00F61F85"/>
    <w:rsid w:val="00F6297C"/>
    <w:rsid w:val="00F642E4"/>
    <w:rsid w:val="00F652D9"/>
    <w:rsid w:val="00F66743"/>
    <w:rsid w:val="00F66F2E"/>
    <w:rsid w:val="00F702D1"/>
    <w:rsid w:val="00F72078"/>
    <w:rsid w:val="00F723E2"/>
    <w:rsid w:val="00F72BF5"/>
    <w:rsid w:val="00F72EB0"/>
    <w:rsid w:val="00F74242"/>
    <w:rsid w:val="00F75A3C"/>
    <w:rsid w:val="00F83172"/>
    <w:rsid w:val="00F83DCD"/>
    <w:rsid w:val="00F84325"/>
    <w:rsid w:val="00F85186"/>
    <w:rsid w:val="00F8761F"/>
    <w:rsid w:val="00F90870"/>
    <w:rsid w:val="00F91586"/>
    <w:rsid w:val="00F958A3"/>
    <w:rsid w:val="00F97148"/>
    <w:rsid w:val="00F975DA"/>
    <w:rsid w:val="00FA1F9D"/>
    <w:rsid w:val="00FA3E73"/>
    <w:rsid w:val="00FA4670"/>
    <w:rsid w:val="00FA5E49"/>
    <w:rsid w:val="00FA62DB"/>
    <w:rsid w:val="00FA6E88"/>
    <w:rsid w:val="00FA7A02"/>
    <w:rsid w:val="00FB11EB"/>
    <w:rsid w:val="00FB321D"/>
    <w:rsid w:val="00FB40C5"/>
    <w:rsid w:val="00FB4DBA"/>
    <w:rsid w:val="00FB62D6"/>
    <w:rsid w:val="00FB6963"/>
    <w:rsid w:val="00FB6DC9"/>
    <w:rsid w:val="00FC26C1"/>
    <w:rsid w:val="00FC49C7"/>
    <w:rsid w:val="00FC71BD"/>
    <w:rsid w:val="00FD037E"/>
    <w:rsid w:val="00FD0BAD"/>
    <w:rsid w:val="00FD5DD9"/>
    <w:rsid w:val="00FD5E1A"/>
    <w:rsid w:val="00FE0D85"/>
    <w:rsid w:val="00FE1D7F"/>
    <w:rsid w:val="00FE363E"/>
    <w:rsid w:val="00FE3922"/>
    <w:rsid w:val="00FE4578"/>
    <w:rsid w:val="00FE58B4"/>
    <w:rsid w:val="00FF2FB4"/>
    <w:rsid w:val="00FF36D3"/>
    <w:rsid w:val="00FF3BA2"/>
    <w:rsid w:val="00FF3D11"/>
    <w:rsid w:val="00FF7B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57F130"/>
  <w15:docId w15:val="{AC9E6252-F808-4605-B1FE-AB619904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61"/>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qFormat/>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uiPriority w:val="59"/>
    <w:rsid w:val="00827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14438"/>
    <w:pPr>
      <w:tabs>
        <w:tab w:val="right" w:leader="dot" w:pos="9350"/>
      </w:tabs>
      <w:spacing w:after="100" w:line="240" w:lineRule="auto"/>
    </w:pPr>
  </w:style>
  <w:style w:type="character" w:styleId="Hyperlink">
    <w:name w:val="Hyperlink"/>
    <w:basedOn w:val="DefaultParagraphFont"/>
    <w:uiPriority w:val="99"/>
    <w:unhideWhenUsed/>
    <w:rsid w:val="00827661"/>
    <w:rPr>
      <w:color w:val="5F5F5F" w:themeColor="hyperlink"/>
      <w:u w:val="single"/>
    </w:rPr>
  </w:style>
  <w:style w:type="paragraph" w:styleId="TOC2">
    <w:name w:val="toc 2"/>
    <w:basedOn w:val="Normal"/>
    <w:next w:val="Normal"/>
    <w:autoRedefine/>
    <w:uiPriority w:val="39"/>
    <w:unhideWhenUsed/>
    <w:rsid w:val="00827661"/>
    <w:pPr>
      <w:spacing w:after="100"/>
      <w:ind w:left="220"/>
    </w:pPr>
  </w:style>
  <w:style w:type="character" w:styleId="CommentReference">
    <w:name w:val="annotation reference"/>
    <w:basedOn w:val="DefaultParagraphFont"/>
    <w:uiPriority w:val="99"/>
    <w:semiHidden/>
    <w:unhideWhenUsed/>
    <w:rsid w:val="00827661"/>
    <w:rPr>
      <w:sz w:val="16"/>
      <w:szCs w:val="16"/>
    </w:rPr>
  </w:style>
  <w:style w:type="paragraph" w:styleId="CommentText">
    <w:name w:val="annotation text"/>
    <w:basedOn w:val="Normal"/>
    <w:link w:val="CommentTextChar"/>
    <w:uiPriority w:val="99"/>
    <w:unhideWhenUsed/>
    <w:rsid w:val="00827661"/>
    <w:pPr>
      <w:spacing w:line="240" w:lineRule="auto"/>
    </w:pPr>
    <w:rPr>
      <w:sz w:val="20"/>
      <w:szCs w:val="20"/>
    </w:rPr>
  </w:style>
  <w:style w:type="character" w:customStyle="1" w:styleId="CommentTextChar">
    <w:name w:val="Comment Text Char"/>
    <w:basedOn w:val="DefaultParagraphFont"/>
    <w:link w:val="CommentText"/>
    <w:uiPriority w:val="99"/>
    <w:rsid w:val="00827661"/>
    <w:rPr>
      <w:sz w:val="20"/>
      <w:szCs w:val="20"/>
    </w:rPr>
  </w:style>
  <w:style w:type="paragraph" w:styleId="CommentSubject">
    <w:name w:val="annotation subject"/>
    <w:basedOn w:val="CommentText"/>
    <w:next w:val="CommentText"/>
    <w:link w:val="CommentSubjectChar"/>
    <w:uiPriority w:val="99"/>
    <w:semiHidden/>
    <w:unhideWhenUsed/>
    <w:rsid w:val="00827661"/>
    <w:rPr>
      <w:b/>
      <w:bCs/>
    </w:rPr>
  </w:style>
  <w:style w:type="character" w:customStyle="1" w:styleId="CommentSubjectChar">
    <w:name w:val="Comment Subject Char"/>
    <w:basedOn w:val="CommentTextChar"/>
    <w:link w:val="CommentSubject"/>
    <w:uiPriority w:val="99"/>
    <w:semiHidden/>
    <w:rsid w:val="00827661"/>
    <w:rPr>
      <w:b/>
      <w:bCs/>
      <w:sz w:val="20"/>
      <w:szCs w:val="20"/>
    </w:rPr>
  </w:style>
  <w:style w:type="paragraph" w:customStyle="1" w:styleId="subsection-e">
    <w:name w:val="subsection-e"/>
    <w:basedOn w:val="Normal"/>
    <w:rsid w:val="00AE66B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e">
    <w:name w:val="paragraph-e"/>
    <w:basedOn w:val="Normal"/>
    <w:rsid w:val="00AE66B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clause-e">
    <w:name w:val="clause-e"/>
    <w:basedOn w:val="Normal"/>
    <w:rsid w:val="00AE66B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ubclause-e">
    <w:name w:val="subclause-e"/>
    <w:basedOn w:val="Normal"/>
    <w:rsid w:val="00AE66B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Revision">
    <w:name w:val="Revision"/>
    <w:hidden/>
    <w:uiPriority w:val="99"/>
    <w:semiHidden/>
    <w:rsid w:val="00B976A0"/>
    <w:pPr>
      <w:spacing w:after="0" w:line="240" w:lineRule="auto"/>
    </w:pPr>
  </w:style>
  <w:style w:type="character" w:styleId="UnresolvedMention">
    <w:name w:val="Unresolved Mention"/>
    <w:basedOn w:val="DefaultParagraphFont"/>
    <w:uiPriority w:val="99"/>
    <w:semiHidden/>
    <w:unhideWhenUsed/>
    <w:rsid w:val="00C228B6"/>
    <w:rPr>
      <w:color w:val="808080"/>
      <w:shd w:val="clear" w:color="auto" w:fill="E6E6E6"/>
    </w:rPr>
  </w:style>
  <w:style w:type="character" w:styleId="PlaceholderText">
    <w:name w:val="Placeholder Text"/>
    <w:basedOn w:val="DefaultParagraphFont"/>
    <w:uiPriority w:val="99"/>
    <w:semiHidden/>
    <w:rsid w:val="00393CA2"/>
    <w:rPr>
      <w:color w:val="808080"/>
    </w:rPr>
  </w:style>
  <w:style w:type="character" w:styleId="FollowedHyperlink">
    <w:name w:val="FollowedHyperlink"/>
    <w:basedOn w:val="DefaultParagraphFont"/>
    <w:uiPriority w:val="99"/>
    <w:semiHidden/>
    <w:unhideWhenUsed/>
    <w:rsid w:val="008773F3"/>
    <w:rPr>
      <w:color w:val="919191" w:themeColor="followedHyperlink"/>
      <w:u w:val="single"/>
    </w:rPr>
  </w:style>
  <w:style w:type="paragraph" w:customStyle="1" w:styleId="subpara-e">
    <w:name w:val="subpara-e"/>
    <w:basedOn w:val="Normal"/>
    <w:rsid w:val="00594B2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Caption">
    <w:name w:val="caption"/>
    <w:basedOn w:val="Normal"/>
    <w:next w:val="Normal"/>
    <w:uiPriority w:val="35"/>
    <w:unhideWhenUsed/>
    <w:rsid w:val="00E76685"/>
    <w:pPr>
      <w:spacing w:line="240" w:lineRule="auto"/>
    </w:pPr>
    <w:rPr>
      <w:i/>
      <w:iCs/>
      <w:color w:val="000000" w:themeColor="text2"/>
      <w:sz w:val="18"/>
      <w:szCs w:val="18"/>
    </w:rPr>
  </w:style>
  <w:style w:type="paragraph" w:customStyle="1" w:styleId="section-e">
    <w:name w:val="section-e"/>
    <w:basedOn w:val="Normal"/>
    <w:rsid w:val="000F00E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FootnoteText">
    <w:name w:val="footnote text"/>
    <w:basedOn w:val="Normal"/>
    <w:link w:val="FootnoteTextChar"/>
    <w:uiPriority w:val="99"/>
    <w:semiHidden/>
    <w:unhideWhenUsed/>
    <w:rsid w:val="00CD50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5038"/>
    <w:rPr>
      <w:sz w:val="20"/>
      <w:szCs w:val="20"/>
    </w:rPr>
  </w:style>
  <w:style w:type="character" w:styleId="FootnoteReference">
    <w:name w:val="footnote reference"/>
    <w:basedOn w:val="DefaultParagraphFont"/>
    <w:uiPriority w:val="99"/>
    <w:semiHidden/>
    <w:unhideWhenUsed/>
    <w:rsid w:val="00CD50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7826">
      <w:bodyDiv w:val="1"/>
      <w:marLeft w:val="0"/>
      <w:marRight w:val="0"/>
      <w:marTop w:val="0"/>
      <w:marBottom w:val="0"/>
      <w:divBdr>
        <w:top w:val="none" w:sz="0" w:space="0" w:color="auto"/>
        <w:left w:val="none" w:sz="0" w:space="0" w:color="auto"/>
        <w:bottom w:val="none" w:sz="0" w:space="0" w:color="auto"/>
        <w:right w:val="none" w:sz="0" w:space="0" w:color="auto"/>
      </w:divBdr>
    </w:div>
    <w:div w:id="162281441">
      <w:bodyDiv w:val="1"/>
      <w:marLeft w:val="0"/>
      <w:marRight w:val="0"/>
      <w:marTop w:val="0"/>
      <w:marBottom w:val="0"/>
      <w:divBdr>
        <w:top w:val="none" w:sz="0" w:space="0" w:color="auto"/>
        <w:left w:val="none" w:sz="0" w:space="0" w:color="auto"/>
        <w:bottom w:val="none" w:sz="0" w:space="0" w:color="auto"/>
        <w:right w:val="none" w:sz="0" w:space="0" w:color="auto"/>
      </w:divBdr>
    </w:div>
    <w:div w:id="337313926">
      <w:bodyDiv w:val="1"/>
      <w:marLeft w:val="0"/>
      <w:marRight w:val="0"/>
      <w:marTop w:val="0"/>
      <w:marBottom w:val="0"/>
      <w:divBdr>
        <w:top w:val="none" w:sz="0" w:space="0" w:color="auto"/>
        <w:left w:val="none" w:sz="0" w:space="0" w:color="auto"/>
        <w:bottom w:val="none" w:sz="0" w:space="0" w:color="auto"/>
        <w:right w:val="none" w:sz="0" w:space="0" w:color="auto"/>
      </w:divBdr>
    </w:div>
    <w:div w:id="605503113">
      <w:bodyDiv w:val="1"/>
      <w:marLeft w:val="0"/>
      <w:marRight w:val="0"/>
      <w:marTop w:val="0"/>
      <w:marBottom w:val="0"/>
      <w:divBdr>
        <w:top w:val="none" w:sz="0" w:space="0" w:color="auto"/>
        <w:left w:val="none" w:sz="0" w:space="0" w:color="auto"/>
        <w:bottom w:val="none" w:sz="0" w:space="0" w:color="auto"/>
        <w:right w:val="none" w:sz="0" w:space="0" w:color="auto"/>
      </w:divBdr>
    </w:div>
    <w:div w:id="734471431">
      <w:bodyDiv w:val="1"/>
      <w:marLeft w:val="0"/>
      <w:marRight w:val="0"/>
      <w:marTop w:val="0"/>
      <w:marBottom w:val="0"/>
      <w:divBdr>
        <w:top w:val="none" w:sz="0" w:space="0" w:color="auto"/>
        <w:left w:val="none" w:sz="0" w:space="0" w:color="auto"/>
        <w:bottom w:val="none" w:sz="0" w:space="0" w:color="auto"/>
        <w:right w:val="none" w:sz="0" w:space="0" w:color="auto"/>
      </w:divBdr>
    </w:div>
    <w:div w:id="872041600">
      <w:bodyDiv w:val="1"/>
      <w:marLeft w:val="0"/>
      <w:marRight w:val="0"/>
      <w:marTop w:val="0"/>
      <w:marBottom w:val="0"/>
      <w:divBdr>
        <w:top w:val="none" w:sz="0" w:space="0" w:color="auto"/>
        <w:left w:val="none" w:sz="0" w:space="0" w:color="auto"/>
        <w:bottom w:val="none" w:sz="0" w:space="0" w:color="auto"/>
        <w:right w:val="none" w:sz="0" w:space="0" w:color="auto"/>
      </w:divBdr>
    </w:div>
    <w:div w:id="878710172">
      <w:bodyDiv w:val="1"/>
      <w:marLeft w:val="0"/>
      <w:marRight w:val="0"/>
      <w:marTop w:val="0"/>
      <w:marBottom w:val="0"/>
      <w:divBdr>
        <w:top w:val="none" w:sz="0" w:space="0" w:color="auto"/>
        <w:left w:val="none" w:sz="0" w:space="0" w:color="auto"/>
        <w:bottom w:val="none" w:sz="0" w:space="0" w:color="auto"/>
        <w:right w:val="none" w:sz="0" w:space="0" w:color="auto"/>
      </w:divBdr>
    </w:div>
    <w:div w:id="973098768">
      <w:bodyDiv w:val="1"/>
      <w:marLeft w:val="0"/>
      <w:marRight w:val="0"/>
      <w:marTop w:val="0"/>
      <w:marBottom w:val="0"/>
      <w:divBdr>
        <w:top w:val="none" w:sz="0" w:space="0" w:color="auto"/>
        <w:left w:val="none" w:sz="0" w:space="0" w:color="auto"/>
        <w:bottom w:val="none" w:sz="0" w:space="0" w:color="auto"/>
        <w:right w:val="none" w:sz="0" w:space="0" w:color="auto"/>
      </w:divBdr>
    </w:div>
    <w:div w:id="1040478894">
      <w:bodyDiv w:val="1"/>
      <w:marLeft w:val="0"/>
      <w:marRight w:val="0"/>
      <w:marTop w:val="0"/>
      <w:marBottom w:val="0"/>
      <w:divBdr>
        <w:top w:val="none" w:sz="0" w:space="0" w:color="auto"/>
        <w:left w:val="none" w:sz="0" w:space="0" w:color="auto"/>
        <w:bottom w:val="none" w:sz="0" w:space="0" w:color="auto"/>
        <w:right w:val="none" w:sz="0" w:space="0" w:color="auto"/>
      </w:divBdr>
    </w:div>
    <w:div w:id="1070611790">
      <w:bodyDiv w:val="1"/>
      <w:marLeft w:val="0"/>
      <w:marRight w:val="0"/>
      <w:marTop w:val="0"/>
      <w:marBottom w:val="0"/>
      <w:divBdr>
        <w:top w:val="none" w:sz="0" w:space="0" w:color="auto"/>
        <w:left w:val="none" w:sz="0" w:space="0" w:color="auto"/>
        <w:bottom w:val="none" w:sz="0" w:space="0" w:color="auto"/>
        <w:right w:val="none" w:sz="0" w:space="0" w:color="auto"/>
      </w:divBdr>
    </w:div>
    <w:div w:id="1128820050">
      <w:bodyDiv w:val="1"/>
      <w:marLeft w:val="0"/>
      <w:marRight w:val="0"/>
      <w:marTop w:val="0"/>
      <w:marBottom w:val="0"/>
      <w:divBdr>
        <w:top w:val="none" w:sz="0" w:space="0" w:color="auto"/>
        <w:left w:val="none" w:sz="0" w:space="0" w:color="auto"/>
        <w:bottom w:val="none" w:sz="0" w:space="0" w:color="auto"/>
        <w:right w:val="none" w:sz="0" w:space="0" w:color="auto"/>
      </w:divBdr>
    </w:div>
    <w:div w:id="1337615852">
      <w:bodyDiv w:val="1"/>
      <w:marLeft w:val="0"/>
      <w:marRight w:val="0"/>
      <w:marTop w:val="0"/>
      <w:marBottom w:val="0"/>
      <w:divBdr>
        <w:top w:val="none" w:sz="0" w:space="0" w:color="auto"/>
        <w:left w:val="none" w:sz="0" w:space="0" w:color="auto"/>
        <w:bottom w:val="none" w:sz="0" w:space="0" w:color="auto"/>
        <w:right w:val="none" w:sz="0" w:space="0" w:color="auto"/>
      </w:divBdr>
    </w:div>
    <w:div w:id="1458140200">
      <w:bodyDiv w:val="1"/>
      <w:marLeft w:val="0"/>
      <w:marRight w:val="0"/>
      <w:marTop w:val="0"/>
      <w:marBottom w:val="0"/>
      <w:divBdr>
        <w:top w:val="none" w:sz="0" w:space="0" w:color="auto"/>
        <w:left w:val="none" w:sz="0" w:space="0" w:color="auto"/>
        <w:bottom w:val="none" w:sz="0" w:space="0" w:color="auto"/>
        <w:right w:val="none" w:sz="0" w:space="0" w:color="auto"/>
      </w:divBdr>
    </w:div>
    <w:div w:id="1574317510">
      <w:bodyDiv w:val="1"/>
      <w:marLeft w:val="0"/>
      <w:marRight w:val="0"/>
      <w:marTop w:val="0"/>
      <w:marBottom w:val="0"/>
      <w:divBdr>
        <w:top w:val="none" w:sz="0" w:space="0" w:color="auto"/>
        <w:left w:val="none" w:sz="0" w:space="0" w:color="auto"/>
        <w:bottom w:val="none" w:sz="0" w:space="0" w:color="auto"/>
        <w:right w:val="none" w:sz="0" w:space="0" w:color="auto"/>
      </w:divBdr>
    </w:div>
    <w:div w:id="1900944248">
      <w:bodyDiv w:val="1"/>
      <w:marLeft w:val="0"/>
      <w:marRight w:val="0"/>
      <w:marTop w:val="0"/>
      <w:marBottom w:val="0"/>
      <w:divBdr>
        <w:top w:val="none" w:sz="0" w:space="0" w:color="auto"/>
        <w:left w:val="none" w:sz="0" w:space="0" w:color="auto"/>
        <w:bottom w:val="none" w:sz="0" w:space="0" w:color="auto"/>
        <w:right w:val="none" w:sz="0" w:space="0" w:color="auto"/>
      </w:divBdr>
    </w:div>
    <w:div w:id="1950355374">
      <w:bodyDiv w:val="1"/>
      <w:marLeft w:val="0"/>
      <w:marRight w:val="0"/>
      <w:marTop w:val="0"/>
      <w:marBottom w:val="0"/>
      <w:divBdr>
        <w:top w:val="none" w:sz="0" w:space="0" w:color="auto"/>
        <w:left w:val="none" w:sz="0" w:space="0" w:color="auto"/>
        <w:bottom w:val="none" w:sz="0" w:space="0" w:color="auto"/>
        <w:right w:val="none" w:sz="0" w:space="0" w:color="auto"/>
      </w:divBdr>
    </w:div>
    <w:div w:id="1973245992">
      <w:bodyDiv w:val="1"/>
      <w:marLeft w:val="0"/>
      <w:marRight w:val="0"/>
      <w:marTop w:val="0"/>
      <w:marBottom w:val="0"/>
      <w:divBdr>
        <w:top w:val="none" w:sz="0" w:space="0" w:color="auto"/>
        <w:left w:val="none" w:sz="0" w:space="0" w:color="auto"/>
        <w:bottom w:val="none" w:sz="0" w:space="0" w:color="auto"/>
        <w:right w:val="none" w:sz="0" w:space="0" w:color="auto"/>
      </w:divBdr>
    </w:div>
    <w:div w:id="2053768015">
      <w:bodyDiv w:val="1"/>
      <w:marLeft w:val="0"/>
      <w:marRight w:val="0"/>
      <w:marTop w:val="0"/>
      <w:marBottom w:val="0"/>
      <w:divBdr>
        <w:top w:val="none" w:sz="0" w:space="0" w:color="auto"/>
        <w:left w:val="none" w:sz="0" w:space="0" w:color="auto"/>
        <w:bottom w:val="none" w:sz="0" w:space="0" w:color="auto"/>
        <w:right w:val="none" w:sz="0" w:space="0" w:color="auto"/>
      </w:divBdr>
    </w:div>
    <w:div w:id="2094741624">
      <w:bodyDiv w:val="1"/>
      <w:marLeft w:val="0"/>
      <w:marRight w:val="0"/>
      <w:marTop w:val="0"/>
      <w:marBottom w:val="0"/>
      <w:divBdr>
        <w:top w:val="none" w:sz="0" w:space="0" w:color="auto"/>
        <w:left w:val="none" w:sz="0" w:space="0" w:color="auto"/>
        <w:bottom w:val="none" w:sz="0" w:space="0" w:color="auto"/>
        <w:right w:val="none" w:sz="0" w:space="0" w:color="auto"/>
      </w:divBdr>
    </w:div>
    <w:div w:id="2109347272">
      <w:bodyDiv w:val="1"/>
      <w:marLeft w:val="0"/>
      <w:marRight w:val="0"/>
      <w:marTop w:val="0"/>
      <w:marBottom w:val="0"/>
      <w:divBdr>
        <w:top w:val="none" w:sz="0" w:space="0" w:color="auto"/>
        <w:left w:val="none" w:sz="0" w:space="0" w:color="auto"/>
        <w:bottom w:val="none" w:sz="0" w:space="0" w:color="auto"/>
        <w:right w:val="none" w:sz="0" w:space="0" w:color="auto"/>
      </w:divBdr>
    </w:div>
    <w:div w:id="213844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ndm.gov.on.ca/en/mines-and-minerals/mlas/directive5-4-submit-pending-distribution" TargetMode="External"/><Relationship Id="rId18" Type="http://schemas.openxmlformats.org/officeDocument/2006/relationships/image" Target="media/image4.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hyperlink" Target="https://www.mndm.gov.on.ca/en/mines-and-minerals/mlas/directive5-7-distribute-approved-credits" TargetMode="External"/><Relationship Id="rId17" Type="http://schemas.openxmlformats.org/officeDocument/2006/relationships/image" Target="media/image3.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mndm.gov.on.ca/en/mines-and-minerals/mlas/directive5-6-payment-in-place-for-new-claim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ndm.gov.on.ca/en/mines-and-minerals/mlas/directive5-4-revise-pending-distribution" TargetMode="External"/><Relationship Id="rId22" Type="http://schemas.openxmlformats.org/officeDocument/2006/relationships/image" Target="media/image8.jpe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ntario.ca/laws/regulation/180065" TargetMode="External"/><Relationship Id="rId1" Type="http://schemas.openxmlformats.org/officeDocument/2006/relationships/hyperlink" Target="https://www.ontario.ca/laws/statute/90m14"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FAE639A25A41499B2EB88132C11E97" ma:contentTypeVersion="12" ma:contentTypeDescription="Create a new document." ma:contentTypeScope="" ma:versionID="18068253be947f06b9d040b8c306354b">
  <xsd:schema xmlns:xsd="http://www.w3.org/2001/XMLSchema" xmlns:xs="http://www.w3.org/2001/XMLSchema" xmlns:p="http://schemas.microsoft.com/office/2006/metadata/properties" xmlns:ns3="9d05bc67-33e7-45fa-bdd0-1eed3678b005" xmlns:ns4="e65c8633-95e1-4d18-9ccd-1b5af635d791" targetNamespace="http://schemas.microsoft.com/office/2006/metadata/properties" ma:root="true" ma:fieldsID="976fe88f36620c502d5cacd0fd544e8c" ns3:_="" ns4:_="">
    <xsd:import namespace="9d05bc67-33e7-45fa-bdd0-1eed3678b005"/>
    <xsd:import namespace="e65c8633-95e1-4d18-9ccd-1b5af635d7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5bc67-33e7-45fa-bdd0-1eed3678b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5c8633-95e1-4d18-9ccd-1b5af635d79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3AFBA3-3386-42D2-9D2E-E3A27CDA3264}">
  <ds:schemaRefs>
    <ds:schemaRef ds:uri="http://schemas.openxmlformats.org/officeDocument/2006/bibliography"/>
  </ds:schemaRefs>
</ds:datastoreItem>
</file>

<file path=customXml/itemProps2.xml><?xml version="1.0" encoding="utf-8"?>
<ds:datastoreItem xmlns:ds="http://schemas.openxmlformats.org/officeDocument/2006/customXml" ds:itemID="{C322D179-D788-4308-9A4E-A0EA9CF1B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5bc67-33e7-45fa-bdd0-1eed3678b005"/>
    <ds:schemaRef ds:uri="e65c8633-95e1-4d18-9ccd-1b5af635d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47E709-71AA-40CC-9360-68477D0AAB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2ABF39-88F8-4662-83B9-25467003FC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2935</Words>
  <Characters>16734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Gordey, Erin (MNDM)</dc:creator>
  <cp:keywords/>
  <dc:description/>
  <cp:lastModifiedBy>Fortin, Sophie (ENDM)</cp:lastModifiedBy>
  <cp:revision>10</cp:revision>
  <cp:lastPrinted>2019-10-17T13:15:00Z</cp:lastPrinted>
  <dcterms:created xsi:type="dcterms:W3CDTF">2022-04-19T17:59:00Z</dcterms:created>
  <dcterms:modified xsi:type="dcterms:W3CDTF">2022-09-19T16:18:00Z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0x01010071FAE639A25A41499B2EB88132C11E97</vt:lpwstr>
  </property>
  <property fmtid="{D5CDD505-2E9C-101B-9397-08002B2CF9AE}" pid="3" name="MSIP_Label_034a106e-6316-442c-ad35-738afd673d2b_Enabled">
    <vt:lpwstr>true</vt:lpwstr>
  </property>
  <property fmtid="{D5CDD505-2E9C-101B-9397-08002B2CF9AE}" pid="4" name="MSIP_Label_034a106e-6316-442c-ad35-738afd673d2b_SetDate">
    <vt:lpwstr>2021-09-02T12:58:44Z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