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8C1D0" w14:textId="77777777" w:rsidR="00084BA0" w:rsidRDefault="00BB3992" w:rsidP="00725A66">
      <w:pPr>
        <w:jc w:val="right"/>
        <w:rPr>
          <w:b/>
          <w:sz w:val="28"/>
          <w:szCs w:val="28"/>
        </w:rPr>
      </w:pPr>
      <w:r>
        <w:rPr>
          <w:b/>
          <w:sz w:val="28"/>
          <w:szCs w:val="28"/>
        </w:rPr>
        <w:t xml:space="preserve">                                           </w:t>
      </w:r>
    </w:p>
    <w:p w14:paraId="7F7591EE" w14:textId="6332C493" w:rsidR="00827661" w:rsidRPr="0090748B" w:rsidRDefault="00827661" w:rsidP="00A6336D">
      <w:pPr>
        <w:jc w:val="right"/>
        <w:rPr>
          <w:rFonts w:ascii="Arial" w:hAnsi="Arial" w:cs="Arial"/>
          <w:b/>
          <w:sz w:val="28"/>
          <w:szCs w:val="28"/>
        </w:rPr>
      </w:pPr>
      <w:r>
        <w:rPr>
          <w:rFonts w:ascii="Arial" w:hAnsi="Arial"/>
          <w:b/>
          <w:sz w:val="28"/>
          <w:szCs w:val="28"/>
        </w:rPr>
        <w:t xml:space="preserve">Ministère </w:t>
      </w:r>
      <w:r w:rsidR="00047472">
        <w:rPr>
          <w:rFonts w:ascii="Arial" w:hAnsi="Arial"/>
          <w:b/>
          <w:sz w:val="28"/>
          <w:szCs w:val="28"/>
        </w:rPr>
        <w:t>des Mines</w:t>
      </w:r>
    </w:p>
    <w:p w14:paraId="5C6C5770" w14:textId="6C82CFD9" w:rsidR="00827661" w:rsidRDefault="00827661" w:rsidP="00115D8F">
      <w:pPr>
        <w:rPr>
          <w:rFonts w:ascii="Arial" w:hAnsi="Arial" w:cs="Arial"/>
          <w:b/>
          <w:sz w:val="48"/>
          <w:szCs w:val="48"/>
        </w:rPr>
      </w:pPr>
    </w:p>
    <w:p w14:paraId="716CAED1" w14:textId="77777777" w:rsidR="0090748B" w:rsidRPr="0090748B" w:rsidRDefault="0090748B" w:rsidP="00115D8F">
      <w:pPr>
        <w:rPr>
          <w:rFonts w:ascii="Arial" w:hAnsi="Arial" w:cs="Arial"/>
          <w:b/>
          <w:sz w:val="48"/>
          <w:szCs w:val="48"/>
        </w:rPr>
      </w:pPr>
    </w:p>
    <w:p w14:paraId="436346D1" w14:textId="5A4EF0F8" w:rsidR="00827661" w:rsidRPr="0090748B" w:rsidRDefault="00827661" w:rsidP="00A6336D">
      <w:pPr>
        <w:jc w:val="right"/>
        <w:rPr>
          <w:rFonts w:ascii="Arial" w:hAnsi="Arial" w:cs="Arial"/>
          <w:b/>
          <w:sz w:val="48"/>
          <w:szCs w:val="48"/>
          <w:u w:val="single"/>
        </w:rPr>
      </w:pPr>
      <w:r>
        <w:rPr>
          <w:rFonts w:ascii="Arial" w:hAnsi="Arial"/>
          <w:b/>
          <w:sz w:val="48"/>
          <w:szCs w:val="48"/>
        </w:rPr>
        <w:t>Travaux d’évaluation – Coûts</w:t>
      </w:r>
    </w:p>
    <w:p w14:paraId="52A0A5AD" w14:textId="0DA8724F" w:rsidR="00827661" w:rsidRPr="0090748B" w:rsidRDefault="006B21A6" w:rsidP="00115D8F">
      <w:pPr>
        <w:rPr>
          <w:rFonts w:ascii="Arial" w:hAnsi="Arial" w:cs="Arial"/>
        </w:rPr>
      </w:pPr>
      <w:r>
        <w:rPr>
          <w:rFonts w:ascii="Arial" w:hAnsi="Arial"/>
        </w:rPr>
        <w:t xml:space="preserve"> </w:t>
      </w:r>
    </w:p>
    <w:p w14:paraId="7800D14F" w14:textId="77777777" w:rsidR="00827661" w:rsidRPr="0090748B" w:rsidRDefault="00827661" w:rsidP="00115D8F">
      <w:pPr>
        <w:rPr>
          <w:rFonts w:ascii="Arial" w:hAnsi="Arial" w:cs="Arial"/>
        </w:rPr>
      </w:pPr>
    </w:p>
    <w:p w14:paraId="526AC061" w14:textId="77777777" w:rsidR="00827661" w:rsidRPr="0090748B" w:rsidRDefault="00827661" w:rsidP="00115D8F">
      <w:pPr>
        <w:rPr>
          <w:rFonts w:ascii="Arial" w:hAnsi="Arial" w:cs="Arial"/>
        </w:rPr>
      </w:pPr>
    </w:p>
    <w:p w14:paraId="64632CAB" w14:textId="77777777" w:rsidR="00827661" w:rsidRPr="0090748B" w:rsidRDefault="00827661" w:rsidP="00115D8F">
      <w:pPr>
        <w:rPr>
          <w:rFonts w:ascii="Arial" w:hAnsi="Arial" w:cs="Arial"/>
        </w:rPr>
      </w:pPr>
    </w:p>
    <w:p w14:paraId="4BB57762" w14:textId="77777777" w:rsidR="00827661" w:rsidRPr="0090748B" w:rsidRDefault="00827661" w:rsidP="00115D8F">
      <w:pPr>
        <w:rPr>
          <w:rFonts w:ascii="Arial" w:hAnsi="Arial" w:cs="Arial"/>
        </w:rPr>
      </w:pPr>
    </w:p>
    <w:p w14:paraId="0BB1CD96" w14:textId="6F515AC1" w:rsidR="00827661" w:rsidRDefault="00827661" w:rsidP="00115D8F">
      <w:pPr>
        <w:rPr>
          <w:rFonts w:ascii="Arial" w:hAnsi="Arial" w:cs="Arial"/>
        </w:rPr>
      </w:pPr>
    </w:p>
    <w:p w14:paraId="1F139AF2" w14:textId="4E2C0111" w:rsidR="0090748B" w:rsidRDefault="0090748B" w:rsidP="00115D8F">
      <w:pPr>
        <w:rPr>
          <w:rFonts w:ascii="Arial" w:hAnsi="Arial" w:cs="Arial"/>
        </w:rPr>
      </w:pPr>
    </w:p>
    <w:p w14:paraId="0931CA23" w14:textId="562455D7" w:rsidR="0090748B" w:rsidRDefault="0090748B" w:rsidP="00115D8F">
      <w:pPr>
        <w:rPr>
          <w:rFonts w:ascii="Arial" w:hAnsi="Arial" w:cs="Arial"/>
        </w:rPr>
      </w:pPr>
    </w:p>
    <w:p w14:paraId="4AFDEAA1" w14:textId="0A1EEDF2" w:rsidR="0090748B" w:rsidRDefault="0090748B" w:rsidP="00115D8F">
      <w:pPr>
        <w:rPr>
          <w:rFonts w:ascii="Arial" w:hAnsi="Arial" w:cs="Arial"/>
        </w:rPr>
      </w:pPr>
    </w:p>
    <w:p w14:paraId="5F9B0D04" w14:textId="5A4F43D1" w:rsidR="0090748B" w:rsidRDefault="0090748B" w:rsidP="00115D8F">
      <w:pPr>
        <w:rPr>
          <w:rFonts w:ascii="Arial" w:hAnsi="Arial" w:cs="Arial"/>
        </w:rPr>
      </w:pPr>
    </w:p>
    <w:p w14:paraId="00121281" w14:textId="332E897A" w:rsidR="001F0850" w:rsidRDefault="00AB0CB5" w:rsidP="001F0850">
      <w:pPr>
        <w:ind w:left="720" w:firstLine="4099"/>
        <w:contextualSpacing/>
        <w:jc w:val="right"/>
        <w:rPr>
          <w:rFonts w:ascii="Arial" w:eastAsia="Calibri" w:hAnsi="Arial" w:cs="Arial"/>
          <w:sz w:val="28"/>
          <w:szCs w:val="28"/>
        </w:rPr>
      </w:pPr>
      <w:r>
        <w:rPr>
          <w:rFonts w:ascii="Times New Roman" w:hAnsi="Times New Roman"/>
          <w:noProof/>
          <w:sz w:val="20"/>
          <w:szCs w:val="20"/>
        </w:rPr>
        <w:drawing>
          <wp:inline distT="0" distB="0" distL="0" distR="0" wp14:anchorId="1B5CEC8F" wp14:editId="56EBD841">
            <wp:extent cx="1817370" cy="459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7370" cy="459740"/>
                    </a:xfrm>
                    <a:prstGeom prst="rect">
                      <a:avLst/>
                    </a:prstGeom>
                    <a:noFill/>
                    <a:ln>
                      <a:noFill/>
                    </a:ln>
                  </pic:spPr>
                </pic:pic>
              </a:graphicData>
            </a:graphic>
          </wp:inline>
        </w:drawing>
      </w:r>
    </w:p>
    <w:p w14:paraId="0A138908" w14:textId="77777777" w:rsidR="001F0850" w:rsidRDefault="001F0850" w:rsidP="001F0850">
      <w:pPr>
        <w:ind w:left="720" w:firstLine="4099"/>
        <w:contextualSpacing/>
        <w:jc w:val="right"/>
        <w:rPr>
          <w:rFonts w:ascii="Arial" w:eastAsia="Calibri" w:hAnsi="Arial" w:cs="Arial"/>
          <w:sz w:val="28"/>
          <w:szCs w:val="28"/>
        </w:rPr>
      </w:pPr>
    </w:p>
    <w:p w14:paraId="74871C65" w14:textId="505C902A" w:rsidR="001F0850" w:rsidRPr="0090748B" w:rsidRDefault="001F0850" w:rsidP="00047472">
      <w:pPr>
        <w:ind w:left="720" w:firstLine="4099"/>
        <w:contextualSpacing/>
        <w:rPr>
          <w:rFonts w:ascii="Arial" w:eastAsia="Calibri" w:hAnsi="Arial" w:cs="Arial"/>
          <w:sz w:val="28"/>
          <w:szCs w:val="28"/>
        </w:rPr>
      </w:pPr>
      <w:r>
        <w:rPr>
          <w:rFonts w:ascii="Arial" w:hAnsi="Arial"/>
          <w:sz w:val="28"/>
          <w:szCs w:val="28"/>
        </w:rPr>
        <w:t>Section des terrains miniers</w:t>
      </w:r>
    </w:p>
    <w:p w14:paraId="7E5957E2" w14:textId="1ADA6D19" w:rsidR="001F0850" w:rsidRPr="0090748B" w:rsidRDefault="00047472" w:rsidP="00047472">
      <w:pPr>
        <w:spacing w:after="0"/>
        <w:ind w:left="720"/>
        <w:contextualSpacing/>
        <w:rPr>
          <w:rFonts w:ascii="Arial" w:eastAsia="Calibri" w:hAnsi="Arial" w:cs="Arial"/>
          <w:sz w:val="28"/>
          <w:szCs w:val="28"/>
        </w:rPr>
      </w:pPr>
      <w:r>
        <w:rPr>
          <w:rFonts w:ascii="Arial" w:hAnsi="Arial"/>
          <w:sz w:val="28"/>
          <w:szCs w:val="28"/>
        </w:rPr>
        <w:t xml:space="preserve">                                    </w:t>
      </w:r>
      <w:r w:rsidR="00140714">
        <w:rPr>
          <w:rFonts w:ascii="Arial" w:hAnsi="Arial"/>
          <w:sz w:val="28"/>
          <w:szCs w:val="28"/>
        </w:rPr>
        <w:t xml:space="preserve">  </w:t>
      </w:r>
      <w:r>
        <w:rPr>
          <w:rFonts w:ascii="Arial" w:hAnsi="Arial"/>
          <w:sz w:val="28"/>
          <w:szCs w:val="28"/>
        </w:rPr>
        <w:t xml:space="preserve">  </w:t>
      </w:r>
      <w:r w:rsidR="001F0850">
        <w:rPr>
          <w:rFonts w:ascii="Arial" w:hAnsi="Arial"/>
          <w:sz w:val="28"/>
          <w:szCs w:val="28"/>
        </w:rPr>
        <w:t>Mise à jour de la politique :</w:t>
      </w:r>
      <w:r>
        <w:rPr>
          <w:rFonts w:ascii="Arial" w:hAnsi="Arial"/>
          <w:sz w:val="28"/>
          <w:szCs w:val="28"/>
        </w:rPr>
        <w:t xml:space="preserve"> </w:t>
      </w:r>
      <w:r w:rsidR="001F0850">
        <w:rPr>
          <w:rFonts w:ascii="Arial" w:hAnsi="Arial"/>
          <w:sz w:val="28"/>
          <w:szCs w:val="28"/>
        </w:rPr>
        <w:t>Septembre 202</w:t>
      </w:r>
      <w:r>
        <w:rPr>
          <w:rFonts w:ascii="Arial" w:hAnsi="Arial"/>
          <w:sz w:val="28"/>
          <w:szCs w:val="28"/>
        </w:rPr>
        <w:t>2</w:t>
      </w:r>
      <w:r w:rsidR="001F0850">
        <w:rPr>
          <w:rFonts w:ascii="Arial" w:hAnsi="Arial"/>
          <w:sz w:val="28"/>
          <w:szCs w:val="28"/>
        </w:rPr>
        <w:t xml:space="preserve"> </w:t>
      </w:r>
    </w:p>
    <w:p w14:paraId="7EAAABA0" w14:textId="796561D5" w:rsidR="001F0850" w:rsidRDefault="001F0850" w:rsidP="00115D8F">
      <w:pPr>
        <w:rPr>
          <w:rFonts w:ascii="Arial" w:hAnsi="Arial" w:cs="Arial"/>
        </w:rPr>
      </w:pPr>
    </w:p>
    <w:p w14:paraId="4167310C" w14:textId="2ED17F30" w:rsidR="00FB6A9E" w:rsidRDefault="00FB6A9E" w:rsidP="00115D8F">
      <w:pPr>
        <w:rPr>
          <w:rFonts w:ascii="Arial" w:hAnsi="Arial" w:cs="Arial"/>
        </w:rPr>
      </w:pPr>
    </w:p>
    <w:p w14:paraId="36092882" w14:textId="1863D56D" w:rsidR="00FB6A9E" w:rsidRDefault="00FB6A9E" w:rsidP="00115D8F">
      <w:pPr>
        <w:rPr>
          <w:rFonts w:ascii="Arial" w:hAnsi="Arial" w:cs="Arial"/>
        </w:rPr>
      </w:pPr>
    </w:p>
    <w:p w14:paraId="48FF740A" w14:textId="77777777" w:rsidR="00FB6A9E" w:rsidRPr="0090748B" w:rsidRDefault="00FB6A9E" w:rsidP="00115D8F">
      <w:pPr>
        <w:rPr>
          <w:rFonts w:ascii="Arial" w:hAnsi="Arial" w:cs="Arial"/>
        </w:rPr>
      </w:pPr>
    </w:p>
    <w:sdt>
      <w:sdtPr>
        <w:rPr>
          <w:rFonts w:asciiTheme="minorHAnsi" w:eastAsiaTheme="minorHAnsi" w:hAnsiTheme="minorHAnsi" w:cstheme="minorBidi"/>
          <w:b w:val="0"/>
          <w:bCs w:val="0"/>
          <w:sz w:val="22"/>
          <w:szCs w:val="22"/>
          <w:lang w:bidi="ar-SA"/>
        </w:rPr>
        <w:id w:val="1045488144"/>
        <w:docPartObj>
          <w:docPartGallery w:val="Table of Contents"/>
          <w:docPartUnique/>
        </w:docPartObj>
      </w:sdtPr>
      <w:sdtEndPr>
        <w:rPr>
          <w:noProof/>
        </w:rPr>
      </w:sdtEndPr>
      <w:sdtContent>
        <w:p w14:paraId="352045E6" w14:textId="42950C5D" w:rsidR="00F209E2" w:rsidRDefault="00F3207C">
          <w:pPr>
            <w:pStyle w:val="TOCHeading"/>
          </w:pPr>
          <w:r>
            <w:t>Table de</w:t>
          </w:r>
          <w:r w:rsidR="003F7990">
            <w:t>s</w:t>
          </w:r>
          <w:r>
            <w:t xml:space="preserve"> matière</w:t>
          </w:r>
          <w:r w:rsidR="003F7990">
            <w:t>s</w:t>
          </w:r>
        </w:p>
        <w:p w14:paraId="0CF94FAE" w14:textId="501300CB" w:rsidR="00BA3B08" w:rsidRDefault="00F209E2">
          <w:pPr>
            <w:pStyle w:val="TOC1"/>
            <w:tabs>
              <w:tab w:val="right" w:leader="dot" w:pos="9350"/>
            </w:tabs>
            <w:rPr>
              <w:rFonts w:eastAsiaTheme="minorEastAsia"/>
              <w:noProof/>
              <w:lang w:val="en-CA" w:eastAsia="en-CA"/>
            </w:rPr>
          </w:pPr>
          <w:r>
            <w:fldChar w:fldCharType="begin"/>
          </w:r>
          <w:r>
            <w:instrText xml:space="preserve"> TOC \o "1-3" \h \z \u </w:instrText>
          </w:r>
          <w:r>
            <w:fldChar w:fldCharType="separate"/>
          </w:r>
          <w:hyperlink w:anchor="_Toc114481310" w:history="1">
            <w:r w:rsidR="00BA3B08" w:rsidRPr="006404A8">
              <w:rPr>
                <w:rStyle w:val="Hyperlink"/>
                <w:noProof/>
              </w:rPr>
              <w:t>Objet</w:t>
            </w:r>
            <w:r w:rsidR="00BA3B08">
              <w:rPr>
                <w:noProof/>
                <w:webHidden/>
              </w:rPr>
              <w:tab/>
            </w:r>
            <w:r w:rsidR="00BA3B08">
              <w:rPr>
                <w:noProof/>
                <w:webHidden/>
              </w:rPr>
              <w:fldChar w:fldCharType="begin"/>
            </w:r>
            <w:r w:rsidR="00BA3B08">
              <w:rPr>
                <w:noProof/>
                <w:webHidden/>
              </w:rPr>
              <w:instrText xml:space="preserve"> PAGEREF _Toc114481310 \h </w:instrText>
            </w:r>
            <w:r w:rsidR="00BA3B08">
              <w:rPr>
                <w:noProof/>
                <w:webHidden/>
              </w:rPr>
            </w:r>
            <w:r w:rsidR="00BA3B08">
              <w:rPr>
                <w:noProof/>
                <w:webHidden/>
              </w:rPr>
              <w:fldChar w:fldCharType="separate"/>
            </w:r>
            <w:r w:rsidR="00BA3B08">
              <w:rPr>
                <w:noProof/>
                <w:webHidden/>
              </w:rPr>
              <w:t>4</w:t>
            </w:r>
            <w:r w:rsidR="00BA3B08">
              <w:rPr>
                <w:noProof/>
                <w:webHidden/>
              </w:rPr>
              <w:fldChar w:fldCharType="end"/>
            </w:r>
          </w:hyperlink>
        </w:p>
        <w:p w14:paraId="53727B2F" w14:textId="0D139852" w:rsidR="00BA3B08" w:rsidRDefault="003F7990">
          <w:pPr>
            <w:pStyle w:val="TOC1"/>
            <w:tabs>
              <w:tab w:val="right" w:leader="dot" w:pos="9350"/>
            </w:tabs>
            <w:rPr>
              <w:rFonts w:eastAsiaTheme="minorEastAsia"/>
              <w:noProof/>
              <w:lang w:val="en-CA" w:eastAsia="en-CA"/>
            </w:rPr>
          </w:pPr>
          <w:hyperlink w:anchor="_Toc114481311" w:history="1">
            <w:r w:rsidR="00BA3B08" w:rsidRPr="006404A8">
              <w:rPr>
                <w:rStyle w:val="Hyperlink"/>
                <w:noProof/>
              </w:rPr>
              <w:t>Contexte</w:t>
            </w:r>
            <w:r w:rsidR="00BA3B08">
              <w:rPr>
                <w:noProof/>
                <w:webHidden/>
              </w:rPr>
              <w:tab/>
            </w:r>
            <w:r w:rsidR="00BA3B08">
              <w:rPr>
                <w:noProof/>
                <w:webHidden/>
              </w:rPr>
              <w:fldChar w:fldCharType="begin"/>
            </w:r>
            <w:r w:rsidR="00BA3B08">
              <w:rPr>
                <w:noProof/>
                <w:webHidden/>
              </w:rPr>
              <w:instrText xml:space="preserve"> PAGEREF _Toc114481311 \h </w:instrText>
            </w:r>
            <w:r w:rsidR="00BA3B08">
              <w:rPr>
                <w:noProof/>
                <w:webHidden/>
              </w:rPr>
            </w:r>
            <w:r w:rsidR="00BA3B08">
              <w:rPr>
                <w:noProof/>
                <w:webHidden/>
              </w:rPr>
              <w:fldChar w:fldCharType="separate"/>
            </w:r>
            <w:r w:rsidR="00BA3B08">
              <w:rPr>
                <w:noProof/>
                <w:webHidden/>
              </w:rPr>
              <w:t>4</w:t>
            </w:r>
            <w:r w:rsidR="00BA3B08">
              <w:rPr>
                <w:noProof/>
                <w:webHidden/>
              </w:rPr>
              <w:fldChar w:fldCharType="end"/>
            </w:r>
          </w:hyperlink>
        </w:p>
        <w:p w14:paraId="69ECA405" w14:textId="2E24F759" w:rsidR="00BA3B08" w:rsidRDefault="003F7990">
          <w:pPr>
            <w:pStyle w:val="TOC1"/>
            <w:tabs>
              <w:tab w:val="right" w:leader="dot" w:pos="9350"/>
            </w:tabs>
            <w:rPr>
              <w:rFonts w:eastAsiaTheme="minorEastAsia"/>
              <w:noProof/>
              <w:lang w:val="en-CA" w:eastAsia="en-CA"/>
            </w:rPr>
          </w:pPr>
          <w:hyperlink w:anchor="_Toc114481312" w:history="1">
            <w:r w:rsidR="00BA3B08" w:rsidRPr="006404A8">
              <w:rPr>
                <w:rStyle w:val="Hyperlink"/>
                <w:noProof/>
              </w:rPr>
              <w:t>Dépenses et coûts</w:t>
            </w:r>
            <w:r w:rsidR="00BA3B08">
              <w:rPr>
                <w:noProof/>
                <w:webHidden/>
              </w:rPr>
              <w:tab/>
            </w:r>
            <w:r w:rsidR="00BA3B08">
              <w:rPr>
                <w:noProof/>
                <w:webHidden/>
              </w:rPr>
              <w:fldChar w:fldCharType="begin"/>
            </w:r>
            <w:r w:rsidR="00BA3B08">
              <w:rPr>
                <w:noProof/>
                <w:webHidden/>
              </w:rPr>
              <w:instrText xml:space="preserve"> PAGEREF _Toc114481312 \h </w:instrText>
            </w:r>
            <w:r w:rsidR="00BA3B08">
              <w:rPr>
                <w:noProof/>
                <w:webHidden/>
              </w:rPr>
            </w:r>
            <w:r w:rsidR="00BA3B08">
              <w:rPr>
                <w:noProof/>
                <w:webHidden/>
              </w:rPr>
              <w:fldChar w:fldCharType="separate"/>
            </w:r>
            <w:r w:rsidR="00BA3B08">
              <w:rPr>
                <w:noProof/>
                <w:webHidden/>
              </w:rPr>
              <w:t>4</w:t>
            </w:r>
            <w:r w:rsidR="00BA3B08">
              <w:rPr>
                <w:noProof/>
                <w:webHidden/>
              </w:rPr>
              <w:fldChar w:fldCharType="end"/>
            </w:r>
          </w:hyperlink>
        </w:p>
        <w:p w14:paraId="365D4DE0" w14:textId="5EB1D345" w:rsidR="00BA3B08" w:rsidRDefault="003F7990">
          <w:pPr>
            <w:pStyle w:val="TOC2"/>
            <w:tabs>
              <w:tab w:val="right" w:leader="dot" w:pos="9350"/>
            </w:tabs>
            <w:rPr>
              <w:rFonts w:eastAsiaTheme="minorEastAsia"/>
              <w:noProof/>
              <w:lang w:val="en-CA" w:eastAsia="en-CA"/>
            </w:rPr>
          </w:pPr>
          <w:hyperlink w:anchor="_Toc114481313" w:history="1">
            <w:r w:rsidR="00BA3B08" w:rsidRPr="006404A8">
              <w:rPr>
                <w:rStyle w:val="Hyperlink"/>
                <w:noProof/>
              </w:rPr>
              <w:t>Pièces justificatives pour les dépenses et les coûts</w:t>
            </w:r>
            <w:r w:rsidR="00BA3B08">
              <w:rPr>
                <w:noProof/>
                <w:webHidden/>
              </w:rPr>
              <w:tab/>
            </w:r>
            <w:r w:rsidR="00BA3B08">
              <w:rPr>
                <w:noProof/>
                <w:webHidden/>
              </w:rPr>
              <w:fldChar w:fldCharType="begin"/>
            </w:r>
            <w:r w:rsidR="00BA3B08">
              <w:rPr>
                <w:noProof/>
                <w:webHidden/>
              </w:rPr>
              <w:instrText xml:space="preserve"> PAGEREF _Toc114481313 \h </w:instrText>
            </w:r>
            <w:r w:rsidR="00BA3B08">
              <w:rPr>
                <w:noProof/>
                <w:webHidden/>
              </w:rPr>
            </w:r>
            <w:r w:rsidR="00BA3B08">
              <w:rPr>
                <w:noProof/>
                <w:webHidden/>
              </w:rPr>
              <w:fldChar w:fldCharType="separate"/>
            </w:r>
            <w:r w:rsidR="00BA3B08">
              <w:rPr>
                <w:noProof/>
                <w:webHidden/>
              </w:rPr>
              <w:t>4</w:t>
            </w:r>
            <w:r w:rsidR="00BA3B08">
              <w:rPr>
                <w:noProof/>
                <w:webHidden/>
              </w:rPr>
              <w:fldChar w:fldCharType="end"/>
            </w:r>
          </w:hyperlink>
        </w:p>
        <w:p w14:paraId="34816018" w14:textId="288FE4F6" w:rsidR="00BA3B08" w:rsidRDefault="003F7990">
          <w:pPr>
            <w:pStyle w:val="TOC2"/>
            <w:tabs>
              <w:tab w:val="right" w:leader="dot" w:pos="9350"/>
            </w:tabs>
            <w:rPr>
              <w:rFonts w:eastAsiaTheme="minorEastAsia"/>
              <w:noProof/>
              <w:lang w:val="en-CA" w:eastAsia="en-CA"/>
            </w:rPr>
          </w:pPr>
          <w:hyperlink w:anchor="_Toc114481314" w:history="1">
            <w:r w:rsidR="00BA3B08" w:rsidRPr="006404A8">
              <w:rPr>
                <w:rStyle w:val="Hyperlink"/>
                <w:noProof/>
              </w:rPr>
              <w:t>Coûts de la main-d’œuvre et de la supervision sur le terrain</w:t>
            </w:r>
            <w:r w:rsidR="00BA3B08">
              <w:rPr>
                <w:noProof/>
                <w:webHidden/>
              </w:rPr>
              <w:tab/>
            </w:r>
            <w:r w:rsidR="00BA3B08">
              <w:rPr>
                <w:noProof/>
                <w:webHidden/>
              </w:rPr>
              <w:fldChar w:fldCharType="begin"/>
            </w:r>
            <w:r w:rsidR="00BA3B08">
              <w:rPr>
                <w:noProof/>
                <w:webHidden/>
              </w:rPr>
              <w:instrText xml:space="preserve"> PAGEREF _Toc114481314 \h </w:instrText>
            </w:r>
            <w:r w:rsidR="00BA3B08">
              <w:rPr>
                <w:noProof/>
                <w:webHidden/>
              </w:rPr>
            </w:r>
            <w:r w:rsidR="00BA3B08">
              <w:rPr>
                <w:noProof/>
                <w:webHidden/>
              </w:rPr>
              <w:fldChar w:fldCharType="separate"/>
            </w:r>
            <w:r w:rsidR="00BA3B08">
              <w:rPr>
                <w:noProof/>
                <w:webHidden/>
              </w:rPr>
              <w:t>5</w:t>
            </w:r>
            <w:r w:rsidR="00BA3B08">
              <w:rPr>
                <w:noProof/>
                <w:webHidden/>
              </w:rPr>
              <w:fldChar w:fldCharType="end"/>
            </w:r>
          </w:hyperlink>
        </w:p>
        <w:p w14:paraId="62504AC3" w14:textId="72A0DCCB" w:rsidR="00BA3B08" w:rsidRDefault="003F7990">
          <w:pPr>
            <w:pStyle w:val="TOC2"/>
            <w:tabs>
              <w:tab w:val="right" w:leader="dot" w:pos="9350"/>
            </w:tabs>
            <w:rPr>
              <w:rFonts w:eastAsiaTheme="minorEastAsia"/>
              <w:noProof/>
              <w:lang w:val="en-CA" w:eastAsia="en-CA"/>
            </w:rPr>
          </w:pPr>
          <w:hyperlink w:anchor="_Toc114481315" w:history="1">
            <w:r w:rsidR="00BA3B08" w:rsidRPr="006404A8">
              <w:rPr>
                <w:rStyle w:val="Hyperlink"/>
                <w:noProof/>
              </w:rPr>
              <w:t>Coûts des entrepreneurs et des experts-conseils</w:t>
            </w:r>
            <w:r w:rsidR="00BA3B08">
              <w:rPr>
                <w:noProof/>
                <w:webHidden/>
              </w:rPr>
              <w:tab/>
            </w:r>
            <w:r w:rsidR="00BA3B08">
              <w:rPr>
                <w:noProof/>
                <w:webHidden/>
              </w:rPr>
              <w:fldChar w:fldCharType="begin"/>
            </w:r>
            <w:r w:rsidR="00BA3B08">
              <w:rPr>
                <w:noProof/>
                <w:webHidden/>
              </w:rPr>
              <w:instrText xml:space="preserve"> PAGEREF _Toc114481315 \h </w:instrText>
            </w:r>
            <w:r w:rsidR="00BA3B08">
              <w:rPr>
                <w:noProof/>
                <w:webHidden/>
              </w:rPr>
            </w:r>
            <w:r w:rsidR="00BA3B08">
              <w:rPr>
                <w:noProof/>
                <w:webHidden/>
              </w:rPr>
              <w:fldChar w:fldCharType="separate"/>
            </w:r>
            <w:r w:rsidR="00BA3B08">
              <w:rPr>
                <w:noProof/>
                <w:webHidden/>
              </w:rPr>
              <w:t>6</w:t>
            </w:r>
            <w:r w:rsidR="00BA3B08">
              <w:rPr>
                <w:noProof/>
                <w:webHidden/>
              </w:rPr>
              <w:fldChar w:fldCharType="end"/>
            </w:r>
          </w:hyperlink>
        </w:p>
        <w:p w14:paraId="3D511712" w14:textId="541A7D93" w:rsidR="00BA3B08" w:rsidRDefault="003F7990">
          <w:pPr>
            <w:pStyle w:val="TOC2"/>
            <w:tabs>
              <w:tab w:val="right" w:leader="dot" w:pos="9350"/>
            </w:tabs>
            <w:rPr>
              <w:rFonts w:eastAsiaTheme="minorEastAsia"/>
              <w:noProof/>
              <w:lang w:val="en-CA" w:eastAsia="en-CA"/>
            </w:rPr>
          </w:pPr>
          <w:hyperlink w:anchor="_Toc114481316" w:history="1">
            <w:r w:rsidR="00BA3B08" w:rsidRPr="006404A8">
              <w:rPr>
                <w:rStyle w:val="Hyperlink"/>
                <w:noProof/>
              </w:rPr>
              <w:t>Coût des fournitures utilisées et de la location de matériel</w:t>
            </w:r>
            <w:r w:rsidR="00BA3B08">
              <w:rPr>
                <w:noProof/>
                <w:webHidden/>
              </w:rPr>
              <w:tab/>
            </w:r>
            <w:r w:rsidR="00BA3B08">
              <w:rPr>
                <w:noProof/>
                <w:webHidden/>
              </w:rPr>
              <w:fldChar w:fldCharType="begin"/>
            </w:r>
            <w:r w:rsidR="00BA3B08">
              <w:rPr>
                <w:noProof/>
                <w:webHidden/>
              </w:rPr>
              <w:instrText xml:space="preserve"> PAGEREF _Toc114481316 \h </w:instrText>
            </w:r>
            <w:r w:rsidR="00BA3B08">
              <w:rPr>
                <w:noProof/>
                <w:webHidden/>
              </w:rPr>
            </w:r>
            <w:r w:rsidR="00BA3B08">
              <w:rPr>
                <w:noProof/>
                <w:webHidden/>
              </w:rPr>
              <w:fldChar w:fldCharType="separate"/>
            </w:r>
            <w:r w:rsidR="00BA3B08">
              <w:rPr>
                <w:noProof/>
                <w:webHidden/>
              </w:rPr>
              <w:t>6</w:t>
            </w:r>
            <w:r w:rsidR="00BA3B08">
              <w:rPr>
                <w:noProof/>
                <w:webHidden/>
              </w:rPr>
              <w:fldChar w:fldCharType="end"/>
            </w:r>
          </w:hyperlink>
        </w:p>
        <w:p w14:paraId="6AEEED85" w14:textId="6659D553" w:rsidR="00BA3B08" w:rsidRDefault="003F7990">
          <w:pPr>
            <w:pStyle w:val="TOC2"/>
            <w:tabs>
              <w:tab w:val="right" w:leader="dot" w:pos="9350"/>
            </w:tabs>
            <w:rPr>
              <w:rFonts w:eastAsiaTheme="minorEastAsia"/>
              <w:noProof/>
              <w:lang w:val="en-CA" w:eastAsia="en-CA"/>
            </w:rPr>
          </w:pPr>
          <w:hyperlink w:anchor="_Toc114481317" w:history="1">
            <w:r w:rsidR="00BA3B08" w:rsidRPr="006404A8">
              <w:rPr>
                <w:rStyle w:val="Hyperlink"/>
                <w:noProof/>
              </w:rPr>
              <w:t>Frais de nourriture et de logement</w:t>
            </w:r>
            <w:r w:rsidR="00BA3B08">
              <w:rPr>
                <w:noProof/>
                <w:webHidden/>
              </w:rPr>
              <w:tab/>
            </w:r>
            <w:r w:rsidR="00BA3B08">
              <w:rPr>
                <w:noProof/>
                <w:webHidden/>
              </w:rPr>
              <w:fldChar w:fldCharType="begin"/>
            </w:r>
            <w:r w:rsidR="00BA3B08">
              <w:rPr>
                <w:noProof/>
                <w:webHidden/>
              </w:rPr>
              <w:instrText xml:space="preserve"> PAGEREF _Toc114481317 \h </w:instrText>
            </w:r>
            <w:r w:rsidR="00BA3B08">
              <w:rPr>
                <w:noProof/>
                <w:webHidden/>
              </w:rPr>
            </w:r>
            <w:r w:rsidR="00BA3B08">
              <w:rPr>
                <w:noProof/>
                <w:webHidden/>
              </w:rPr>
              <w:fldChar w:fldCharType="separate"/>
            </w:r>
            <w:r w:rsidR="00BA3B08">
              <w:rPr>
                <w:noProof/>
                <w:webHidden/>
              </w:rPr>
              <w:t>6</w:t>
            </w:r>
            <w:r w:rsidR="00BA3B08">
              <w:rPr>
                <w:noProof/>
                <w:webHidden/>
              </w:rPr>
              <w:fldChar w:fldCharType="end"/>
            </w:r>
          </w:hyperlink>
        </w:p>
        <w:p w14:paraId="6B1AFB4E" w14:textId="2A0FBE12" w:rsidR="00BA3B08" w:rsidRDefault="003F7990">
          <w:pPr>
            <w:pStyle w:val="TOC2"/>
            <w:tabs>
              <w:tab w:val="right" w:leader="dot" w:pos="9350"/>
            </w:tabs>
            <w:rPr>
              <w:rFonts w:eastAsiaTheme="minorEastAsia"/>
              <w:noProof/>
              <w:lang w:val="en-CA" w:eastAsia="en-CA"/>
            </w:rPr>
          </w:pPr>
          <w:hyperlink w:anchor="_Toc114481318" w:history="1">
            <w:r w:rsidR="00BA3B08" w:rsidRPr="006404A8">
              <w:rPr>
                <w:rStyle w:val="Hyperlink"/>
                <w:noProof/>
              </w:rPr>
              <w:t>Frais de transport des fournitures, du matériel et du personnel à destination et en provenance des terrains miniers en Ontario</w:t>
            </w:r>
            <w:r w:rsidR="00BA3B08">
              <w:rPr>
                <w:noProof/>
                <w:webHidden/>
              </w:rPr>
              <w:tab/>
            </w:r>
            <w:r w:rsidR="00BA3B08">
              <w:rPr>
                <w:noProof/>
                <w:webHidden/>
              </w:rPr>
              <w:fldChar w:fldCharType="begin"/>
            </w:r>
            <w:r w:rsidR="00BA3B08">
              <w:rPr>
                <w:noProof/>
                <w:webHidden/>
              </w:rPr>
              <w:instrText xml:space="preserve"> PAGEREF _Toc114481318 \h </w:instrText>
            </w:r>
            <w:r w:rsidR="00BA3B08">
              <w:rPr>
                <w:noProof/>
                <w:webHidden/>
              </w:rPr>
            </w:r>
            <w:r w:rsidR="00BA3B08">
              <w:rPr>
                <w:noProof/>
                <w:webHidden/>
              </w:rPr>
              <w:fldChar w:fldCharType="separate"/>
            </w:r>
            <w:r w:rsidR="00BA3B08">
              <w:rPr>
                <w:noProof/>
                <w:webHidden/>
              </w:rPr>
              <w:t>7</w:t>
            </w:r>
            <w:r w:rsidR="00BA3B08">
              <w:rPr>
                <w:noProof/>
                <w:webHidden/>
              </w:rPr>
              <w:fldChar w:fldCharType="end"/>
            </w:r>
          </w:hyperlink>
        </w:p>
        <w:p w14:paraId="0527C013" w14:textId="42F45C94" w:rsidR="00BA3B08" w:rsidRDefault="003F7990">
          <w:pPr>
            <w:pStyle w:val="TOC2"/>
            <w:tabs>
              <w:tab w:val="right" w:leader="dot" w:pos="9350"/>
            </w:tabs>
            <w:rPr>
              <w:rFonts w:eastAsiaTheme="minorEastAsia"/>
              <w:noProof/>
              <w:lang w:val="en-CA" w:eastAsia="en-CA"/>
            </w:rPr>
          </w:pPr>
          <w:hyperlink w:anchor="_Toc114481319" w:history="1">
            <w:r w:rsidR="00BA3B08" w:rsidRPr="006404A8">
              <w:rPr>
                <w:rStyle w:val="Hyperlink"/>
                <w:noProof/>
              </w:rPr>
              <w:t>Coûts d’expédition des échantillons</w:t>
            </w:r>
            <w:r w:rsidR="00BA3B08">
              <w:rPr>
                <w:noProof/>
                <w:webHidden/>
              </w:rPr>
              <w:tab/>
            </w:r>
            <w:r w:rsidR="00BA3B08">
              <w:rPr>
                <w:noProof/>
                <w:webHidden/>
              </w:rPr>
              <w:fldChar w:fldCharType="begin"/>
            </w:r>
            <w:r w:rsidR="00BA3B08">
              <w:rPr>
                <w:noProof/>
                <w:webHidden/>
              </w:rPr>
              <w:instrText xml:space="preserve"> PAGEREF _Toc114481319 \h </w:instrText>
            </w:r>
            <w:r w:rsidR="00BA3B08">
              <w:rPr>
                <w:noProof/>
                <w:webHidden/>
              </w:rPr>
            </w:r>
            <w:r w:rsidR="00BA3B08">
              <w:rPr>
                <w:noProof/>
                <w:webHidden/>
              </w:rPr>
              <w:fldChar w:fldCharType="separate"/>
            </w:r>
            <w:r w:rsidR="00BA3B08">
              <w:rPr>
                <w:noProof/>
                <w:webHidden/>
              </w:rPr>
              <w:t>7</w:t>
            </w:r>
            <w:r w:rsidR="00BA3B08">
              <w:rPr>
                <w:noProof/>
                <w:webHidden/>
              </w:rPr>
              <w:fldChar w:fldCharType="end"/>
            </w:r>
          </w:hyperlink>
        </w:p>
        <w:p w14:paraId="61003932" w14:textId="19946A79" w:rsidR="00BA3B08" w:rsidRDefault="003F7990">
          <w:pPr>
            <w:pStyle w:val="TOC2"/>
            <w:tabs>
              <w:tab w:val="right" w:leader="dot" w:pos="9350"/>
            </w:tabs>
            <w:rPr>
              <w:rFonts w:eastAsiaTheme="minorEastAsia"/>
              <w:noProof/>
              <w:lang w:val="en-CA" w:eastAsia="en-CA"/>
            </w:rPr>
          </w:pPr>
          <w:hyperlink w:anchor="_Toc114481320" w:history="1">
            <w:r w:rsidR="00BA3B08" w:rsidRPr="006404A8">
              <w:rPr>
                <w:rStyle w:val="Hyperlink"/>
                <w:noProof/>
              </w:rPr>
              <w:t>Coût des essais et des analyses chimiques effectués sur les échantillons</w:t>
            </w:r>
            <w:r w:rsidR="00BA3B08">
              <w:rPr>
                <w:noProof/>
                <w:webHidden/>
              </w:rPr>
              <w:tab/>
            </w:r>
            <w:r w:rsidR="00BA3B08">
              <w:rPr>
                <w:noProof/>
                <w:webHidden/>
              </w:rPr>
              <w:fldChar w:fldCharType="begin"/>
            </w:r>
            <w:r w:rsidR="00BA3B08">
              <w:rPr>
                <w:noProof/>
                <w:webHidden/>
              </w:rPr>
              <w:instrText xml:space="preserve"> PAGEREF _Toc114481320 \h </w:instrText>
            </w:r>
            <w:r w:rsidR="00BA3B08">
              <w:rPr>
                <w:noProof/>
                <w:webHidden/>
              </w:rPr>
            </w:r>
            <w:r w:rsidR="00BA3B08">
              <w:rPr>
                <w:noProof/>
                <w:webHidden/>
              </w:rPr>
              <w:fldChar w:fldCharType="separate"/>
            </w:r>
            <w:r w:rsidR="00BA3B08">
              <w:rPr>
                <w:noProof/>
                <w:webHidden/>
              </w:rPr>
              <w:t>7</w:t>
            </w:r>
            <w:r w:rsidR="00BA3B08">
              <w:rPr>
                <w:noProof/>
                <w:webHidden/>
              </w:rPr>
              <w:fldChar w:fldCharType="end"/>
            </w:r>
          </w:hyperlink>
        </w:p>
        <w:p w14:paraId="609F1804" w14:textId="6818833D" w:rsidR="00BA3B08" w:rsidRDefault="003F7990">
          <w:pPr>
            <w:pStyle w:val="TOC2"/>
            <w:tabs>
              <w:tab w:val="right" w:leader="dot" w:pos="9350"/>
            </w:tabs>
            <w:rPr>
              <w:rFonts w:eastAsiaTheme="minorEastAsia"/>
              <w:noProof/>
              <w:lang w:val="en-CA" w:eastAsia="en-CA"/>
            </w:rPr>
          </w:pPr>
          <w:hyperlink w:anchor="_Toc114481321" w:history="1">
            <w:r w:rsidR="00BA3B08" w:rsidRPr="006404A8">
              <w:rPr>
                <w:rStyle w:val="Hyperlink"/>
                <w:noProof/>
              </w:rPr>
              <w:t>Coûts de construction d’un sentier</w:t>
            </w:r>
            <w:r w:rsidR="00BA3B08">
              <w:rPr>
                <w:noProof/>
                <w:webHidden/>
              </w:rPr>
              <w:tab/>
            </w:r>
            <w:r w:rsidR="00BA3B08">
              <w:rPr>
                <w:noProof/>
                <w:webHidden/>
              </w:rPr>
              <w:fldChar w:fldCharType="begin"/>
            </w:r>
            <w:r w:rsidR="00BA3B08">
              <w:rPr>
                <w:noProof/>
                <w:webHidden/>
              </w:rPr>
              <w:instrText xml:space="preserve"> PAGEREF _Toc114481321 \h </w:instrText>
            </w:r>
            <w:r w:rsidR="00BA3B08">
              <w:rPr>
                <w:noProof/>
                <w:webHidden/>
              </w:rPr>
            </w:r>
            <w:r w:rsidR="00BA3B08">
              <w:rPr>
                <w:noProof/>
                <w:webHidden/>
              </w:rPr>
              <w:fldChar w:fldCharType="separate"/>
            </w:r>
            <w:r w:rsidR="00BA3B08">
              <w:rPr>
                <w:noProof/>
                <w:webHidden/>
              </w:rPr>
              <w:t>7</w:t>
            </w:r>
            <w:r w:rsidR="00BA3B08">
              <w:rPr>
                <w:noProof/>
                <w:webHidden/>
              </w:rPr>
              <w:fldChar w:fldCharType="end"/>
            </w:r>
          </w:hyperlink>
        </w:p>
        <w:p w14:paraId="52693E06" w14:textId="2E92FD68" w:rsidR="00BA3B08" w:rsidRDefault="003F7990">
          <w:pPr>
            <w:pStyle w:val="TOC2"/>
            <w:tabs>
              <w:tab w:val="right" w:leader="dot" w:pos="9350"/>
            </w:tabs>
            <w:rPr>
              <w:rFonts w:eastAsiaTheme="minorEastAsia"/>
              <w:noProof/>
              <w:lang w:val="en-CA" w:eastAsia="en-CA"/>
            </w:rPr>
          </w:pPr>
          <w:hyperlink w:anchor="_Toc114481322" w:history="1">
            <w:r w:rsidR="00BA3B08" w:rsidRPr="006404A8">
              <w:rPr>
                <w:rStyle w:val="Hyperlink"/>
                <w:noProof/>
              </w:rPr>
              <w:t>Coûts de commercialisation des minéraux industriels</w:t>
            </w:r>
            <w:r w:rsidR="00BA3B08">
              <w:rPr>
                <w:noProof/>
                <w:webHidden/>
              </w:rPr>
              <w:tab/>
            </w:r>
            <w:r w:rsidR="00BA3B08">
              <w:rPr>
                <w:noProof/>
                <w:webHidden/>
              </w:rPr>
              <w:fldChar w:fldCharType="begin"/>
            </w:r>
            <w:r w:rsidR="00BA3B08">
              <w:rPr>
                <w:noProof/>
                <w:webHidden/>
              </w:rPr>
              <w:instrText xml:space="preserve"> PAGEREF _Toc114481322 \h </w:instrText>
            </w:r>
            <w:r w:rsidR="00BA3B08">
              <w:rPr>
                <w:noProof/>
                <w:webHidden/>
              </w:rPr>
            </w:r>
            <w:r w:rsidR="00BA3B08">
              <w:rPr>
                <w:noProof/>
                <w:webHidden/>
              </w:rPr>
              <w:fldChar w:fldCharType="separate"/>
            </w:r>
            <w:r w:rsidR="00BA3B08">
              <w:rPr>
                <w:noProof/>
                <w:webHidden/>
              </w:rPr>
              <w:t>8</w:t>
            </w:r>
            <w:r w:rsidR="00BA3B08">
              <w:rPr>
                <w:noProof/>
                <w:webHidden/>
              </w:rPr>
              <w:fldChar w:fldCharType="end"/>
            </w:r>
          </w:hyperlink>
        </w:p>
        <w:p w14:paraId="2A7D4D97" w14:textId="121504BC" w:rsidR="00BA3B08" w:rsidRDefault="003F7990">
          <w:pPr>
            <w:pStyle w:val="TOC2"/>
            <w:tabs>
              <w:tab w:val="right" w:leader="dot" w:pos="9350"/>
            </w:tabs>
            <w:rPr>
              <w:rFonts w:eastAsiaTheme="minorEastAsia"/>
              <w:noProof/>
              <w:lang w:val="en-CA" w:eastAsia="en-CA"/>
            </w:rPr>
          </w:pPr>
          <w:hyperlink w:anchor="_Toc114481323" w:history="1">
            <w:r w:rsidR="00BA3B08" w:rsidRPr="006404A8">
              <w:rPr>
                <w:rStyle w:val="Hyperlink"/>
                <w:noProof/>
              </w:rPr>
              <w:t>Coûts des consultations menées auprès des collectivités autochtones à l’égard des activités d’exploration qui sont exercées ou qu’il est projeté d’exercer sur des terrains miniers</w:t>
            </w:r>
            <w:r w:rsidR="00BA3B08">
              <w:rPr>
                <w:noProof/>
                <w:webHidden/>
              </w:rPr>
              <w:tab/>
            </w:r>
            <w:r w:rsidR="00BA3B08">
              <w:rPr>
                <w:noProof/>
                <w:webHidden/>
              </w:rPr>
              <w:fldChar w:fldCharType="begin"/>
            </w:r>
            <w:r w:rsidR="00BA3B08">
              <w:rPr>
                <w:noProof/>
                <w:webHidden/>
              </w:rPr>
              <w:instrText xml:space="preserve"> PAGEREF _Toc114481323 \h </w:instrText>
            </w:r>
            <w:r w:rsidR="00BA3B08">
              <w:rPr>
                <w:noProof/>
                <w:webHidden/>
              </w:rPr>
            </w:r>
            <w:r w:rsidR="00BA3B08">
              <w:rPr>
                <w:noProof/>
                <w:webHidden/>
              </w:rPr>
              <w:fldChar w:fldCharType="separate"/>
            </w:r>
            <w:r w:rsidR="00BA3B08">
              <w:rPr>
                <w:noProof/>
                <w:webHidden/>
              </w:rPr>
              <w:t>8</w:t>
            </w:r>
            <w:r w:rsidR="00BA3B08">
              <w:rPr>
                <w:noProof/>
                <w:webHidden/>
              </w:rPr>
              <w:fldChar w:fldCharType="end"/>
            </w:r>
          </w:hyperlink>
        </w:p>
        <w:p w14:paraId="2416526E" w14:textId="5548CF03" w:rsidR="00BA3B08" w:rsidRDefault="003F7990">
          <w:pPr>
            <w:pStyle w:val="TOC1"/>
            <w:tabs>
              <w:tab w:val="right" w:leader="dot" w:pos="9350"/>
            </w:tabs>
            <w:rPr>
              <w:rFonts w:eastAsiaTheme="minorEastAsia"/>
              <w:noProof/>
              <w:lang w:val="en-CA" w:eastAsia="en-CA"/>
            </w:rPr>
          </w:pPr>
          <w:hyperlink w:anchor="_Toc114481324" w:history="1">
            <w:r w:rsidR="00BA3B08" w:rsidRPr="006404A8">
              <w:rPr>
                <w:rStyle w:val="Hyperlink"/>
                <w:noProof/>
                <w:shd w:val="clear" w:color="auto" w:fill="FFFFFF"/>
              </w:rPr>
              <w:t>Études de base environnementales</w:t>
            </w:r>
            <w:r w:rsidR="00BA3B08">
              <w:rPr>
                <w:noProof/>
                <w:webHidden/>
              </w:rPr>
              <w:tab/>
            </w:r>
            <w:r w:rsidR="00BA3B08">
              <w:rPr>
                <w:noProof/>
                <w:webHidden/>
              </w:rPr>
              <w:fldChar w:fldCharType="begin"/>
            </w:r>
            <w:r w:rsidR="00BA3B08">
              <w:rPr>
                <w:noProof/>
                <w:webHidden/>
              </w:rPr>
              <w:instrText xml:space="preserve"> PAGEREF _Toc114481324 \h </w:instrText>
            </w:r>
            <w:r w:rsidR="00BA3B08">
              <w:rPr>
                <w:noProof/>
                <w:webHidden/>
              </w:rPr>
            </w:r>
            <w:r w:rsidR="00BA3B08">
              <w:rPr>
                <w:noProof/>
                <w:webHidden/>
              </w:rPr>
              <w:fldChar w:fldCharType="separate"/>
            </w:r>
            <w:r w:rsidR="00BA3B08">
              <w:rPr>
                <w:noProof/>
                <w:webHidden/>
              </w:rPr>
              <w:t>10</w:t>
            </w:r>
            <w:r w:rsidR="00BA3B08">
              <w:rPr>
                <w:noProof/>
                <w:webHidden/>
              </w:rPr>
              <w:fldChar w:fldCharType="end"/>
            </w:r>
          </w:hyperlink>
        </w:p>
        <w:p w14:paraId="0764FEC3" w14:textId="0F536F0C" w:rsidR="00BA3B08" w:rsidRDefault="003F7990">
          <w:pPr>
            <w:pStyle w:val="TOC1"/>
            <w:tabs>
              <w:tab w:val="right" w:leader="dot" w:pos="9350"/>
            </w:tabs>
            <w:rPr>
              <w:rFonts w:eastAsiaTheme="minorEastAsia"/>
              <w:noProof/>
              <w:lang w:val="en-CA" w:eastAsia="en-CA"/>
            </w:rPr>
          </w:pPr>
          <w:hyperlink w:anchor="_Toc114481325" w:history="1">
            <w:r w:rsidR="00BA3B08" w:rsidRPr="006404A8">
              <w:rPr>
                <w:rStyle w:val="Hyperlink"/>
                <w:noProof/>
              </w:rPr>
              <w:t>Réhabilitation exigée ou permise par la loi</w:t>
            </w:r>
            <w:r w:rsidR="00BA3B08">
              <w:rPr>
                <w:noProof/>
                <w:webHidden/>
              </w:rPr>
              <w:tab/>
            </w:r>
            <w:r w:rsidR="00BA3B08">
              <w:rPr>
                <w:noProof/>
                <w:webHidden/>
              </w:rPr>
              <w:fldChar w:fldCharType="begin"/>
            </w:r>
            <w:r w:rsidR="00BA3B08">
              <w:rPr>
                <w:noProof/>
                <w:webHidden/>
              </w:rPr>
              <w:instrText xml:space="preserve"> PAGEREF _Toc114481325 \h </w:instrText>
            </w:r>
            <w:r w:rsidR="00BA3B08">
              <w:rPr>
                <w:noProof/>
                <w:webHidden/>
              </w:rPr>
            </w:r>
            <w:r w:rsidR="00BA3B08">
              <w:rPr>
                <w:noProof/>
                <w:webHidden/>
              </w:rPr>
              <w:fldChar w:fldCharType="separate"/>
            </w:r>
            <w:r w:rsidR="00BA3B08">
              <w:rPr>
                <w:noProof/>
                <w:webHidden/>
              </w:rPr>
              <w:t>10</w:t>
            </w:r>
            <w:r w:rsidR="00BA3B08">
              <w:rPr>
                <w:noProof/>
                <w:webHidden/>
              </w:rPr>
              <w:fldChar w:fldCharType="end"/>
            </w:r>
          </w:hyperlink>
        </w:p>
        <w:p w14:paraId="488E262D" w14:textId="624C44DA" w:rsidR="00BA3B08" w:rsidRDefault="003F7990">
          <w:pPr>
            <w:pStyle w:val="TOC2"/>
            <w:tabs>
              <w:tab w:val="right" w:leader="dot" w:pos="9350"/>
            </w:tabs>
            <w:rPr>
              <w:rFonts w:eastAsiaTheme="minorEastAsia"/>
              <w:noProof/>
              <w:lang w:val="en-CA" w:eastAsia="en-CA"/>
            </w:rPr>
          </w:pPr>
          <w:hyperlink w:anchor="_Toc114481326" w:history="1">
            <w:r w:rsidR="00BA3B08" w:rsidRPr="006404A8">
              <w:rPr>
                <w:rStyle w:val="Hyperlink"/>
                <w:noProof/>
              </w:rPr>
              <w:t>Réhabilitation progressive</w:t>
            </w:r>
            <w:r w:rsidR="00BA3B08">
              <w:rPr>
                <w:noProof/>
                <w:webHidden/>
              </w:rPr>
              <w:tab/>
            </w:r>
            <w:r w:rsidR="00BA3B08">
              <w:rPr>
                <w:noProof/>
                <w:webHidden/>
              </w:rPr>
              <w:fldChar w:fldCharType="begin"/>
            </w:r>
            <w:r w:rsidR="00BA3B08">
              <w:rPr>
                <w:noProof/>
                <w:webHidden/>
              </w:rPr>
              <w:instrText xml:space="preserve"> PAGEREF _Toc114481326 \h </w:instrText>
            </w:r>
            <w:r w:rsidR="00BA3B08">
              <w:rPr>
                <w:noProof/>
                <w:webHidden/>
              </w:rPr>
            </w:r>
            <w:r w:rsidR="00BA3B08">
              <w:rPr>
                <w:noProof/>
                <w:webHidden/>
              </w:rPr>
              <w:fldChar w:fldCharType="separate"/>
            </w:r>
            <w:r w:rsidR="00BA3B08">
              <w:rPr>
                <w:noProof/>
                <w:webHidden/>
              </w:rPr>
              <w:t>10</w:t>
            </w:r>
            <w:r w:rsidR="00BA3B08">
              <w:rPr>
                <w:noProof/>
                <w:webHidden/>
              </w:rPr>
              <w:fldChar w:fldCharType="end"/>
            </w:r>
          </w:hyperlink>
        </w:p>
        <w:p w14:paraId="105B740D" w14:textId="2D741E9E" w:rsidR="00BA3B08" w:rsidRDefault="003F7990">
          <w:pPr>
            <w:pStyle w:val="TOC2"/>
            <w:tabs>
              <w:tab w:val="right" w:leader="dot" w:pos="9350"/>
            </w:tabs>
            <w:rPr>
              <w:rFonts w:eastAsiaTheme="minorEastAsia"/>
              <w:noProof/>
              <w:lang w:val="en-CA" w:eastAsia="en-CA"/>
            </w:rPr>
          </w:pPr>
          <w:hyperlink w:anchor="_Toc114481327" w:history="1">
            <w:r w:rsidR="00BA3B08" w:rsidRPr="006404A8">
              <w:rPr>
                <w:rStyle w:val="Hyperlink"/>
                <w:noProof/>
              </w:rPr>
              <w:t>Réhabilitation volontaire</w:t>
            </w:r>
            <w:r w:rsidR="00BA3B08">
              <w:rPr>
                <w:noProof/>
                <w:webHidden/>
              </w:rPr>
              <w:tab/>
            </w:r>
            <w:r w:rsidR="00BA3B08">
              <w:rPr>
                <w:noProof/>
                <w:webHidden/>
              </w:rPr>
              <w:fldChar w:fldCharType="begin"/>
            </w:r>
            <w:r w:rsidR="00BA3B08">
              <w:rPr>
                <w:noProof/>
                <w:webHidden/>
              </w:rPr>
              <w:instrText xml:space="preserve"> PAGEREF _Toc114481327 \h </w:instrText>
            </w:r>
            <w:r w:rsidR="00BA3B08">
              <w:rPr>
                <w:noProof/>
                <w:webHidden/>
              </w:rPr>
            </w:r>
            <w:r w:rsidR="00BA3B08">
              <w:rPr>
                <w:noProof/>
                <w:webHidden/>
              </w:rPr>
              <w:fldChar w:fldCharType="separate"/>
            </w:r>
            <w:r w:rsidR="00BA3B08">
              <w:rPr>
                <w:noProof/>
                <w:webHidden/>
              </w:rPr>
              <w:t>10</w:t>
            </w:r>
            <w:r w:rsidR="00BA3B08">
              <w:rPr>
                <w:noProof/>
                <w:webHidden/>
              </w:rPr>
              <w:fldChar w:fldCharType="end"/>
            </w:r>
          </w:hyperlink>
        </w:p>
        <w:p w14:paraId="1F7FD930" w14:textId="493D64A5" w:rsidR="00BA3B08" w:rsidRDefault="003F7990">
          <w:pPr>
            <w:pStyle w:val="TOC1"/>
            <w:tabs>
              <w:tab w:val="right" w:leader="dot" w:pos="9350"/>
            </w:tabs>
            <w:rPr>
              <w:rFonts w:eastAsiaTheme="minorEastAsia"/>
              <w:noProof/>
              <w:lang w:val="en-CA" w:eastAsia="en-CA"/>
            </w:rPr>
          </w:pPr>
          <w:hyperlink w:anchor="_Toc114481328" w:history="1">
            <w:r w:rsidR="00BA3B08" w:rsidRPr="006404A8">
              <w:rPr>
                <w:rStyle w:val="Hyperlink"/>
                <w:noProof/>
              </w:rPr>
              <w:t>Coûts et dépenses qui ne sont pas admissibles à des crédits de travail d’évaluation</w:t>
            </w:r>
            <w:r w:rsidR="00BA3B08">
              <w:rPr>
                <w:noProof/>
                <w:webHidden/>
              </w:rPr>
              <w:tab/>
            </w:r>
            <w:r w:rsidR="00BA3B08">
              <w:rPr>
                <w:noProof/>
                <w:webHidden/>
              </w:rPr>
              <w:fldChar w:fldCharType="begin"/>
            </w:r>
            <w:r w:rsidR="00BA3B08">
              <w:rPr>
                <w:noProof/>
                <w:webHidden/>
              </w:rPr>
              <w:instrText xml:space="preserve"> PAGEREF _Toc114481328 \h </w:instrText>
            </w:r>
            <w:r w:rsidR="00BA3B08">
              <w:rPr>
                <w:noProof/>
                <w:webHidden/>
              </w:rPr>
            </w:r>
            <w:r w:rsidR="00BA3B08">
              <w:rPr>
                <w:noProof/>
                <w:webHidden/>
              </w:rPr>
              <w:fldChar w:fldCharType="separate"/>
            </w:r>
            <w:r w:rsidR="00BA3B08">
              <w:rPr>
                <w:noProof/>
                <w:webHidden/>
              </w:rPr>
              <w:t>10</w:t>
            </w:r>
            <w:r w:rsidR="00BA3B08">
              <w:rPr>
                <w:noProof/>
                <w:webHidden/>
              </w:rPr>
              <w:fldChar w:fldCharType="end"/>
            </w:r>
          </w:hyperlink>
        </w:p>
        <w:p w14:paraId="06BBBE56" w14:textId="530D66B6" w:rsidR="00BA3B08" w:rsidRDefault="003F7990">
          <w:pPr>
            <w:pStyle w:val="TOC1"/>
            <w:tabs>
              <w:tab w:val="right" w:leader="dot" w:pos="9350"/>
            </w:tabs>
            <w:rPr>
              <w:rFonts w:eastAsiaTheme="minorEastAsia"/>
              <w:noProof/>
              <w:lang w:val="en-CA" w:eastAsia="en-CA"/>
            </w:rPr>
          </w:pPr>
          <w:hyperlink w:anchor="_Toc114481329" w:history="1">
            <w:r w:rsidR="00BA3B08" w:rsidRPr="006404A8">
              <w:rPr>
                <w:rStyle w:val="Hyperlink"/>
                <w:noProof/>
              </w:rPr>
              <w:t>Montant des crédits pour les travaux</w:t>
            </w:r>
            <w:r w:rsidR="00BA3B08">
              <w:rPr>
                <w:noProof/>
                <w:webHidden/>
              </w:rPr>
              <w:tab/>
            </w:r>
            <w:r w:rsidR="00BA3B08">
              <w:rPr>
                <w:noProof/>
                <w:webHidden/>
              </w:rPr>
              <w:fldChar w:fldCharType="begin"/>
            </w:r>
            <w:r w:rsidR="00BA3B08">
              <w:rPr>
                <w:noProof/>
                <w:webHidden/>
              </w:rPr>
              <w:instrText xml:space="preserve"> PAGEREF _Toc114481329 \h </w:instrText>
            </w:r>
            <w:r w:rsidR="00BA3B08">
              <w:rPr>
                <w:noProof/>
                <w:webHidden/>
              </w:rPr>
            </w:r>
            <w:r w:rsidR="00BA3B08">
              <w:rPr>
                <w:noProof/>
                <w:webHidden/>
              </w:rPr>
              <w:fldChar w:fldCharType="separate"/>
            </w:r>
            <w:r w:rsidR="00BA3B08">
              <w:rPr>
                <w:noProof/>
                <w:webHidden/>
              </w:rPr>
              <w:t>12</w:t>
            </w:r>
            <w:r w:rsidR="00BA3B08">
              <w:rPr>
                <w:noProof/>
                <w:webHidden/>
              </w:rPr>
              <w:fldChar w:fldCharType="end"/>
            </w:r>
          </w:hyperlink>
        </w:p>
        <w:p w14:paraId="6B81B00C" w14:textId="3A7914F6" w:rsidR="00BA3B08" w:rsidRDefault="003F7990">
          <w:pPr>
            <w:pStyle w:val="TOC1"/>
            <w:tabs>
              <w:tab w:val="right" w:leader="dot" w:pos="9350"/>
            </w:tabs>
            <w:rPr>
              <w:rFonts w:eastAsiaTheme="minorEastAsia"/>
              <w:noProof/>
              <w:lang w:val="en-CA" w:eastAsia="en-CA"/>
            </w:rPr>
          </w:pPr>
          <w:hyperlink w:anchor="_Toc114481330" w:history="1">
            <w:r w:rsidR="00BA3B08" w:rsidRPr="006404A8">
              <w:rPr>
                <w:rStyle w:val="Hyperlink"/>
                <w:noProof/>
              </w:rPr>
              <w:t>Contacter la Section des terrains miniers</w:t>
            </w:r>
            <w:r w:rsidR="00BA3B08">
              <w:rPr>
                <w:noProof/>
                <w:webHidden/>
              </w:rPr>
              <w:tab/>
            </w:r>
            <w:r w:rsidR="00BA3B08">
              <w:rPr>
                <w:noProof/>
                <w:webHidden/>
              </w:rPr>
              <w:fldChar w:fldCharType="begin"/>
            </w:r>
            <w:r w:rsidR="00BA3B08">
              <w:rPr>
                <w:noProof/>
                <w:webHidden/>
              </w:rPr>
              <w:instrText xml:space="preserve"> PAGEREF _Toc114481330 \h </w:instrText>
            </w:r>
            <w:r w:rsidR="00BA3B08">
              <w:rPr>
                <w:noProof/>
                <w:webHidden/>
              </w:rPr>
            </w:r>
            <w:r w:rsidR="00BA3B08">
              <w:rPr>
                <w:noProof/>
                <w:webHidden/>
              </w:rPr>
              <w:fldChar w:fldCharType="separate"/>
            </w:r>
            <w:r w:rsidR="00BA3B08">
              <w:rPr>
                <w:noProof/>
                <w:webHidden/>
              </w:rPr>
              <w:t>13</w:t>
            </w:r>
            <w:r w:rsidR="00BA3B08">
              <w:rPr>
                <w:noProof/>
                <w:webHidden/>
              </w:rPr>
              <w:fldChar w:fldCharType="end"/>
            </w:r>
          </w:hyperlink>
        </w:p>
        <w:p w14:paraId="694BAF26" w14:textId="21D0325B" w:rsidR="00BA3B08" w:rsidRDefault="003F7990">
          <w:pPr>
            <w:pStyle w:val="TOC1"/>
            <w:tabs>
              <w:tab w:val="right" w:leader="dot" w:pos="9350"/>
            </w:tabs>
            <w:rPr>
              <w:rFonts w:eastAsiaTheme="minorEastAsia"/>
              <w:noProof/>
              <w:lang w:val="en-CA" w:eastAsia="en-CA"/>
            </w:rPr>
          </w:pPr>
          <w:hyperlink w:anchor="_Toc114481331" w:history="1">
            <w:r w:rsidR="00BA3B08" w:rsidRPr="006404A8">
              <w:rPr>
                <w:rStyle w:val="Hyperlink"/>
                <w:noProof/>
              </w:rPr>
              <w:t>Détails concernant les pouvoirs</w:t>
            </w:r>
            <w:r w:rsidR="00BA3B08">
              <w:rPr>
                <w:noProof/>
                <w:webHidden/>
              </w:rPr>
              <w:tab/>
            </w:r>
            <w:r w:rsidR="00BA3B08">
              <w:rPr>
                <w:noProof/>
                <w:webHidden/>
              </w:rPr>
              <w:fldChar w:fldCharType="begin"/>
            </w:r>
            <w:r w:rsidR="00BA3B08">
              <w:rPr>
                <w:noProof/>
                <w:webHidden/>
              </w:rPr>
              <w:instrText xml:space="preserve"> PAGEREF _Toc114481331 \h </w:instrText>
            </w:r>
            <w:r w:rsidR="00BA3B08">
              <w:rPr>
                <w:noProof/>
                <w:webHidden/>
              </w:rPr>
            </w:r>
            <w:r w:rsidR="00BA3B08">
              <w:rPr>
                <w:noProof/>
                <w:webHidden/>
              </w:rPr>
              <w:fldChar w:fldCharType="separate"/>
            </w:r>
            <w:r w:rsidR="00BA3B08">
              <w:rPr>
                <w:noProof/>
                <w:webHidden/>
              </w:rPr>
              <w:t>14</w:t>
            </w:r>
            <w:r w:rsidR="00BA3B08">
              <w:rPr>
                <w:noProof/>
                <w:webHidden/>
              </w:rPr>
              <w:fldChar w:fldCharType="end"/>
            </w:r>
          </w:hyperlink>
        </w:p>
        <w:p w14:paraId="178B2923" w14:textId="127693FB" w:rsidR="00BA3B08" w:rsidRDefault="003F7990">
          <w:pPr>
            <w:pStyle w:val="TOC2"/>
            <w:tabs>
              <w:tab w:val="right" w:leader="dot" w:pos="9350"/>
            </w:tabs>
            <w:rPr>
              <w:rFonts w:eastAsiaTheme="minorEastAsia"/>
              <w:noProof/>
              <w:lang w:val="en-CA" w:eastAsia="en-CA"/>
            </w:rPr>
          </w:pPr>
          <w:hyperlink w:anchor="_Toc114481332" w:history="1">
            <w:r w:rsidR="00BA3B08" w:rsidRPr="006404A8">
              <w:rPr>
                <w:rStyle w:val="Hyperlink"/>
                <w:noProof/>
              </w:rPr>
              <w:t>Loi sur les mines, L.R.O. 1990, chap. M.14</w:t>
            </w:r>
            <w:r w:rsidR="00BA3B08">
              <w:rPr>
                <w:noProof/>
                <w:webHidden/>
              </w:rPr>
              <w:tab/>
            </w:r>
            <w:r w:rsidR="00BA3B08">
              <w:rPr>
                <w:noProof/>
                <w:webHidden/>
              </w:rPr>
              <w:fldChar w:fldCharType="begin"/>
            </w:r>
            <w:r w:rsidR="00BA3B08">
              <w:rPr>
                <w:noProof/>
                <w:webHidden/>
              </w:rPr>
              <w:instrText xml:space="preserve"> PAGEREF _Toc114481332 \h </w:instrText>
            </w:r>
            <w:r w:rsidR="00BA3B08">
              <w:rPr>
                <w:noProof/>
                <w:webHidden/>
              </w:rPr>
            </w:r>
            <w:r w:rsidR="00BA3B08">
              <w:rPr>
                <w:noProof/>
                <w:webHidden/>
              </w:rPr>
              <w:fldChar w:fldCharType="separate"/>
            </w:r>
            <w:r w:rsidR="00BA3B08">
              <w:rPr>
                <w:noProof/>
                <w:webHidden/>
              </w:rPr>
              <w:t>14</w:t>
            </w:r>
            <w:r w:rsidR="00BA3B08">
              <w:rPr>
                <w:noProof/>
                <w:webHidden/>
              </w:rPr>
              <w:fldChar w:fldCharType="end"/>
            </w:r>
          </w:hyperlink>
        </w:p>
        <w:p w14:paraId="50B5DF82" w14:textId="4CC1467A" w:rsidR="00BA3B08" w:rsidRDefault="003F7990">
          <w:pPr>
            <w:pStyle w:val="TOC2"/>
            <w:tabs>
              <w:tab w:val="right" w:leader="dot" w:pos="9350"/>
            </w:tabs>
            <w:rPr>
              <w:rFonts w:eastAsiaTheme="minorEastAsia"/>
              <w:noProof/>
              <w:lang w:val="en-CA" w:eastAsia="en-CA"/>
            </w:rPr>
          </w:pPr>
          <w:hyperlink w:anchor="_Toc114481333" w:history="1">
            <w:r w:rsidR="00BA3B08" w:rsidRPr="006404A8">
              <w:rPr>
                <w:rStyle w:val="Hyperlink"/>
                <w:noProof/>
              </w:rPr>
              <w:t>Travaux d’évaluation ou paiements</w:t>
            </w:r>
            <w:r w:rsidR="00BA3B08">
              <w:rPr>
                <w:noProof/>
                <w:webHidden/>
              </w:rPr>
              <w:tab/>
            </w:r>
            <w:r w:rsidR="00BA3B08">
              <w:rPr>
                <w:noProof/>
                <w:webHidden/>
              </w:rPr>
              <w:fldChar w:fldCharType="begin"/>
            </w:r>
            <w:r w:rsidR="00BA3B08">
              <w:rPr>
                <w:noProof/>
                <w:webHidden/>
              </w:rPr>
              <w:instrText xml:space="preserve"> PAGEREF _Toc114481333 \h </w:instrText>
            </w:r>
            <w:r w:rsidR="00BA3B08">
              <w:rPr>
                <w:noProof/>
                <w:webHidden/>
              </w:rPr>
            </w:r>
            <w:r w:rsidR="00BA3B08">
              <w:rPr>
                <w:noProof/>
                <w:webHidden/>
              </w:rPr>
              <w:fldChar w:fldCharType="separate"/>
            </w:r>
            <w:r w:rsidR="00BA3B08">
              <w:rPr>
                <w:noProof/>
                <w:webHidden/>
              </w:rPr>
              <w:t>14</w:t>
            </w:r>
            <w:r w:rsidR="00BA3B08">
              <w:rPr>
                <w:noProof/>
                <w:webHidden/>
              </w:rPr>
              <w:fldChar w:fldCharType="end"/>
            </w:r>
          </w:hyperlink>
        </w:p>
        <w:p w14:paraId="6C4C561D" w14:textId="7E11C873" w:rsidR="00BA3B08" w:rsidRDefault="003F7990">
          <w:pPr>
            <w:pStyle w:val="TOC2"/>
            <w:tabs>
              <w:tab w:val="right" w:leader="dot" w:pos="9350"/>
            </w:tabs>
            <w:rPr>
              <w:rFonts w:eastAsiaTheme="minorEastAsia"/>
              <w:noProof/>
              <w:lang w:val="en-CA" w:eastAsia="en-CA"/>
            </w:rPr>
          </w:pPr>
          <w:hyperlink w:anchor="_Toc114481334" w:history="1">
            <w:r w:rsidR="00BA3B08" w:rsidRPr="006404A8">
              <w:rPr>
                <w:rStyle w:val="Hyperlink"/>
                <w:noProof/>
              </w:rPr>
              <w:t>Rapport</w:t>
            </w:r>
            <w:r w:rsidR="00BA3B08">
              <w:rPr>
                <w:noProof/>
                <w:webHidden/>
              </w:rPr>
              <w:tab/>
            </w:r>
            <w:r w:rsidR="00BA3B08">
              <w:rPr>
                <w:noProof/>
                <w:webHidden/>
              </w:rPr>
              <w:fldChar w:fldCharType="begin"/>
            </w:r>
            <w:r w:rsidR="00BA3B08">
              <w:rPr>
                <w:noProof/>
                <w:webHidden/>
              </w:rPr>
              <w:instrText xml:space="preserve"> PAGEREF _Toc114481334 \h </w:instrText>
            </w:r>
            <w:r w:rsidR="00BA3B08">
              <w:rPr>
                <w:noProof/>
                <w:webHidden/>
              </w:rPr>
            </w:r>
            <w:r w:rsidR="00BA3B08">
              <w:rPr>
                <w:noProof/>
                <w:webHidden/>
              </w:rPr>
              <w:fldChar w:fldCharType="separate"/>
            </w:r>
            <w:r w:rsidR="00BA3B08">
              <w:rPr>
                <w:noProof/>
                <w:webHidden/>
              </w:rPr>
              <w:t>14</w:t>
            </w:r>
            <w:r w:rsidR="00BA3B08">
              <w:rPr>
                <w:noProof/>
                <w:webHidden/>
              </w:rPr>
              <w:fldChar w:fldCharType="end"/>
            </w:r>
          </w:hyperlink>
        </w:p>
        <w:p w14:paraId="47909936" w14:textId="32567238" w:rsidR="00BA3B08" w:rsidRDefault="003F7990">
          <w:pPr>
            <w:pStyle w:val="TOC2"/>
            <w:tabs>
              <w:tab w:val="right" w:leader="dot" w:pos="9350"/>
            </w:tabs>
            <w:rPr>
              <w:rFonts w:eastAsiaTheme="minorEastAsia"/>
              <w:noProof/>
              <w:lang w:val="en-CA" w:eastAsia="en-CA"/>
            </w:rPr>
          </w:pPr>
          <w:hyperlink w:anchor="_Toc114481335" w:history="1">
            <w:r w:rsidR="00BA3B08" w:rsidRPr="006404A8">
              <w:rPr>
                <w:rStyle w:val="Hyperlink"/>
                <w:noProof/>
              </w:rPr>
              <w:t>Genres de travaux admissibles</w:t>
            </w:r>
            <w:r w:rsidR="00BA3B08">
              <w:rPr>
                <w:noProof/>
                <w:webHidden/>
              </w:rPr>
              <w:tab/>
            </w:r>
            <w:r w:rsidR="00BA3B08">
              <w:rPr>
                <w:noProof/>
                <w:webHidden/>
              </w:rPr>
              <w:fldChar w:fldCharType="begin"/>
            </w:r>
            <w:r w:rsidR="00BA3B08">
              <w:rPr>
                <w:noProof/>
                <w:webHidden/>
              </w:rPr>
              <w:instrText xml:space="preserve"> PAGEREF _Toc114481335 \h </w:instrText>
            </w:r>
            <w:r w:rsidR="00BA3B08">
              <w:rPr>
                <w:noProof/>
                <w:webHidden/>
              </w:rPr>
            </w:r>
            <w:r w:rsidR="00BA3B08">
              <w:rPr>
                <w:noProof/>
                <w:webHidden/>
              </w:rPr>
              <w:fldChar w:fldCharType="separate"/>
            </w:r>
            <w:r w:rsidR="00BA3B08">
              <w:rPr>
                <w:noProof/>
                <w:webHidden/>
              </w:rPr>
              <w:t>14</w:t>
            </w:r>
            <w:r w:rsidR="00BA3B08">
              <w:rPr>
                <w:noProof/>
                <w:webHidden/>
              </w:rPr>
              <w:fldChar w:fldCharType="end"/>
            </w:r>
          </w:hyperlink>
        </w:p>
        <w:p w14:paraId="11527E11" w14:textId="0F7C2765" w:rsidR="00BA3B08" w:rsidRDefault="003F7990">
          <w:pPr>
            <w:pStyle w:val="TOC2"/>
            <w:tabs>
              <w:tab w:val="right" w:leader="dot" w:pos="9350"/>
            </w:tabs>
            <w:rPr>
              <w:rFonts w:eastAsiaTheme="minorEastAsia"/>
              <w:noProof/>
              <w:lang w:val="en-CA" w:eastAsia="en-CA"/>
            </w:rPr>
          </w:pPr>
          <w:hyperlink w:anchor="_Toc114481336" w:history="1">
            <w:r w:rsidR="00BA3B08" w:rsidRPr="006404A8">
              <w:rPr>
                <w:rStyle w:val="Hyperlink"/>
                <w:noProof/>
              </w:rPr>
              <w:t>Prospection et arpentage régional</w:t>
            </w:r>
            <w:r w:rsidR="00BA3B08">
              <w:rPr>
                <w:noProof/>
                <w:webHidden/>
              </w:rPr>
              <w:tab/>
            </w:r>
            <w:r w:rsidR="00BA3B08">
              <w:rPr>
                <w:noProof/>
                <w:webHidden/>
              </w:rPr>
              <w:fldChar w:fldCharType="begin"/>
            </w:r>
            <w:r w:rsidR="00BA3B08">
              <w:rPr>
                <w:noProof/>
                <w:webHidden/>
              </w:rPr>
              <w:instrText xml:space="preserve"> PAGEREF _Toc114481336 \h </w:instrText>
            </w:r>
            <w:r w:rsidR="00BA3B08">
              <w:rPr>
                <w:noProof/>
                <w:webHidden/>
              </w:rPr>
            </w:r>
            <w:r w:rsidR="00BA3B08">
              <w:rPr>
                <w:noProof/>
                <w:webHidden/>
              </w:rPr>
              <w:fldChar w:fldCharType="separate"/>
            </w:r>
            <w:r w:rsidR="00BA3B08">
              <w:rPr>
                <w:noProof/>
                <w:webHidden/>
              </w:rPr>
              <w:t>14</w:t>
            </w:r>
            <w:r w:rsidR="00BA3B08">
              <w:rPr>
                <w:noProof/>
                <w:webHidden/>
              </w:rPr>
              <w:fldChar w:fldCharType="end"/>
            </w:r>
          </w:hyperlink>
        </w:p>
        <w:p w14:paraId="24BB16AA" w14:textId="032319B0" w:rsidR="00BA3B08" w:rsidRDefault="003F7990">
          <w:pPr>
            <w:pStyle w:val="TOC2"/>
            <w:tabs>
              <w:tab w:val="right" w:leader="dot" w:pos="9350"/>
            </w:tabs>
            <w:rPr>
              <w:rFonts w:eastAsiaTheme="minorEastAsia"/>
              <w:noProof/>
              <w:lang w:val="en-CA" w:eastAsia="en-CA"/>
            </w:rPr>
          </w:pPr>
          <w:hyperlink w:anchor="_Toc114481337" w:history="1">
            <w:r w:rsidR="00BA3B08" w:rsidRPr="006404A8">
              <w:rPr>
                <w:rStyle w:val="Hyperlink"/>
                <w:noProof/>
              </w:rPr>
              <w:t>Décision</w:t>
            </w:r>
            <w:r w:rsidR="00BA3B08">
              <w:rPr>
                <w:noProof/>
                <w:webHidden/>
              </w:rPr>
              <w:tab/>
            </w:r>
            <w:r w:rsidR="00BA3B08">
              <w:rPr>
                <w:noProof/>
                <w:webHidden/>
              </w:rPr>
              <w:fldChar w:fldCharType="begin"/>
            </w:r>
            <w:r w:rsidR="00BA3B08">
              <w:rPr>
                <w:noProof/>
                <w:webHidden/>
              </w:rPr>
              <w:instrText xml:space="preserve"> PAGEREF _Toc114481337 \h </w:instrText>
            </w:r>
            <w:r w:rsidR="00BA3B08">
              <w:rPr>
                <w:noProof/>
                <w:webHidden/>
              </w:rPr>
            </w:r>
            <w:r w:rsidR="00BA3B08">
              <w:rPr>
                <w:noProof/>
                <w:webHidden/>
              </w:rPr>
              <w:fldChar w:fldCharType="separate"/>
            </w:r>
            <w:r w:rsidR="00BA3B08">
              <w:rPr>
                <w:noProof/>
                <w:webHidden/>
              </w:rPr>
              <w:t>14</w:t>
            </w:r>
            <w:r w:rsidR="00BA3B08">
              <w:rPr>
                <w:noProof/>
                <w:webHidden/>
              </w:rPr>
              <w:fldChar w:fldCharType="end"/>
            </w:r>
          </w:hyperlink>
        </w:p>
        <w:p w14:paraId="38612BFC" w14:textId="53776548" w:rsidR="00BA3B08" w:rsidRDefault="003F7990">
          <w:pPr>
            <w:pStyle w:val="TOC2"/>
            <w:tabs>
              <w:tab w:val="right" w:leader="dot" w:pos="9350"/>
            </w:tabs>
            <w:rPr>
              <w:rFonts w:eastAsiaTheme="minorEastAsia"/>
              <w:noProof/>
              <w:lang w:val="en-CA" w:eastAsia="en-CA"/>
            </w:rPr>
          </w:pPr>
          <w:hyperlink w:anchor="_Toc114481338" w:history="1">
            <w:r w:rsidR="00BA3B08" w:rsidRPr="006404A8">
              <w:rPr>
                <w:rStyle w:val="Hyperlink"/>
                <w:noProof/>
                <w:shd w:val="clear" w:color="auto" w:fill="FFFFFF"/>
              </w:rPr>
              <w:t>Règl. de l’Ont. 65/18 : Travaux d’évaluation</w:t>
            </w:r>
            <w:r w:rsidR="00BA3B08">
              <w:rPr>
                <w:noProof/>
                <w:webHidden/>
              </w:rPr>
              <w:tab/>
            </w:r>
            <w:r w:rsidR="00BA3B08">
              <w:rPr>
                <w:noProof/>
                <w:webHidden/>
              </w:rPr>
              <w:fldChar w:fldCharType="begin"/>
            </w:r>
            <w:r w:rsidR="00BA3B08">
              <w:rPr>
                <w:noProof/>
                <w:webHidden/>
              </w:rPr>
              <w:instrText xml:space="preserve"> PAGEREF _Toc114481338 \h </w:instrText>
            </w:r>
            <w:r w:rsidR="00BA3B08">
              <w:rPr>
                <w:noProof/>
                <w:webHidden/>
              </w:rPr>
            </w:r>
            <w:r w:rsidR="00BA3B08">
              <w:rPr>
                <w:noProof/>
                <w:webHidden/>
              </w:rPr>
              <w:fldChar w:fldCharType="separate"/>
            </w:r>
            <w:r w:rsidR="00BA3B08">
              <w:rPr>
                <w:noProof/>
                <w:webHidden/>
              </w:rPr>
              <w:t>15</w:t>
            </w:r>
            <w:r w:rsidR="00BA3B08">
              <w:rPr>
                <w:noProof/>
                <w:webHidden/>
              </w:rPr>
              <w:fldChar w:fldCharType="end"/>
            </w:r>
          </w:hyperlink>
        </w:p>
        <w:p w14:paraId="02E12D2E" w14:textId="14BC33B4" w:rsidR="00BA3B08" w:rsidRDefault="003F7990">
          <w:pPr>
            <w:pStyle w:val="TOC2"/>
            <w:tabs>
              <w:tab w:val="right" w:leader="dot" w:pos="9350"/>
            </w:tabs>
            <w:rPr>
              <w:rFonts w:eastAsiaTheme="minorEastAsia"/>
              <w:noProof/>
              <w:lang w:val="en-CA" w:eastAsia="en-CA"/>
            </w:rPr>
          </w:pPr>
          <w:hyperlink w:anchor="_Toc114481339" w:history="1">
            <w:r w:rsidR="00BA3B08" w:rsidRPr="006404A8">
              <w:rPr>
                <w:rStyle w:val="Hyperlink"/>
                <w:noProof/>
              </w:rPr>
              <w:t>Genres de travaux d’évaluation et frais afférents</w:t>
            </w:r>
            <w:r w:rsidR="00BA3B08">
              <w:rPr>
                <w:noProof/>
                <w:webHidden/>
              </w:rPr>
              <w:tab/>
            </w:r>
            <w:r w:rsidR="00BA3B08">
              <w:rPr>
                <w:noProof/>
                <w:webHidden/>
              </w:rPr>
              <w:fldChar w:fldCharType="begin"/>
            </w:r>
            <w:r w:rsidR="00BA3B08">
              <w:rPr>
                <w:noProof/>
                <w:webHidden/>
              </w:rPr>
              <w:instrText xml:space="preserve"> PAGEREF _Toc114481339 \h </w:instrText>
            </w:r>
            <w:r w:rsidR="00BA3B08">
              <w:rPr>
                <w:noProof/>
                <w:webHidden/>
              </w:rPr>
            </w:r>
            <w:r w:rsidR="00BA3B08">
              <w:rPr>
                <w:noProof/>
                <w:webHidden/>
              </w:rPr>
              <w:fldChar w:fldCharType="separate"/>
            </w:r>
            <w:r w:rsidR="00BA3B08">
              <w:rPr>
                <w:noProof/>
                <w:webHidden/>
              </w:rPr>
              <w:t>15</w:t>
            </w:r>
            <w:r w:rsidR="00BA3B08">
              <w:rPr>
                <w:noProof/>
                <w:webHidden/>
              </w:rPr>
              <w:fldChar w:fldCharType="end"/>
            </w:r>
          </w:hyperlink>
        </w:p>
        <w:p w14:paraId="138EEDE5" w14:textId="7F20A82B" w:rsidR="00BA3B08" w:rsidRDefault="003F7990">
          <w:pPr>
            <w:pStyle w:val="TOC2"/>
            <w:tabs>
              <w:tab w:val="right" w:leader="dot" w:pos="9350"/>
            </w:tabs>
            <w:rPr>
              <w:rFonts w:eastAsiaTheme="minorEastAsia"/>
              <w:noProof/>
              <w:lang w:val="en-CA" w:eastAsia="en-CA"/>
            </w:rPr>
          </w:pPr>
          <w:hyperlink w:anchor="_Toc114481340" w:history="1">
            <w:r w:rsidR="00BA3B08" w:rsidRPr="006404A8">
              <w:rPr>
                <w:rStyle w:val="Hyperlink"/>
                <w:noProof/>
              </w:rPr>
              <w:t>Rapports de travaux d’évaluation</w:t>
            </w:r>
            <w:r w:rsidR="00BA3B08">
              <w:rPr>
                <w:noProof/>
                <w:webHidden/>
              </w:rPr>
              <w:tab/>
            </w:r>
            <w:r w:rsidR="00BA3B08">
              <w:rPr>
                <w:noProof/>
                <w:webHidden/>
              </w:rPr>
              <w:fldChar w:fldCharType="begin"/>
            </w:r>
            <w:r w:rsidR="00BA3B08">
              <w:rPr>
                <w:noProof/>
                <w:webHidden/>
              </w:rPr>
              <w:instrText xml:space="preserve"> PAGEREF _Toc114481340 \h </w:instrText>
            </w:r>
            <w:r w:rsidR="00BA3B08">
              <w:rPr>
                <w:noProof/>
                <w:webHidden/>
              </w:rPr>
            </w:r>
            <w:r w:rsidR="00BA3B08">
              <w:rPr>
                <w:noProof/>
                <w:webHidden/>
              </w:rPr>
              <w:fldChar w:fldCharType="separate"/>
            </w:r>
            <w:r w:rsidR="00BA3B08">
              <w:rPr>
                <w:noProof/>
                <w:webHidden/>
              </w:rPr>
              <w:t>15</w:t>
            </w:r>
            <w:r w:rsidR="00BA3B08">
              <w:rPr>
                <w:noProof/>
                <w:webHidden/>
              </w:rPr>
              <w:fldChar w:fldCharType="end"/>
            </w:r>
          </w:hyperlink>
        </w:p>
        <w:p w14:paraId="6D4915CD" w14:textId="6698DC7F" w:rsidR="00BA3B08" w:rsidRDefault="003F7990">
          <w:pPr>
            <w:pStyle w:val="TOC2"/>
            <w:tabs>
              <w:tab w:val="right" w:leader="dot" w:pos="9350"/>
            </w:tabs>
            <w:rPr>
              <w:rFonts w:eastAsiaTheme="minorEastAsia"/>
              <w:noProof/>
              <w:lang w:val="en-CA" w:eastAsia="en-CA"/>
            </w:rPr>
          </w:pPr>
          <w:hyperlink w:anchor="_Toc114481341" w:history="1">
            <w:r w:rsidR="00BA3B08" w:rsidRPr="006404A8">
              <w:rPr>
                <w:rStyle w:val="Hyperlink"/>
                <w:noProof/>
              </w:rPr>
              <w:t>Rapports de travaux d’évaluation</w:t>
            </w:r>
            <w:r w:rsidR="00BA3B08">
              <w:rPr>
                <w:noProof/>
                <w:webHidden/>
              </w:rPr>
              <w:tab/>
            </w:r>
            <w:r w:rsidR="00BA3B08">
              <w:rPr>
                <w:noProof/>
                <w:webHidden/>
              </w:rPr>
              <w:fldChar w:fldCharType="begin"/>
            </w:r>
            <w:r w:rsidR="00BA3B08">
              <w:rPr>
                <w:noProof/>
                <w:webHidden/>
              </w:rPr>
              <w:instrText xml:space="preserve"> PAGEREF _Toc114481341 \h </w:instrText>
            </w:r>
            <w:r w:rsidR="00BA3B08">
              <w:rPr>
                <w:noProof/>
                <w:webHidden/>
              </w:rPr>
            </w:r>
            <w:r w:rsidR="00BA3B08">
              <w:rPr>
                <w:noProof/>
                <w:webHidden/>
              </w:rPr>
              <w:fldChar w:fldCharType="separate"/>
            </w:r>
            <w:r w:rsidR="00BA3B08">
              <w:rPr>
                <w:noProof/>
                <w:webHidden/>
              </w:rPr>
              <w:t>16</w:t>
            </w:r>
            <w:r w:rsidR="00BA3B08">
              <w:rPr>
                <w:noProof/>
                <w:webHidden/>
              </w:rPr>
              <w:fldChar w:fldCharType="end"/>
            </w:r>
          </w:hyperlink>
        </w:p>
        <w:p w14:paraId="27D63F60" w14:textId="53A843E1" w:rsidR="00BA3B08" w:rsidRDefault="003F7990">
          <w:pPr>
            <w:pStyle w:val="TOC2"/>
            <w:tabs>
              <w:tab w:val="right" w:leader="dot" w:pos="9350"/>
            </w:tabs>
            <w:rPr>
              <w:rFonts w:eastAsiaTheme="minorEastAsia"/>
              <w:noProof/>
              <w:lang w:val="en-CA" w:eastAsia="en-CA"/>
            </w:rPr>
          </w:pPr>
          <w:hyperlink w:anchor="_Toc114481342" w:history="1">
            <w:r w:rsidR="00BA3B08" w:rsidRPr="006404A8">
              <w:rPr>
                <w:rStyle w:val="Hyperlink"/>
                <w:noProof/>
              </w:rPr>
              <w:t>Fonctionnement du système</w:t>
            </w:r>
            <w:r w:rsidR="00BA3B08">
              <w:rPr>
                <w:noProof/>
                <w:webHidden/>
              </w:rPr>
              <w:tab/>
            </w:r>
            <w:r w:rsidR="00BA3B08">
              <w:rPr>
                <w:noProof/>
                <w:webHidden/>
              </w:rPr>
              <w:fldChar w:fldCharType="begin"/>
            </w:r>
            <w:r w:rsidR="00BA3B08">
              <w:rPr>
                <w:noProof/>
                <w:webHidden/>
              </w:rPr>
              <w:instrText xml:space="preserve"> PAGEREF _Toc114481342 \h </w:instrText>
            </w:r>
            <w:r w:rsidR="00BA3B08">
              <w:rPr>
                <w:noProof/>
                <w:webHidden/>
              </w:rPr>
            </w:r>
            <w:r w:rsidR="00BA3B08">
              <w:rPr>
                <w:noProof/>
                <w:webHidden/>
              </w:rPr>
              <w:fldChar w:fldCharType="separate"/>
            </w:r>
            <w:r w:rsidR="00BA3B08">
              <w:rPr>
                <w:noProof/>
                <w:webHidden/>
              </w:rPr>
              <w:t>16</w:t>
            </w:r>
            <w:r w:rsidR="00BA3B08">
              <w:rPr>
                <w:noProof/>
                <w:webHidden/>
              </w:rPr>
              <w:fldChar w:fldCharType="end"/>
            </w:r>
          </w:hyperlink>
        </w:p>
        <w:p w14:paraId="614A20E9" w14:textId="44A659C5" w:rsidR="00BA3B08" w:rsidRDefault="003F7990">
          <w:pPr>
            <w:pStyle w:val="TOC2"/>
            <w:tabs>
              <w:tab w:val="right" w:leader="dot" w:pos="9350"/>
            </w:tabs>
            <w:rPr>
              <w:rFonts w:eastAsiaTheme="minorEastAsia"/>
              <w:noProof/>
              <w:lang w:val="en-CA" w:eastAsia="en-CA"/>
            </w:rPr>
          </w:pPr>
          <w:hyperlink w:anchor="_Toc114481343" w:history="1">
            <w:r w:rsidR="00BA3B08" w:rsidRPr="006404A8">
              <w:rPr>
                <w:rStyle w:val="Hyperlink"/>
                <w:noProof/>
              </w:rPr>
              <w:t>Décision : admissibilité aux crédits</w:t>
            </w:r>
            <w:r w:rsidR="00BA3B08">
              <w:rPr>
                <w:noProof/>
                <w:webHidden/>
              </w:rPr>
              <w:tab/>
            </w:r>
            <w:r w:rsidR="00BA3B08">
              <w:rPr>
                <w:noProof/>
                <w:webHidden/>
              </w:rPr>
              <w:fldChar w:fldCharType="begin"/>
            </w:r>
            <w:r w:rsidR="00BA3B08">
              <w:rPr>
                <w:noProof/>
                <w:webHidden/>
              </w:rPr>
              <w:instrText xml:space="preserve"> PAGEREF _Toc114481343 \h </w:instrText>
            </w:r>
            <w:r w:rsidR="00BA3B08">
              <w:rPr>
                <w:noProof/>
                <w:webHidden/>
              </w:rPr>
            </w:r>
            <w:r w:rsidR="00BA3B08">
              <w:rPr>
                <w:noProof/>
                <w:webHidden/>
              </w:rPr>
              <w:fldChar w:fldCharType="separate"/>
            </w:r>
            <w:r w:rsidR="00BA3B08">
              <w:rPr>
                <w:noProof/>
                <w:webHidden/>
              </w:rPr>
              <w:t>16</w:t>
            </w:r>
            <w:r w:rsidR="00BA3B08">
              <w:rPr>
                <w:noProof/>
                <w:webHidden/>
              </w:rPr>
              <w:fldChar w:fldCharType="end"/>
            </w:r>
          </w:hyperlink>
        </w:p>
        <w:p w14:paraId="73DD7F15" w14:textId="2D10A3B6" w:rsidR="00BA3B08" w:rsidRDefault="003F7990">
          <w:pPr>
            <w:pStyle w:val="TOC2"/>
            <w:tabs>
              <w:tab w:val="right" w:leader="dot" w:pos="9350"/>
            </w:tabs>
            <w:rPr>
              <w:rFonts w:eastAsiaTheme="minorEastAsia"/>
              <w:noProof/>
              <w:lang w:val="en-CA" w:eastAsia="en-CA"/>
            </w:rPr>
          </w:pPr>
          <w:hyperlink w:anchor="_Toc114481344" w:history="1">
            <w:r w:rsidR="00BA3B08" w:rsidRPr="006404A8">
              <w:rPr>
                <w:rStyle w:val="Hyperlink"/>
                <w:noProof/>
              </w:rPr>
              <w:t>Norme technique à l’égard des rapports sur les travaux d’évaluation – Exigences relatives aux genres de travaux</w:t>
            </w:r>
            <w:r w:rsidR="00BA3B08">
              <w:rPr>
                <w:noProof/>
                <w:webHidden/>
              </w:rPr>
              <w:tab/>
            </w:r>
            <w:r w:rsidR="00BA3B08">
              <w:rPr>
                <w:noProof/>
                <w:webHidden/>
              </w:rPr>
              <w:fldChar w:fldCharType="begin"/>
            </w:r>
            <w:r w:rsidR="00BA3B08">
              <w:rPr>
                <w:noProof/>
                <w:webHidden/>
              </w:rPr>
              <w:instrText xml:space="preserve"> PAGEREF _Toc114481344 \h </w:instrText>
            </w:r>
            <w:r w:rsidR="00BA3B08">
              <w:rPr>
                <w:noProof/>
                <w:webHidden/>
              </w:rPr>
            </w:r>
            <w:r w:rsidR="00BA3B08">
              <w:rPr>
                <w:noProof/>
                <w:webHidden/>
              </w:rPr>
              <w:fldChar w:fldCharType="separate"/>
            </w:r>
            <w:r w:rsidR="00BA3B08">
              <w:rPr>
                <w:noProof/>
                <w:webHidden/>
              </w:rPr>
              <w:t>18</w:t>
            </w:r>
            <w:r w:rsidR="00BA3B08">
              <w:rPr>
                <w:noProof/>
                <w:webHidden/>
              </w:rPr>
              <w:fldChar w:fldCharType="end"/>
            </w:r>
          </w:hyperlink>
        </w:p>
        <w:p w14:paraId="13612CD0" w14:textId="78ED9DDE" w:rsidR="00BA3B08" w:rsidRDefault="003F7990">
          <w:pPr>
            <w:pStyle w:val="TOC2"/>
            <w:tabs>
              <w:tab w:val="right" w:leader="dot" w:pos="9350"/>
            </w:tabs>
            <w:rPr>
              <w:rFonts w:eastAsiaTheme="minorEastAsia"/>
              <w:noProof/>
              <w:lang w:val="en-CA" w:eastAsia="en-CA"/>
            </w:rPr>
          </w:pPr>
          <w:hyperlink w:anchor="_Toc114481345" w:history="1">
            <w:r w:rsidR="00BA3B08" w:rsidRPr="006404A8">
              <w:rPr>
                <w:rStyle w:val="Hyperlink"/>
                <w:noProof/>
              </w:rPr>
              <w:t>Dépenses et coûts</w:t>
            </w:r>
            <w:r w:rsidR="00BA3B08">
              <w:rPr>
                <w:noProof/>
                <w:webHidden/>
              </w:rPr>
              <w:tab/>
            </w:r>
            <w:r w:rsidR="00BA3B08">
              <w:rPr>
                <w:noProof/>
                <w:webHidden/>
              </w:rPr>
              <w:fldChar w:fldCharType="begin"/>
            </w:r>
            <w:r w:rsidR="00BA3B08">
              <w:rPr>
                <w:noProof/>
                <w:webHidden/>
              </w:rPr>
              <w:instrText xml:space="preserve"> PAGEREF _Toc114481345 \h </w:instrText>
            </w:r>
            <w:r w:rsidR="00BA3B08">
              <w:rPr>
                <w:noProof/>
                <w:webHidden/>
              </w:rPr>
            </w:r>
            <w:r w:rsidR="00BA3B08">
              <w:rPr>
                <w:noProof/>
                <w:webHidden/>
              </w:rPr>
              <w:fldChar w:fldCharType="separate"/>
            </w:r>
            <w:r w:rsidR="00BA3B08">
              <w:rPr>
                <w:noProof/>
                <w:webHidden/>
              </w:rPr>
              <w:t>18</w:t>
            </w:r>
            <w:r w:rsidR="00BA3B08">
              <w:rPr>
                <w:noProof/>
                <w:webHidden/>
              </w:rPr>
              <w:fldChar w:fldCharType="end"/>
            </w:r>
          </w:hyperlink>
        </w:p>
        <w:p w14:paraId="1200D57F" w14:textId="4AC581EC" w:rsidR="00BA3B08" w:rsidRDefault="003F7990">
          <w:pPr>
            <w:pStyle w:val="TOC2"/>
            <w:tabs>
              <w:tab w:val="right" w:leader="dot" w:pos="9350"/>
            </w:tabs>
            <w:rPr>
              <w:rFonts w:eastAsiaTheme="minorEastAsia"/>
              <w:noProof/>
              <w:lang w:val="en-CA" w:eastAsia="en-CA"/>
            </w:rPr>
          </w:pPr>
          <w:hyperlink w:anchor="_Toc114481346" w:history="1">
            <w:r w:rsidR="00BA3B08" w:rsidRPr="006404A8">
              <w:rPr>
                <w:rStyle w:val="Hyperlink"/>
                <w:noProof/>
              </w:rPr>
              <w:t>Reçus et factures</w:t>
            </w:r>
            <w:r w:rsidR="00BA3B08">
              <w:rPr>
                <w:noProof/>
                <w:webHidden/>
              </w:rPr>
              <w:tab/>
            </w:r>
            <w:r w:rsidR="00BA3B08">
              <w:rPr>
                <w:noProof/>
                <w:webHidden/>
              </w:rPr>
              <w:fldChar w:fldCharType="begin"/>
            </w:r>
            <w:r w:rsidR="00BA3B08">
              <w:rPr>
                <w:noProof/>
                <w:webHidden/>
              </w:rPr>
              <w:instrText xml:space="preserve"> PAGEREF _Toc114481346 \h </w:instrText>
            </w:r>
            <w:r w:rsidR="00BA3B08">
              <w:rPr>
                <w:noProof/>
                <w:webHidden/>
              </w:rPr>
            </w:r>
            <w:r w:rsidR="00BA3B08">
              <w:rPr>
                <w:noProof/>
                <w:webHidden/>
              </w:rPr>
              <w:fldChar w:fldCharType="separate"/>
            </w:r>
            <w:r w:rsidR="00BA3B08">
              <w:rPr>
                <w:noProof/>
                <w:webHidden/>
              </w:rPr>
              <w:t>18</w:t>
            </w:r>
            <w:r w:rsidR="00BA3B08">
              <w:rPr>
                <w:noProof/>
                <w:webHidden/>
              </w:rPr>
              <w:fldChar w:fldCharType="end"/>
            </w:r>
          </w:hyperlink>
        </w:p>
        <w:p w14:paraId="322661B8" w14:textId="1EFD1F57" w:rsidR="00F209E2" w:rsidRDefault="00F209E2">
          <w:r>
            <w:rPr>
              <w:b/>
              <w:bCs/>
              <w:noProof/>
            </w:rPr>
            <w:fldChar w:fldCharType="end"/>
          </w:r>
        </w:p>
      </w:sdtContent>
    </w:sdt>
    <w:p w14:paraId="041A5470" w14:textId="77777777" w:rsidR="00827661" w:rsidRPr="0090748B" w:rsidRDefault="00827661" w:rsidP="00115D8F">
      <w:pPr>
        <w:rPr>
          <w:rFonts w:ascii="Arial" w:hAnsi="Arial" w:cs="Arial"/>
          <w:sz w:val="24"/>
          <w:szCs w:val="24"/>
        </w:rPr>
      </w:pPr>
      <w:r>
        <w:br w:type="page"/>
      </w:r>
    </w:p>
    <w:p w14:paraId="012611DA" w14:textId="77777777" w:rsidR="00827661" w:rsidRPr="00115D8F" w:rsidRDefault="00827661" w:rsidP="00115D8F">
      <w:pPr>
        <w:sectPr w:rsidR="00827661" w:rsidRPr="00115D8F" w:rsidSect="00E700E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pgNumType w:start="1"/>
          <w:cols w:space="708"/>
          <w:docGrid w:linePitch="360"/>
        </w:sectPr>
      </w:pPr>
    </w:p>
    <w:p w14:paraId="360C87B5" w14:textId="77777777" w:rsidR="007D539B" w:rsidRPr="00BD67BB" w:rsidRDefault="00827661" w:rsidP="00F209E2">
      <w:pPr>
        <w:pStyle w:val="Heading1"/>
      </w:pPr>
      <w:bookmarkStart w:id="0" w:name="_Toc92362927"/>
      <w:bookmarkStart w:id="1" w:name="_Toc114481310"/>
      <w:r>
        <w:lastRenderedPageBreak/>
        <w:t>Objet</w:t>
      </w:r>
      <w:bookmarkEnd w:id="0"/>
      <w:bookmarkEnd w:id="1"/>
    </w:p>
    <w:p w14:paraId="0D6AFB04" w14:textId="58181006" w:rsidR="00CE3AE8" w:rsidRDefault="006B3F80" w:rsidP="007D539B">
      <w:pPr>
        <w:spacing w:before="240"/>
        <w:rPr>
          <w:rFonts w:ascii="Arial" w:hAnsi="Arial" w:cs="Arial"/>
          <w:sz w:val="24"/>
          <w:szCs w:val="24"/>
        </w:rPr>
      </w:pPr>
      <w:r>
        <w:rPr>
          <w:rFonts w:ascii="Arial" w:hAnsi="Arial"/>
          <w:sz w:val="24"/>
          <w:szCs w:val="24"/>
        </w:rPr>
        <w:t xml:space="preserve">Le but de la présente politique est de fournir une orientation aux titulaires de claims et aux décideurs concernant les coûts et les dépenses qui devront être inclus lors de la déclaration du montant des travaux d’évaluation effectués sur les terrains miniers en vertu de </w:t>
      </w:r>
      <w:r>
        <w:rPr>
          <w:rFonts w:ascii="Arial" w:hAnsi="Arial"/>
          <w:i/>
          <w:sz w:val="24"/>
          <w:szCs w:val="24"/>
        </w:rPr>
        <w:t>la Loi sur les mines</w:t>
      </w:r>
      <w:r>
        <w:rPr>
          <w:rFonts w:ascii="Arial" w:hAnsi="Arial"/>
          <w:sz w:val="24"/>
          <w:szCs w:val="24"/>
        </w:rPr>
        <w:t>, L.R.O. 1990, chap. M.14 (la Loi) et du Règlement de l’Ontario 65/18 (le Règlement).</w:t>
      </w:r>
      <w:r w:rsidR="00CE6C77">
        <w:rPr>
          <w:rStyle w:val="FootnoteReference"/>
          <w:rFonts w:ascii="Arial" w:hAnsi="Arial" w:cs="Arial"/>
          <w:sz w:val="24"/>
          <w:szCs w:val="24"/>
        </w:rPr>
        <w:footnoteReference w:id="1"/>
      </w:r>
      <w:r>
        <w:rPr>
          <w:rFonts w:ascii="Arial" w:hAnsi="Arial"/>
          <w:sz w:val="24"/>
          <w:szCs w:val="24"/>
        </w:rPr>
        <w:t xml:space="preserve"> </w:t>
      </w:r>
    </w:p>
    <w:p w14:paraId="13D681E9" w14:textId="63EA9FD0" w:rsidR="00F209E2" w:rsidRPr="00F209E2" w:rsidRDefault="00B25DC0" w:rsidP="00BA3B08">
      <w:pPr>
        <w:pStyle w:val="Heading1"/>
        <w:spacing w:after="240"/>
      </w:pPr>
      <w:bookmarkStart w:id="2" w:name="_Toc92362928"/>
      <w:bookmarkStart w:id="3" w:name="_Toc114481311"/>
      <w:r>
        <w:t>Contexte</w:t>
      </w:r>
      <w:bookmarkEnd w:id="2"/>
      <w:bookmarkEnd w:id="3"/>
    </w:p>
    <w:p w14:paraId="6078D5BC" w14:textId="6B353C18" w:rsidR="0033455A" w:rsidRPr="00CF20AE" w:rsidRDefault="00B25DC0" w:rsidP="00CF20AE">
      <w:pPr>
        <w:rPr>
          <w:rFonts w:ascii="Arial" w:hAnsi="Arial" w:cs="Arial"/>
          <w:sz w:val="24"/>
          <w:szCs w:val="24"/>
        </w:rPr>
      </w:pPr>
      <w:r>
        <w:rPr>
          <w:rFonts w:ascii="Arial" w:hAnsi="Arial"/>
          <w:sz w:val="24"/>
          <w:szCs w:val="24"/>
        </w:rPr>
        <w:t>Les titulaires de claims doivent exécuter les unités annuelles de travail d’évaluation requises pour que leurs claims restent en règle.  Ils doivent soumettre un rapport de travaux d’évaluation par l’entremise du Système d’administration des terrains miniers (SATM).  Le ministre examine le rapport et attribue les crédits de travail d’évaluation conformément au règlement.  Les crédits de travail d’évaluation sont mesurés en dollars.  Le Règlement définit les dépenses et les coûts qui seront utilisés pour déterminer le montant des crédits de travail d’évaluation à attribuer aux travaux.  La politique fournit des renseignements supplémentaires concernant les dépenses et les coûts qui sont admissibles à des crédits de travail d’évaluation.</w:t>
      </w:r>
    </w:p>
    <w:p w14:paraId="749600F4" w14:textId="4B00717C" w:rsidR="00A46D79" w:rsidRPr="00CF20AE" w:rsidRDefault="00A52B50" w:rsidP="00CF20AE">
      <w:pPr>
        <w:rPr>
          <w:rFonts w:ascii="Arial" w:hAnsi="Arial" w:cs="Arial"/>
          <w:i/>
          <w:strike/>
          <w:sz w:val="24"/>
          <w:szCs w:val="24"/>
        </w:rPr>
      </w:pPr>
      <w:r>
        <w:rPr>
          <w:rFonts w:ascii="Arial" w:hAnsi="Arial"/>
          <w:sz w:val="24"/>
          <w:szCs w:val="24"/>
        </w:rPr>
        <w:t xml:space="preserve">Les dépenses et les coûts demandés pour les travaux d’évaluation doivent correspondre à un genre de travail qui est admissible à des crédits et doivent concerner les travaux d’exploration soumis en vue d’obtenir des crédits. Les coûts des consultations menées auprès des collectivités autochtones doivent être soumis avec un genre de travail qui est admissible à des crédits. </w:t>
      </w:r>
    </w:p>
    <w:p w14:paraId="453A4B23" w14:textId="77777777" w:rsidR="001E701B" w:rsidRPr="00BD67BB" w:rsidRDefault="001E701B" w:rsidP="00F209E2">
      <w:pPr>
        <w:pStyle w:val="Heading1"/>
      </w:pPr>
      <w:bookmarkStart w:id="4" w:name="_Toc92362929"/>
      <w:bookmarkStart w:id="5" w:name="_Toc114481312"/>
      <w:r>
        <w:t>Dépenses et coûts</w:t>
      </w:r>
      <w:bookmarkEnd w:id="4"/>
      <w:bookmarkEnd w:id="5"/>
    </w:p>
    <w:p w14:paraId="353B88B9" w14:textId="02847F6B" w:rsidR="00A46D79" w:rsidRPr="001B3BAD" w:rsidRDefault="00A46D79" w:rsidP="00140714">
      <w:pPr>
        <w:pStyle w:val="Heading2"/>
        <w:rPr>
          <w:rFonts w:cs="Arial"/>
        </w:rPr>
      </w:pPr>
      <w:bookmarkStart w:id="6" w:name="_Toc114481313"/>
      <w:r>
        <w:t>Pièces justificatives pour les dépenses et les coûts</w:t>
      </w:r>
      <w:bookmarkEnd w:id="6"/>
      <w:r>
        <w:t xml:space="preserve"> </w:t>
      </w:r>
    </w:p>
    <w:p w14:paraId="35C98CC6" w14:textId="18C2A462" w:rsidR="00A46D79" w:rsidRPr="00CF20AE" w:rsidRDefault="00A46D79" w:rsidP="00CF20AE">
      <w:pPr>
        <w:rPr>
          <w:rFonts w:ascii="Arial" w:hAnsi="Arial" w:cs="Arial"/>
          <w:sz w:val="24"/>
          <w:szCs w:val="24"/>
        </w:rPr>
      </w:pPr>
      <w:r>
        <w:rPr>
          <w:rFonts w:ascii="Arial" w:hAnsi="Arial"/>
          <w:sz w:val="24"/>
          <w:szCs w:val="24"/>
        </w:rPr>
        <w:t xml:space="preserve">La </w:t>
      </w:r>
      <w:hyperlink r:id="rId18" w:history="1">
        <w:r>
          <w:rPr>
            <w:rStyle w:val="Hyperlink"/>
            <w:rFonts w:ascii="Arial" w:hAnsi="Arial"/>
            <w:sz w:val="24"/>
            <w:szCs w:val="24"/>
          </w:rPr>
          <w:t>Norme technique à l’égard des rapports sur les travaux d’évaluation</w:t>
        </w:r>
      </w:hyperlink>
      <w:r>
        <w:rPr>
          <w:rFonts w:ascii="Arial" w:hAnsi="Arial"/>
          <w:sz w:val="24"/>
          <w:szCs w:val="24"/>
        </w:rPr>
        <w:t xml:space="preserve"> énumère les renseignements requis lors de la soumission d’un rapport en vue des crédits de travail d’évaluation.  Tous les rapports doivent être accompagnés de copies des reçus et factures </w:t>
      </w:r>
      <w:r>
        <w:rPr>
          <w:rFonts w:ascii="Arial" w:hAnsi="Arial"/>
          <w:sz w:val="24"/>
          <w:szCs w:val="24"/>
        </w:rPr>
        <w:lastRenderedPageBreak/>
        <w:t>justifiant les coûts et dépenses encourus pendant l’exécution des travaux d’évaluation pour les crédits de travail d’évaluation réclamés.  Un rapport sommaire ou un tableau détaillant tous les reçus et factures fournis et les coûts spécifiques réclamés doit accompagner le rapport de travail d’évaluation. Le rapport sommaire ou tableau doit clairement concorder avec les coûts inscrits dans le rapport sur les travaux d’évaluation soumis dans le SATM.</w:t>
      </w:r>
    </w:p>
    <w:p w14:paraId="229B3F07" w14:textId="62A35A9B" w:rsidR="00AF6D44" w:rsidRPr="00CF20AE" w:rsidRDefault="00A46D79" w:rsidP="00CF20AE">
      <w:pPr>
        <w:rPr>
          <w:rFonts w:ascii="Arial" w:hAnsi="Arial" w:cs="Arial"/>
          <w:strike/>
          <w:sz w:val="24"/>
          <w:szCs w:val="24"/>
        </w:rPr>
      </w:pPr>
      <w:r>
        <w:rPr>
          <w:rFonts w:ascii="Arial" w:hAnsi="Arial"/>
          <w:sz w:val="24"/>
          <w:szCs w:val="24"/>
        </w:rPr>
        <w:t xml:space="preserve">Lorsque la main-d’œuvre du titulaire du claim est réclamée pour des crédits de travail d’évaluation, les coûts de la main-d’œuvre du titulaire du claim ne doivent pas dépasser les coûts qu’il aurait raisonnablement payés à un entrepreneur pour effectuer le même travail, jusqu’à concurrence de 350 $ par jour.  </w:t>
      </w:r>
      <w:bookmarkStart w:id="7" w:name="_Hlk71543592"/>
      <w:r>
        <w:rPr>
          <w:rFonts w:ascii="Arial" w:hAnsi="Arial"/>
          <w:sz w:val="24"/>
          <w:szCs w:val="24"/>
        </w:rPr>
        <w:t>La soumission des travaux d’évaluation doit inclure les reçus qui justifient les dépenses réclamées, comme la nourriture et le logement, le cas échéant, et les coûts associés au transport de personnes en Ontario pendant la période où les travaux ont été effectués.</w:t>
      </w:r>
      <w:bookmarkEnd w:id="7"/>
      <w:r>
        <w:rPr>
          <w:rFonts w:ascii="Arial" w:hAnsi="Arial"/>
          <w:sz w:val="24"/>
          <w:szCs w:val="24"/>
        </w:rPr>
        <w:t xml:space="preserve"> </w:t>
      </w:r>
    </w:p>
    <w:p w14:paraId="6475B333" w14:textId="28A440E0" w:rsidR="00727C6C" w:rsidRPr="00CF20AE" w:rsidRDefault="00727C6C" w:rsidP="00CF20AE">
      <w:pPr>
        <w:rPr>
          <w:rFonts w:ascii="Arial" w:hAnsi="Arial" w:cs="Arial"/>
          <w:sz w:val="24"/>
          <w:szCs w:val="24"/>
        </w:rPr>
      </w:pPr>
      <w:r>
        <w:rPr>
          <w:rFonts w:ascii="Arial" w:hAnsi="Arial"/>
          <w:sz w:val="24"/>
          <w:szCs w:val="24"/>
        </w:rPr>
        <w:t xml:space="preserve">Lorsque l’utilisation d’un équipement appartenant au titulaire du claim est réclamée en vue de crédits de travail d’évaluation, les coûts réclamés en vue d’un crédit ne doivent pas dépasser les coûts qu’il aurait raisonnablement payés pour un entrepreneur. La soumission des travaux d’évaluation doit inclure les reçus qui justifient les dépenses réclamées associées aux consommables requis pour faire fonctionner l’équipement, comme l’essence et le diesel. Les consommables ne seront reconnus que dans la mesure où l’équipement a été utilisé pour exécuter des travaux admissibles aux crédits de travail d’évaluation pendant la période où les travaux ont été exécutés.   </w:t>
      </w:r>
    </w:p>
    <w:p w14:paraId="13810EDB" w14:textId="0DD8B36C" w:rsidR="002C1CCC" w:rsidRPr="00CF20AE" w:rsidRDefault="002C1CCC" w:rsidP="00CF20AE">
      <w:pPr>
        <w:rPr>
          <w:rFonts w:ascii="Arial" w:hAnsi="Arial" w:cs="Arial"/>
          <w:sz w:val="24"/>
          <w:szCs w:val="24"/>
          <w:shd w:val="clear" w:color="auto" w:fill="FFFFFF"/>
        </w:rPr>
      </w:pPr>
      <w:r>
        <w:rPr>
          <w:rFonts w:ascii="Arial" w:hAnsi="Arial"/>
          <w:sz w:val="24"/>
          <w:szCs w:val="24"/>
          <w:shd w:val="clear" w:color="auto" w:fill="FFFFFF"/>
        </w:rPr>
        <w:t>Si les exigences de la norme technique ne sont pas respectées en ce qui concerne les coûts réclamés</w:t>
      </w:r>
      <w:r>
        <w:rPr>
          <w:rFonts w:ascii="Arial" w:hAnsi="Arial"/>
          <w:sz w:val="24"/>
          <w:szCs w:val="24"/>
        </w:rPr>
        <w:t xml:space="preserve">, un avis de décision sera délivré pour demander des renseignements supplémentaires.  </w:t>
      </w:r>
      <w:r>
        <w:rPr>
          <w:rFonts w:ascii="Arial" w:hAnsi="Arial"/>
          <w:sz w:val="24"/>
          <w:szCs w:val="24"/>
          <w:shd w:val="clear" w:color="auto" w:fill="FFFFFF"/>
        </w:rPr>
        <w:t xml:space="preserve">Si le travail d’évaluation réclamé est déficient et reste déficient après un avis de décision, le travail se verra attribuer un montant réduit de crédits de travail d’évaluation ou pourrait ne pas être admissible à des crédits.  </w:t>
      </w:r>
    </w:p>
    <w:p w14:paraId="4D096444" w14:textId="77777777" w:rsidR="00954A91" w:rsidRPr="00CF20AE" w:rsidRDefault="00954A91" w:rsidP="00CF20AE">
      <w:pPr>
        <w:rPr>
          <w:rFonts w:ascii="Arial" w:hAnsi="Arial" w:cs="Arial"/>
          <w:sz w:val="24"/>
          <w:szCs w:val="24"/>
          <w:shd w:val="clear" w:color="auto" w:fill="FFFFFF"/>
        </w:rPr>
      </w:pPr>
      <w:r>
        <w:rPr>
          <w:rFonts w:ascii="Arial" w:hAnsi="Arial"/>
          <w:sz w:val="24"/>
          <w:szCs w:val="24"/>
        </w:rPr>
        <w:t xml:space="preserve">Le ministre examinera les reçus et les factures soumis avec le rapport de travaux d’évaluation et déterminera l’admissibilité des travaux et les coûts et dépenses connexes qui ont été réclamés. Le montant approprié des crédits de travail d’évaluation pour le travail approuvé et les coûts connexes sera déterminé.  </w:t>
      </w:r>
      <w:r>
        <w:rPr>
          <w:rFonts w:ascii="Arial" w:hAnsi="Arial"/>
          <w:sz w:val="24"/>
          <w:szCs w:val="24"/>
          <w:shd w:val="clear" w:color="auto" w:fill="FFFFFF"/>
        </w:rPr>
        <w:t>Si les dépenses et coûts réclamés en rapport avec les travaux d’évaluation sont déraisonnablement élevés, un montant réduit de crédits de travail d’évaluation, égal à la somme qui, selon le ministre, aurait dû raisonnablement être payée pour les travaux, sera attribué.</w:t>
      </w:r>
    </w:p>
    <w:p w14:paraId="5DD2C571" w14:textId="5C5C709F" w:rsidR="00583F31" w:rsidRPr="008D08D4" w:rsidRDefault="00583F31" w:rsidP="008D08D4">
      <w:pPr>
        <w:pStyle w:val="Heading2"/>
        <w:spacing w:after="240"/>
        <w:rPr>
          <w:sz w:val="28"/>
          <w:szCs w:val="24"/>
        </w:rPr>
      </w:pPr>
      <w:bookmarkStart w:id="8" w:name="_Toc92362930"/>
      <w:bookmarkStart w:id="9" w:name="_Toc114481314"/>
      <w:r>
        <w:rPr>
          <w:sz w:val="28"/>
          <w:szCs w:val="24"/>
        </w:rPr>
        <w:t>Coûts de la main-d’œuvre et de la supervision sur le terrain</w:t>
      </w:r>
      <w:bookmarkEnd w:id="8"/>
      <w:bookmarkEnd w:id="9"/>
    </w:p>
    <w:p w14:paraId="2D009966" w14:textId="209AE834" w:rsidR="00B80FBC" w:rsidRPr="00CF20AE" w:rsidRDefault="00583F31" w:rsidP="00CF20AE">
      <w:pPr>
        <w:rPr>
          <w:rFonts w:ascii="Arial" w:hAnsi="Arial" w:cs="Arial"/>
          <w:sz w:val="24"/>
          <w:szCs w:val="24"/>
        </w:rPr>
      </w:pPr>
      <w:r>
        <w:rPr>
          <w:rFonts w:ascii="Arial" w:hAnsi="Arial"/>
          <w:sz w:val="24"/>
          <w:szCs w:val="24"/>
        </w:rPr>
        <w:t xml:space="preserve">Les dépenses et coûts payés pour la main-d’œuvre et la supervision sur le terrain lors de l’exécution de travaux d’exploration sont admissibles aux crédits de travail d’évaluation.  </w:t>
      </w:r>
    </w:p>
    <w:p w14:paraId="580DBDF9" w14:textId="1F656D98" w:rsidR="00323F29" w:rsidRPr="00BA3B08" w:rsidRDefault="00323F29" w:rsidP="00BA3B08">
      <w:pPr>
        <w:pStyle w:val="Heading2"/>
      </w:pPr>
      <w:bookmarkStart w:id="10" w:name="_Toc92362931"/>
      <w:bookmarkStart w:id="11" w:name="_Toc114481315"/>
      <w:r w:rsidRPr="00BA3B08">
        <w:lastRenderedPageBreak/>
        <w:t>Coûts des entrepreneurs et des experts-conseils</w:t>
      </w:r>
      <w:bookmarkEnd w:id="10"/>
      <w:bookmarkEnd w:id="11"/>
    </w:p>
    <w:p w14:paraId="223DD5FF" w14:textId="7BEAF8B9" w:rsidR="00323F29" w:rsidRPr="00CF20AE" w:rsidRDefault="00323F29" w:rsidP="00CF20AE">
      <w:pPr>
        <w:rPr>
          <w:rFonts w:ascii="Arial" w:hAnsi="Arial" w:cs="Arial"/>
          <w:sz w:val="24"/>
          <w:szCs w:val="24"/>
        </w:rPr>
      </w:pPr>
      <w:r>
        <w:rPr>
          <w:rFonts w:ascii="Arial" w:hAnsi="Arial"/>
          <w:sz w:val="24"/>
          <w:szCs w:val="24"/>
        </w:rPr>
        <w:t xml:space="preserve">Les coûts des entrepreneurs et des experts-conseils qui effectuent des travaux d’exploration et des travaux connexes tels que la fourniture d’une interprétation et de recommandations ainsi que la rédaction d’un rapport sont admissibles à des crédits de travail d’évaluation.   </w:t>
      </w:r>
    </w:p>
    <w:p w14:paraId="394757A0" w14:textId="453556AC" w:rsidR="00323F29" w:rsidRPr="00CF20AE" w:rsidRDefault="00323F29" w:rsidP="00CF20AE">
      <w:pPr>
        <w:rPr>
          <w:rFonts w:ascii="Arial" w:hAnsi="Arial" w:cs="Arial"/>
          <w:sz w:val="24"/>
          <w:szCs w:val="24"/>
        </w:rPr>
      </w:pPr>
      <w:r>
        <w:rPr>
          <w:rFonts w:ascii="Arial" w:hAnsi="Arial"/>
          <w:sz w:val="24"/>
          <w:szCs w:val="24"/>
        </w:rPr>
        <w:t>Aux fins de la présente politique :</w:t>
      </w:r>
    </w:p>
    <w:p w14:paraId="00F9739D" w14:textId="632DA282" w:rsidR="00323F29" w:rsidRPr="00951062" w:rsidRDefault="00432914" w:rsidP="00951062">
      <w:pPr>
        <w:pStyle w:val="ListParagraph"/>
        <w:numPr>
          <w:ilvl w:val="0"/>
          <w:numId w:val="53"/>
        </w:numPr>
        <w:rPr>
          <w:rFonts w:ascii="Arial" w:hAnsi="Arial" w:cs="Arial"/>
          <w:sz w:val="24"/>
          <w:szCs w:val="24"/>
        </w:rPr>
      </w:pPr>
      <w:r>
        <w:rPr>
          <w:rFonts w:ascii="Arial" w:hAnsi="Arial"/>
          <w:sz w:val="24"/>
          <w:szCs w:val="24"/>
        </w:rPr>
        <w:t>Le rôle d’un entrepreneur consiste à fournir des matériaux ou de la main-d’œuvre pour effectuer un service ou exécuter des travaux d’exploration en échange d’un paiement.</w:t>
      </w:r>
    </w:p>
    <w:p w14:paraId="7CD50361" w14:textId="68C03309" w:rsidR="00323F29" w:rsidRPr="00A5201C" w:rsidRDefault="00432914" w:rsidP="00A5201C">
      <w:pPr>
        <w:pStyle w:val="ListParagraph"/>
        <w:numPr>
          <w:ilvl w:val="0"/>
          <w:numId w:val="53"/>
        </w:numPr>
        <w:rPr>
          <w:rFonts w:ascii="Arial" w:hAnsi="Arial" w:cs="Arial"/>
          <w:sz w:val="24"/>
          <w:szCs w:val="24"/>
        </w:rPr>
      </w:pPr>
      <w:r>
        <w:rPr>
          <w:rFonts w:ascii="Arial" w:hAnsi="Arial"/>
          <w:sz w:val="24"/>
          <w:szCs w:val="24"/>
        </w:rPr>
        <w:t xml:space="preserve">Le rôle d’un expert-conseil consiste à fournir des conseils experts et professionnels sur une base temporaire, sur le rendement du projet d’exploration. Pendant l’exécution de travaux d’évaluation, l’expert-conseil peut fournir des conseils concernant des questions qui affectent le client et l’entrepreneur. </w:t>
      </w:r>
    </w:p>
    <w:p w14:paraId="7612DEA0" w14:textId="7035E55D" w:rsidR="00C11F33" w:rsidRPr="0094686C" w:rsidRDefault="00C11F33" w:rsidP="0094686C">
      <w:pPr>
        <w:pStyle w:val="Heading2"/>
        <w:spacing w:after="240"/>
        <w:rPr>
          <w:sz w:val="28"/>
          <w:szCs w:val="24"/>
        </w:rPr>
      </w:pPr>
      <w:bookmarkStart w:id="12" w:name="_Toc92362932"/>
      <w:bookmarkStart w:id="13" w:name="_Toc114481316"/>
      <w:r>
        <w:rPr>
          <w:sz w:val="28"/>
          <w:szCs w:val="24"/>
        </w:rPr>
        <w:t>Coût des fournitures utilisées et de la location de matériel</w:t>
      </w:r>
      <w:bookmarkEnd w:id="12"/>
      <w:bookmarkEnd w:id="13"/>
      <w:r>
        <w:rPr>
          <w:sz w:val="28"/>
          <w:szCs w:val="24"/>
        </w:rPr>
        <w:t xml:space="preserve"> </w:t>
      </w:r>
    </w:p>
    <w:p w14:paraId="4CF3928A" w14:textId="0DB6B0F4" w:rsidR="00C11F33" w:rsidRPr="00CF20AE" w:rsidRDefault="00C11F33" w:rsidP="00CF20AE">
      <w:pPr>
        <w:rPr>
          <w:rFonts w:ascii="Arial" w:hAnsi="Arial" w:cs="Arial"/>
          <w:sz w:val="24"/>
          <w:szCs w:val="24"/>
        </w:rPr>
      </w:pPr>
      <w:r>
        <w:rPr>
          <w:rFonts w:ascii="Arial" w:hAnsi="Arial"/>
          <w:sz w:val="24"/>
          <w:szCs w:val="24"/>
        </w:rPr>
        <w:t xml:space="preserve">Aux fins de la présente politique : </w:t>
      </w:r>
    </w:p>
    <w:p w14:paraId="11BE28EA" w14:textId="77777777" w:rsidR="00511E64" w:rsidRDefault="00C11F33" w:rsidP="00CF20AE">
      <w:pPr>
        <w:pStyle w:val="ListParagraph"/>
        <w:numPr>
          <w:ilvl w:val="0"/>
          <w:numId w:val="54"/>
        </w:numPr>
        <w:rPr>
          <w:rFonts w:ascii="Arial" w:hAnsi="Arial" w:cs="Arial"/>
          <w:sz w:val="24"/>
          <w:szCs w:val="24"/>
        </w:rPr>
      </w:pPr>
      <w:r>
        <w:rPr>
          <w:rFonts w:ascii="Arial" w:hAnsi="Arial"/>
          <w:sz w:val="24"/>
          <w:szCs w:val="24"/>
        </w:rPr>
        <w:t>Les consommables sont des produits ou des biens utilisés par les personnes ou les entreprises et qui doivent être remplacés régulièrement, car ils sont consommés pendant l’exécution des travaux admissibles aux crédits de travail.  Contrairement aux actifs qui peuvent être réutilisés, les consommables sont des articles qui sont complètement utilisés ou jetés.</w:t>
      </w:r>
    </w:p>
    <w:p w14:paraId="1E8E36D1" w14:textId="3A275394" w:rsidR="00C11F33" w:rsidRPr="00511E64" w:rsidRDefault="00C11F33" w:rsidP="00CF20AE">
      <w:pPr>
        <w:pStyle w:val="ListParagraph"/>
        <w:numPr>
          <w:ilvl w:val="0"/>
          <w:numId w:val="54"/>
        </w:numPr>
        <w:rPr>
          <w:rFonts w:ascii="Arial" w:hAnsi="Arial" w:cs="Arial"/>
          <w:sz w:val="24"/>
          <w:szCs w:val="24"/>
        </w:rPr>
      </w:pPr>
      <w:r>
        <w:rPr>
          <w:rFonts w:ascii="Arial" w:hAnsi="Arial"/>
          <w:sz w:val="24"/>
          <w:szCs w:val="24"/>
        </w:rPr>
        <w:t xml:space="preserve">La location de matériel est définie comme le paiement d’un fournisseur pour la location de matériel et d’outils à un utilisateur pendant une période déterminée. </w:t>
      </w:r>
    </w:p>
    <w:p w14:paraId="50D9C1D2" w14:textId="13F040DA" w:rsidR="00C11F33" w:rsidRPr="00CF20AE" w:rsidRDefault="00C11F33" w:rsidP="00CF20AE">
      <w:pPr>
        <w:rPr>
          <w:rFonts w:ascii="Arial" w:hAnsi="Arial" w:cs="Arial"/>
          <w:sz w:val="24"/>
          <w:szCs w:val="24"/>
        </w:rPr>
      </w:pPr>
      <w:r>
        <w:rPr>
          <w:rFonts w:ascii="Arial" w:hAnsi="Arial"/>
          <w:sz w:val="24"/>
          <w:szCs w:val="24"/>
        </w:rPr>
        <w:t>Les coûts et les dépenses de location de matériel ne sont admissibles aux crédits de travail d’évaluation que pour le temps consacré à l’exécution des travaux admissibles à ces crédits. Le coût de l’entretien du matériel loué n’est pas admissible à des crédits.</w:t>
      </w:r>
    </w:p>
    <w:p w14:paraId="4CED8395" w14:textId="6E98D406" w:rsidR="00C11F33" w:rsidRPr="00CF20AE" w:rsidRDefault="00B450FA" w:rsidP="00CF20AE">
      <w:pPr>
        <w:rPr>
          <w:rFonts w:ascii="Arial" w:hAnsi="Arial" w:cs="Arial"/>
          <w:sz w:val="24"/>
          <w:szCs w:val="24"/>
        </w:rPr>
      </w:pPr>
      <w:r>
        <w:rPr>
          <w:rFonts w:ascii="Arial" w:hAnsi="Arial"/>
          <w:sz w:val="24"/>
          <w:szCs w:val="24"/>
        </w:rPr>
        <w:t xml:space="preserve">Des transactions commerciales peuvent avoir lieu entre des parties liées.  Les coûts réclamés en vue de crédits ne doivent pas dépasser les coûts qui auraient raisonnablement été payés à un entrepreneur pour effectuer le même travail.   </w:t>
      </w:r>
    </w:p>
    <w:p w14:paraId="11DE0D5C" w14:textId="4C0A40A9" w:rsidR="00602995" w:rsidRPr="00BA3B08" w:rsidRDefault="00602995" w:rsidP="00BA3B08">
      <w:pPr>
        <w:pStyle w:val="Heading2"/>
        <w:spacing w:after="240"/>
        <w:rPr>
          <w:sz w:val="28"/>
          <w:szCs w:val="24"/>
        </w:rPr>
      </w:pPr>
      <w:bookmarkStart w:id="14" w:name="_Toc92362933"/>
      <w:bookmarkStart w:id="15" w:name="_Toc114481317"/>
      <w:r w:rsidRPr="00BA3B08">
        <w:rPr>
          <w:sz w:val="28"/>
          <w:szCs w:val="24"/>
        </w:rPr>
        <w:t>Frais de nourriture et de logement</w:t>
      </w:r>
      <w:bookmarkEnd w:id="14"/>
      <w:bookmarkEnd w:id="15"/>
    </w:p>
    <w:p w14:paraId="7DFA61B5" w14:textId="780AD027" w:rsidR="00FB3B65" w:rsidRPr="00CF20AE" w:rsidRDefault="00436698" w:rsidP="00CF20AE">
      <w:pPr>
        <w:rPr>
          <w:rFonts w:ascii="Arial" w:hAnsi="Arial" w:cs="Arial"/>
          <w:sz w:val="24"/>
          <w:szCs w:val="24"/>
        </w:rPr>
      </w:pPr>
      <w:r>
        <w:rPr>
          <w:rFonts w:ascii="Arial" w:hAnsi="Arial"/>
          <w:sz w:val="24"/>
          <w:szCs w:val="24"/>
        </w:rPr>
        <w:t xml:space="preserve">Les dépenses pour la nourriture et le logement sont admissibles aux crédits de travail d’évaluation. Les dépenses de nourriture sont admissibles pendant la période où le travail sur le terrain faisant l’objet du rapport a été exécuté. Les frais de nourriture ou de repas peuvent être réclamés lorsque des copies des reçus sont fournies, sinon un taux quotidien </w:t>
      </w:r>
      <w:r>
        <w:rPr>
          <w:rFonts w:ascii="Arial" w:hAnsi="Arial"/>
          <w:sz w:val="24"/>
          <w:szCs w:val="24"/>
        </w:rPr>
        <w:lastRenderedPageBreak/>
        <w:t xml:space="preserve">de 50,00 $ par jour par personne pour la nourriture est admissible pour les jours pendant lesquels du temps est consacré à l’exécution du travail.  </w:t>
      </w:r>
    </w:p>
    <w:p w14:paraId="7C3E8136" w14:textId="07F57A72" w:rsidR="00004D5A" w:rsidRPr="00CF20AE" w:rsidRDefault="00C91F6C" w:rsidP="00CF20AE">
      <w:pPr>
        <w:rPr>
          <w:rFonts w:ascii="Arial" w:eastAsiaTheme="majorEastAsia" w:hAnsi="Arial" w:cs="Arial"/>
          <w:sz w:val="24"/>
          <w:szCs w:val="24"/>
        </w:rPr>
      </w:pPr>
      <w:r>
        <w:rPr>
          <w:rFonts w:ascii="Arial" w:hAnsi="Arial"/>
          <w:sz w:val="24"/>
          <w:szCs w:val="24"/>
        </w:rPr>
        <w:t xml:space="preserve">Les dépenses de logement sont admissibles pendant la durée du travail sur le terrain faisant l’objet du rapport. Les frais d’hébergement commercial peuvent être réclamés lorsque des copies de reçus sont fournies; sans reçus, les frais d’hébergement sur le terrain sont limités à un maximum de 50 $ par nuit et par personne.  </w:t>
      </w:r>
    </w:p>
    <w:p w14:paraId="28E0A1F6" w14:textId="4F7CA600" w:rsidR="00A62588" w:rsidRPr="00BA3B08" w:rsidRDefault="00A62588" w:rsidP="00BA3B08">
      <w:pPr>
        <w:pStyle w:val="Heading2"/>
        <w:spacing w:after="240"/>
        <w:rPr>
          <w:sz w:val="28"/>
          <w:szCs w:val="24"/>
        </w:rPr>
      </w:pPr>
      <w:bookmarkStart w:id="16" w:name="_Toc92362934"/>
      <w:bookmarkStart w:id="17" w:name="_Toc114481318"/>
      <w:r w:rsidRPr="00BA3B08">
        <w:rPr>
          <w:sz w:val="28"/>
          <w:szCs w:val="24"/>
        </w:rPr>
        <w:t>Frais de transport des fournitures, du matériel et du personnel à destination et en provenance des terrains miniers en Ontario</w:t>
      </w:r>
      <w:bookmarkEnd w:id="16"/>
      <w:bookmarkEnd w:id="17"/>
    </w:p>
    <w:p w14:paraId="4FF2C5DF" w14:textId="2AAAD84F" w:rsidR="006A0164" w:rsidRDefault="00A62588" w:rsidP="00CF20AE">
      <w:pPr>
        <w:rPr>
          <w:rFonts w:ascii="Arial" w:hAnsi="Arial" w:cs="Arial"/>
          <w:sz w:val="24"/>
          <w:szCs w:val="24"/>
        </w:rPr>
      </w:pPr>
      <w:r>
        <w:rPr>
          <w:rFonts w:ascii="Arial" w:hAnsi="Arial"/>
          <w:sz w:val="24"/>
          <w:szCs w:val="24"/>
        </w:rPr>
        <w:t xml:space="preserve">Les frais de transport des fournitures, du matériel et du personnel à destination et en provenance de terrains en Ontario miniers sont admissibles aux crédits de travail d’évaluation lorsque le transport est nécessaire et que les dépenses et les frais sont liés au travail pour lequel des crédits sont réclamés. </w:t>
      </w:r>
      <w:bookmarkStart w:id="18" w:name="_Hlk71803096"/>
      <w:r>
        <w:rPr>
          <w:rFonts w:ascii="Arial" w:hAnsi="Arial"/>
          <w:sz w:val="24"/>
          <w:szCs w:val="24"/>
        </w:rPr>
        <w:t>Les personnes qui utilisent leur propre véhicule pour se rendre sur des terrains miniers en Ontario et en revenir peuvent réclamer des frais de kilométrage, conformément aux allocations pour frais d’automobile et véhicule à moteur du gouvernement du Canada</w:t>
      </w:r>
      <w:bookmarkEnd w:id="18"/>
      <w:r>
        <w:rPr>
          <w:rFonts w:ascii="Arial" w:hAnsi="Arial"/>
          <w:sz w:val="24"/>
          <w:szCs w:val="24"/>
        </w:rPr>
        <w:t xml:space="preserve">. </w:t>
      </w:r>
    </w:p>
    <w:p w14:paraId="5C124627" w14:textId="6B5C5341" w:rsidR="003A2073" w:rsidRPr="00BA3B08" w:rsidRDefault="003A2073" w:rsidP="00BA3B08">
      <w:pPr>
        <w:pStyle w:val="Heading2"/>
        <w:spacing w:after="240"/>
        <w:rPr>
          <w:sz w:val="28"/>
          <w:szCs w:val="24"/>
        </w:rPr>
      </w:pPr>
      <w:bookmarkStart w:id="19" w:name="_Toc92362935"/>
      <w:bookmarkStart w:id="20" w:name="_Toc114481319"/>
      <w:r w:rsidRPr="00BA3B08">
        <w:rPr>
          <w:sz w:val="28"/>
          <w:szCs w:val="24"/>
        </w:rPr>
        <w:t>Coûts d’expédition des échantillons</w:t>
      </w:r>
      <w:bookmarkEnd w:id="19"/>
      <w:bookmarkEnd w:id="20"/>
    </w:p>
    <w:p w14:paraId="441A2F4B" w14:textId="77D53EFE" w:rsidR="003A2073" w:rsidRPr="00CF20AE" w:rsidRDefault="003A2073" w:rsidP="00CF20AE">
      <w:pPr>
        <w:rPr>
          <w:rFonts w:ascii="Arial" w:hAnsi="Arial" w:cs="Arial"/>
          <w:sz w:val="24"/>
          <w:szCs w:val="24"/>
        </w:rPr>
      </w:pPr>
      <w:r>
        <w:rPr>
          <w:rFonts w:ascii="Arial" w:hAnsi="Arial"/>
          <w:sz w:val="24"/>
          <w:szCs w:val="24"/>
        </w:rPr>
        <w:t xml:space="preserve">Le coût d’expédition des échantillons est admissible aux crédits de travail d’évaluation si les résultats d’analyse sont fournis pour les échantillons expédiés et si les coûts sont liés aux travaux d’évaluation admissibles pour lesquels des crédits sont réclamés.  NOTE :  Le coût d’expédition des échantillons à l’extérieur de l’Ontario est admissible à des crédits, à condition que l’analyse soit effectuée dans un établissement accrédité.   </w:t>
      </w:r>
    </w:p>
    <w:p w14:paraId="016E1202" w14:textId="3F8167F4" w:rsidR="003A2073" w:rsidRPr="00BA3B08" w:rsidRDefault="003A2073" w:rsidP="00BA3B08">
      <w:pPr>
        <w:pStyle w:val="Heading2"/>
        <w:spacing w:after="240"/>
        <w:rPr>
          <w:sz w:val="28"/>
          <w:szCs w:val="24"/>
        </w:rPr>
      </w:pPr>
      <w:bookmarkStart w:id="21" w:name="_Toc92362936"/>
      <w:bookmarkStart w:id="22" w:name="_Toc114481320"/>
      <w:r w:rsidRPr="00BA3B08">
        <w:rPr>
          <w:sz w:val="28"/>
          <w:szCs w:val="24"/>
        </w:rPr>
        <w:t>Coût des essais et des analyses chimiques effectués sur les échantillons</w:t>
      </w:r>
      <w:bookmarkEnd w:id="21"/>
      <w:bookmarkEnd w:id="22"/>
      <w:r w:rsidRPr="00BA3B08">
        <w:rPr>
          <w:sz w:val="28"/>
          <w:szCs w:val="24"/>
        </w:rPr>
        <w:t xml:space="preserve"> </w:t>
      </w:r>
    </w:p>
    <w:p w14:paraId="76B5899A" w14:textId="63A2898C" w:rsidR="003A2073" w:rsidRPr="00CF20AE" w:rsidRDefault="003A2073" w:rsidP="00CF20AE">
      <w:pPr>
        <w:rPr>
          <w:rFonts w:ascii="Arial" w:hAnsi="Arial" w:cs="Arial"/>
          <w:sz w:val="24"/>
          <w:szCs w:val="24"/>
        </w:rPr>
      </w:pPr>
      <w:r>
        <w:rPr>
          <w:rFonts w:ascii="Arial" w:hAnsi="Arial"/>
          <w:sz w:val="24"/>
          <w:szCs w:val="24"/>
        </w:rPr>
        <w:t xml:space="preserve">Le coût lié à l’analyse des échantillons est admissible aux crédits de travail d’évaluation.   Les résultats des essais et des analyses chimiques doivent être soumis en même temps que le genre de travail admissible.  Les résultats des essais et des analyses chimiques ne sont pas un genre de travail indépendant et ne peuvent pas être soumis seuls.  </w:t>
      </w:r>
      <w:bookmarkStart w:id="23" w:name="_Hlk71803150"/>
      <w:r>
        <w:rPr>
          <w:rFonts w:ascii="Arial" w:hAnsi="Arial"/>
          <w:sz w:val="24"/>
          <w:szCs w:val="24"/>
        </w:rPr>
        <w:t>Toutes les analyses doivent être effectuées dans un établissement accrédité.</w:t>
      </w:r>
      <w:bookmarkEnd w:id="23"/>
    </w:p>
    <w:p w14:paraId="39163549" w14:textId="502DA8E8" w:rsidR="003A2073" w:rsidRPr="00BA3B08" w:rsidRDefault="003A2073" w:rsidP="00BA3B08">
      <w:pPr>
        <w:pStyle w:val="Heading2"/>
        <w:spacing w:after="240"/>
        <w:rPr>
          <w:sz w:val="28"/>
          <w:szCs w:val="24"/>
        </w:rPr>
      </w:pPr>
      <w:bookmarkStart w:id="24" w:name="_Toc92362937"/>
      <w:bookmarkStart w:id="25" w:name="_Toc114481321"/>
      <w:r w:rsidRPr="00BA3B08">
        <w:rPr>
          <w:sz w:val="28"/>
          <w:szCs w:val="24"/>
        </w:rPr>
        <w:t>Coûts de construction d’un sentier</w:t>
      </w:r>
      <w:bookmarkEnd w:id="24"/>
      <w:bookmarkEnd w:id="25"/>
      <w:r w:rsidRPr="00BA3B08">
        <w:rPr>
          <w:sz w:val="28"/>
          <w:szCs w:val="24"/>
        </w:rPr>
        <w:t xml:space="preserve">  </w:t>
      </w:r>
    </w:p>
    <w:p w14:paraId="2406F52F" w14:textId="057BC0E6" w:rsidR="003A2073" w:rsidRPr="00CF20AE" w:rsidRDefault="003A2073" w:rsidP="00CF20AE">
      <w:pPr>
        <w:rPr>
          <w:rFonts w:ascii="Arial" w:hAnsi="Arial" w:cs="Arial"/>
          <w:sz w:val="24"/>
          <w:szCs w:val="24"/>
        </w:rPr>
      </w:pPr>
      <w:r>
        <w:rPr>
          <w:rFonts w:ascii="Arial" w:hAnsi="Arial"/>
          <w:sz w:val="24"/>
          <w:szCs w:val="24"/>
        </w:rPr>
        <w:t xml:space="preserve">Les coûts de construction d’un sentier à destination et à l’intérieur des terrains miniers où les travaux d’évaluation sont effectués sont admissibles aux crédits de travail d’évaluation, mais les coûts de construction et d’entretien d’une route (y compris le déneigement) ne sont pas admissibles à ces crédits. </w:t>
      </w:r>
    </w:p>
    <w:p w14:paraId="39F8C060" w14:textId="77777777" w:rsidR="003A2073" w:rsidRPr="00CF20AE" w:rsidRDefault="003A2073" w:rsidP="00CF20AE">
      <w:pPr>
        <w:rPr>
          <w:rFonts w:ascii="Arial" w:hAnsi="Arial" w:cs="Arial"/>
          <w:sz w:val="24"/>
          <w:szCs w:val="24"/>
        </w:rPr>
      </w:pPr>
      <w:r>
        <w:rPr>
          <w:rFonts w:ascii="Arial" w:hAnsi="Arial"/>
          <w:sz w:val="24"/>
          <w:szCs w:val="24"/>
        </w:rPr>
        <w:lastRenderedPageBreak/>
        <w:t xml:space="preserve">Aux fins de la présente politique, un sentier est défini comme une piste, un chemin, un passage ou une route utilisée pour la mobilisation ou la démobilisation du matériel et de l’équipe nécessaires à l’exécution des travaux d’évaluation faisant l’objet du rapport, lorsque le sentier ne répond pas à la définition de route.   </w:t>
      </w:r>
    </w:p>
    <w:p w14:paraId="16F8F47A" w14:textId="77777777" w:rsidR="003A2073" w:rsidRPr="00CF20AE" w:rsidRDefault="003A2073" w:rsidP="00CF20AE">
      <w:pPr>
        <w:rPr>
          <w:rFonts w:ascii="Arial" w:eastAsia="Times New Roman" w:hAnsi="Arial" w:cs="Arial"/>
          <w:sz w:val="24"/>
          <w:szCs w:val="24"/>
        </w:rPr>
      </w:pPr>
      <w:r>
        <w:rPr>
          <w:rFonts w:ascii="Arial" w:hAnsi="Arial"/>
          <w:sz w:val="24"/>
          <w:szCs w:val="24"/>
        </w:rPr>
        <w:t xml:space="preserve">Aux fins de la présente politique, une route est définie comme une voie ou une route pavée ou en gravier sur la terre ou la glace principalement utilisée ou destinée à être utilisée pour le passage de véhicules motorisés, et non uniquement aménagée pour la mobilisation ou la démobilisation du matériel et de l’équipe nécessaires à l’exécution des travaux d’évaluation faisant l’objet du rapport. </w:t>
      </w:r>
    </w:p>
    <w:p w14:paraId="1E6F6EA6" w14:textId="110C180D" w:rsidR="003A2073" w:rsidRPr="00BA3B08" w:rsidRDefault="003A2073" w:rsidP="00F209E2">
      <w:pPr>
        <w:pStyle w:val="Heading2"/>
        <w:spacing w:after="240"/>
        <w:rPr>
          <w:sz w:val="28"/>
          <w:szCs w:val="24"/>
        </w:rPr>
      </w:pPr>
      <w:bookmarkStart w:id="26" w:name="_Toc92362938"/>
      <w:bookmarkStart w:id="27" w:name="_Toc114481322"/>
      <w:r w:rsidRPr="00BA3B08">
        <w:rPr>
          <w:sz w:val="28"/>
          <w:szCs w:val="24"/>
        </w:rPr>
        <w:t>Coûts de commercialisation des minéraux industriels</w:t>
      </w:r>
      <w:bookmarkEnd w:id="26"/>
      <w:bookmarkEnd w:id="27"/>
      <w:r w:rsidRPr="00BA3B08">
        <w:rPr>
          <w:sz w:val="28"/>
          <w:szCs w:val="24"/>
        </w:rPr>
        <w:t xml:space="preserve"> </w:t>
      </w:r>
    </w:p>
    <w:p w14:paraId="33F49A44" w14:textId="3F357F2D" w:rsidR="003A2073" w:rsidRPr="00CF20AE" w:rsidRDefault="003A2073" w:rsidP="00CF20AE">
      <w:pPr>
        <w:rPr>
          <w:rFonts w:ascii="Arial" w:eastAsiaTheme="minorEastAsia" w:hAnsi="Arial" w:cs="Arial"/>
          <w:strike/>
          <w:sz w:val="24"/>
          <w:szCs w:val="24"/>
        </w:rPr>
      </w:pPr>
      <w:r>
        <w:rPr>
          <w:rFonts w:ascii="Arial" w:hAnsi="Arial"/>
          <w:sz w:val="24"/>
          <w:szCs w:val="24"/>
        </w:rPr>
        <w:t xml:space="preserve">Aux fins de cette politique, les minéraux industriels sont des minéraux qui sont extraits et traités pour être utilisés dans un large éventail d’applications industrielles et domestiques.  </w:t>
      </w:r>
    </w:p>
    <w:p w14:paraId="4DAE8A79" w14:textId="28EF5FE5" w:rsidR="0085192A" w:rsidRPr="00CB2545" w:rsidRDefault="0085192A" w:rsidP="00BA3B08">
      <w:pPr>
        <w:pStyle w:val="Heading2"/>
        <w:spacing w:after="240"/>
        <w:rPr>
          <w:sz w:val="28"/>
          <w:szCs w:val="24"/>
        </w:rPr>
      </w:pPr>
      <w:bookmarkStart w:id="28" w:name="_Toc92362939"/>
      <w:bookmarkStart w:id="29" w:name="_Toc114481323"/>
      <w:r>
        <w:rPr>
          <w:sz w:val="28"/>
          <w:szCs w:val="24"/>
        </w:rPr>
        <w:t>Coûts des consultations menées auprès des collectivités autochtones à l’égard des activités d’exploration qui sont exercées ou qu’il est projeté d’exercer sur des terrains miniers</w:t>
      </w:r>
      <w:bookmarkEnd w:id="28"/>
      <w:bookmarkEnd w:id="29"/>
    </w:p>
    <w:p w14:paraId="670C7DF5" w14:textId="2D56DEB6" w:rsidR="00115125" w:rsidRPr="00CF20AE" w:rsidRDefault="00115125" w:rsidP="007E3191">
      <w:pPr>
        <w:rPr>
          <w:rFonts w:ascii="Arial" w:hAnsi="Arial" w:cs="Arial"/>
          <w:strike/>
          <w:sz w:val="24"/>
          <w:szCs w:val="24"/>
        </w:rPr>
      </w:pPr>
      <w:r>
        <w:rPr>
          <w:rFonts w:ascii="Arial" w:hAnsi="Arial"/>
          <w:sz w:val="24"/>
          <w:szCs w:val="24"/>
        </w:rPr>
        <w:t xml:space="preserve">Aux fins de la présente politique, l’exploration désigne les activités de </w:t>
      </w:r>
      <w:r>
        <w:rPr>
          <w:rFonts w:ascii="Arial" w:hAnsi="Arial"/>
          <w:sz w:val="24"/>
          <w:szCs w:val="24"/>
          <w:shd w:val="clear" w:color="auto" w:fill="FFFFFF"/>
        </w:rPr>
        <w:t>prospection et d’exploration minière</w:t>
      </w:r>
      <w:r>
        <w:rPr>
          <w:rFonts w:ascii="Arial" w:hAnsi="Arial"/>
          <w:sz w:val="24"/>
          <w:szCs w:val="24"/>
        </w:rPr>
        <w:t xml:space="preserve"> qui nécessitent la soumission d’un plan d’exploration ou d’un permis d’exploration.  Pour les activités d’exploration, le ministère s’acquitte généralement de ses obligations de consultation des collectivités autochtones en les consultant directement.  Il peut y avoir des cas où le ministère exigerait la participation d’un promoteur à l’appui du processus de consultation du ministère, ou où un directeur de l’exploration pourrait déléguer des aspects procéduraux du processus de consultation à un promoteur. Dans de tels cas, des crédits de travail d’évaluation seront accordés pour les coûts engagés par les titulaires de claims dans le cadre du processus de consultation.</w:t>
      </w:r>
    </w:p>
    <w:p w14:paraId="491051E6" w14:textId="5B982F08" w:rsidR="00D85753" w:rsidRPr="00CF20AE" w:rsidRDefault="008B6AA6" w:rsidP="00CF20AE">
      <w:pPr>
        <w:rPr>
          <w:rFonts w:ascii="Arial" w:hAnsi="Arial" w:cs="Arial"/>
          <w:sz w:val="24"/>
          <w:szCs w:val="24"/>
        </w:rPr>
      </w:pPr>
      <w:r>
        <w:rPr>
          <w:rFonts w:ascii="Arial" w:hAnsi="Arial"/>
          <w:sz w:val="24"/>
          <w:szCs w:val="24"/>
        </w:rPr>
        <w:t xml:space="preserve">Les crédits ne seront accordés que pour les coûts liés aux consultations des collectivités autochtones dont le ministère a déterminé qu’elles devaient être consultées. Les promoteurs devraient tenir des registres détaillés des coûts des activités liées aux consultations des collectivités autochtones. En fin de compte, le ministre doit être convaincu que les coûts engagés sont liés à la participation d’un promoteur à la consultation des collectivités autochtones.  Ces coûts sont généralement liés à la fourniture de renseignements et de soutien à une collectivité autochtone pour contribuer à l’informer des activités d’exploration proposées, ou pour soutenir la capacité d’une collectivité autochtone à comprendre ou à examiner un projet proposé et la façon dont il pourrait avoir un effet négatif sur les droits ancestraux ou issus de traités revendiqués ou établis de la collectivité, dans le cadre d’un processus de consultation. Lorsque les promoteurs refusent de partager les détails concernant ces types de coûts, en invoquant, </w:t>
      </w:r>
      <w:r>
        <w:rPr>
          <w:rFonts w:ascii="Arial" w:hAnsi="Arial"/>
          <w:sz w:val="24"/>
          <w:szCs w:val="24"/>
        </w:rPr>
        <w:lastRenderedPageBreak/>
        <w:t>par exemple, des problèmes de privilège ou de confidentialité, le ministère déterminera l’admissibilité des coûts à sa discrétion en se fondant sur les renseignements disponibles soumis par le promoteur.</w:t>
      </w:r>
    </w:p>
    <w:p w14:paraId="0DC324A6" w14:textId="02E29260" w:rsidR="00115125" w:rsidRPr="00CF20AE" w:rsidRDefault="00115125" w:rsidP="00CF20AE">
      <w:pPr>
        <w:rPr>
          <w:rFonts w:ascii="Arial" w:hAnsi="Arial" w:cs="Arial"/>
          <w:sz w:val="24"/>
          <w:szCs w:val="24"/>
        </w:rPr>
      </w:pPr>
      <w:r>
        <w:rPr>
          <w:rFonts w:ascii="Arial" w:hAnsi="Arial"/>
          <w:sz w:val="24"/>
          <w:szCs w:val="24"/>
        </w:rPr>
        <w:t xml:space="preserve">Voici les catégories de coûts liés à la consultation des collectivités autochtones qui peuvent être admissibles à des crédits de travail d’évaluation :  </w:t>
      </w:r>
    </w:p>
    <w:p w14:paraId="577F735F" w14:textId="77777777" w:rsidR="003F5585" w:rsidRDefault="00115125" w:rsidP="00CF20AE">
      <w:pPr>
        <w:pStyle w:val="ListParagraph"/>
        <w:numPr>
          <w:ilvl w:val="0"/>
          <w:numId w:val="55"/>
        </w:numPr>
        <w:rPr>
          <w:rFonts w:ascii="Arial" w:hAnsi="Arial" w:cs="Arial"/>
          <w:sz w:val="24"/>
          <w:szCs w:val="24"/>
        </w:rPr>
      </w:pPr>
      <w:r>
        <w:rPr>
          <w:rFonts w:ascii="Arial" w:hAnsi="Arial"/>
          <w:sz w:val="24"/>
          <w:szCs w:val="24"/>
        </w:rPr>
        <w:t>Frais administratifs – coûts réels encourus pour les frais d’affranchissement et de messagerie, les frais d’appels interurbains, les photocopies, etc., liés aux activités de consultation.</w:t>
      </w:r>
    </w:p>
    <w:p w14:paraId="1E3A0484" w14:textId="77777777" w:rsidR="003F5585" w:rsidRDefault="00115125" w:rsidP="00CF20AE">
      <w:pPr>
        <w:pStyle w:val="ListParagraph"/>
        <w:numPr>
          <w:ilvl w:val="0"/>
          <w:numId w:val="55"/>
        </w:numPr>
        <w:rPr>
          <w:rFonts w:ascii="Arial" w:hAnsi="Arial" w:cs="Arial"/>
          <w:sz w:val="24"/>
          <w:szCs w:val="24"/>
        </w:rPr>
      </w:pPr>
      <w:r>
        <w:rPr>
          <w:rFonts w:ascii="Arial" w:hAnsi="Arial"/>
          <w:sz w:val="24"/>
          <w:szCs w:val="24"/>
        </w:rPr>
        <w:t>Préparation de documents – cartes et autres documents, non produits dans le cadre des activités habituelles, qui sont nécessaires pour faciliter le partage d’informations avec les collectivités et frais de traduction, le cas échéant.</w:t>
      </w:r>
    </w:p>
    <w:p w14:paraId="08466FF2" w14:textId="77777777" w:rsidR="00D213CE" w:rsidRDefault="00115125" w:rsidP="00CF20AE">
      <w:pPr>
        <w:pStyle w:val="ListParagraph"/>
        <w:numPr>
          <w:ilvl w:val="0"/>
          <w:numId w:val="55"/>
        </w:numPr>
        <w:rPr>
          <w:rFonts w:ascii="Arial" w:hAnsi="Arial" w:cs="Arial"/>
          <w:sz w:val="24"/>
          <w:szCs w:val="24"/>
        </w:rPr>
      </w:pPr>
      <w:r>
        <w:rPr>
          <w:rFonts w:ascii="Arial" w:hAnsi="Arial"/>
          <w:sz w:val="24"/>
          <w:szCs w:val="24"/>
        </w:rPr>
        <w:t>Frais de déplacement – pour permettre au titulaire de claim ou au promoteur de se rendre dans une ou plusieurs collectivités ou pour permettre aux membres de la collectivité de se rendre dans d’autres lieux (visites de sites, lieux de réunion) et frais d’hébergement connexes aux fins de la consultation.</w:t>
      </w:r>
    </w:p>
    <w:p w14:paraId="6A564D5F" w14:textId="7455496F" w:rsidR="00D213CE" w:rsidRDefault="003A3795" w:rsidP="00CF20AE">
      <w:pPr>
        <w:pStyle w:val="ListParagraph"/>
        <w:numPr>
          <w:ilvl w:val="0"/>
          <w:numId w:val="55"/>
        </w:numPr>
        <w:rPr>
          <w:rFonts w:ascii="Arial" w:hAnsi="Arial" w:cs="Arial"/>
          <w:sz w:val="24"/>
          <w:szCs w:val="24"/>
        </w:rPr>
      </w:pPr>
      <w:r>
        <w:rPr>
          <w:rFonts w:ascii="Arial" w:hAnsi="Arial"/>
          <w:sz w:val="24"/>
          <w:szCs w:val="24"/>
        </w:rPr>
        <w:t>Coûts des réunions de consultation – installations, service de traiteur, traduction, frais connexes.</w:t>
      </w:r>
    </w:p>
    <w:p w14:paraId="3F7869C1" w14:textId="5A17E091" w:rsidR="00D213CE" w:rsidRDefault="00115125" w:rsidP="00CF20AE">
      <w:pPr>
        <w:pStyle w:val="ListParagraph"/>
        <w:numPr>
          <w:ilvl w:val="0"/>
          <w:numId w:val="55"/>
        </w:numPr>
        <w:rPr>
          <w:rFonts w:ascii="Arial" w:hAnsi="Arial" w:cs="Arial"/>
          <w:sz w:val="24"/>
          <w:szCs w:val="24"/>
        </w:rPr>
      </w:pPr>
      <w:r>
        <w:rPr>
          <w:rFonts w:ascii="Arial" w:hAnsi="Arial"/>
          <w:sz w:val="24"/>
          <w:szCs w:val="24"/>
        </w:rPr>
        <w:t xml:space="preserve">Expertise technique/services professionnels – par exemple, pour l’examen de documents techniques par une tierce partie, lorsqu’il a été déterminé que cela était nécessaire ou approprié, afin </w:t>
      </w:r>
      <w:bookmarkStart w:id="30" w:name="_Hlk89708042"/>
      <w:r>
        <w:rPr>
          <w:rFonts w:ascii="Arial" w:hAnsi="Arial"/>
          <w:sz w:val="24"/>
          <w:szCs w:val="24"/>
        </w:rPr>
        <w:t>d’aider une collectivité autochtone à comprendre un projet dans le cadre d’un processus de consultation</w:t>
      </w:r>
      <w:bookmarkEnd w:id="30"/>
      <w:r>
        <w:rPr>
          <w:rFonts w:ascii="Arial" w:hAnsi="Arial"/>
          <w:sz w:val="24"/>
          <w:szCs w:val="24"/>
        </w:rPr>
        <w:t>.</w:t>
      </w:r>
    </w:p>
    <w:p w14:paraId="60FD1D29" w14:textId="77777777" w:rsidR="00D213CE" w:rsidRDefault="00115125" w:rsidP="00CF20AE">
      <w:pPr>
        <w:pStyle w:val="ListParagraph"/>
        <w:numPr>
          <w:ilvl w:val="0"/>
          <w:numId w:val="55"/>
        </w:numPr>
        <w:rPr>
          <w:rFonts w:ascii="Arial" w:hAnsi="Arial" w:cs="Arial"/>
          <w:sz w:val="24"/>
          <w:szCs w:val="24"/>
        </w:rPr>
      </w:pPr>
      <w:r>
        <w:rPr>
          <w:rFonts w:ascii="Arial" w:hAnsi="Arial"/>
          <w:sz w:val="24"/>
          <w:szCs w:val="24"/>
        </w:rPr>
        <w:t>Honoraires – pour les aînés ou d’autres membres désignés de la communauté qui participent directement à un processus de consultation en raison de leurs connaissances ou de leur expérience particulières et de leur statut dans la communauté.</w:t>
      </w:r>
    </w:p>
    <w:p w14:paraId="258E54A3" w14:textId="1410BBB0" w:rsidR="00115125" w:rsidRPr="00D213CE" w:rsidRDefault="00115125" w:rsidP="00CF20AE">
      <w:pPr>
        <w:pStyle w:val="ListParagraph"/>
        <w:numPr>
          <w:ilvl w:val="0"/>
          <w:numId w:val="55"/>
        </w:numPr>
        <w:rPr>
          <w:rFonts w:ascii="Arial" w:hAnsi="Arial" w:cs="Arial"/>
          <w:sz w:val="24"/>
          <w:szCs w:val="24"/>
        </w:rPr>
      </w:pPr>
      <w:r>
        <w:rPr>
          <w:rFonts w:ascii="Arial" w:hAnsi="Arial"/>
          <w:sz w:val="24"/>
          <w:szCs w:val="24"/>
        </w:rPr>
        <w:t>Autres dépenses – lorsqu’elles sont clairement liées au processus de consultation et que le ministre les juge raisonnables.</w:t>
      </w:r>
    </w:p>
    <w:p w14:paraId="6051B6F9" w14:textId="59BD8537" w:rsidR="00115125" w:rsidRPr="00CF20AE" w:rsidRDefault="00115125" w:rsidP="00CF20AE">
      <w:pPr>
        <w:rPr>
          <w:rFonts w:ascii="Arial" w:hAnsi="Arial" w:cs="Arial"/>
          <w:sz w:val="24"/>
          <w:szCs w:val="24"/>
        </w:rPr>
      </w:pPr>
      <w:r>
        <w:rPr>
          <w:rFonts w:ascii="Arial" w:hAnsi="Arial"/>
          <w:sz w:val="24"/>
          <w:szCs w:val="24"/>
        </w:rPr>
        <w:t>Pour plus de clarté, voici une liste non exhaustive des coûts qui ne sont pas admissibles aux crédits de travail d’évaluation :</w:t>
      </w:r>
    </w:p>
    <w:p w14:paraId="020844A6" w14:textId="77777777" w:rsidR="00EA72F5" w:rsidRDefault="00115125" w:rsidP="00CF20AE">
      <w:pPr>
        <w:pStyle w:val="ListParagraph"/>
        <w:numPr>
          <w:ilvl w:val="0"/>
          <w:numId w:val="56"/>
        </w:numPr>
        <w:rPr>
          <w:rFonts w:ascii="Arial" w:hAnsi="Arial" w:cs="Arial"/>
          <w:sz w:val="24"/>
          <w:szCs w:val="24"/>
        </w:rPr>
      </w:pPr>
      <w:r>
        <w:rPr>
          <w:rFonts w:ascii="Arial" w:hAnsi="Arial"/>
          <w:sz w:val="24"/>
          <w:szCs w:val="24"/>
        </w:rPr>
        <w:t>Les frais ou les sommes payés pour « accéder » à un processus de consultation ou simplement y participer, sauf s’ils sont directement attribuables au soutien de la capacité d’une collectivité à participer au processus de consultation.</w:t>
      </w:r>
    </w:p>
    <w:p w14:paraId="4133B602" w14:textId="77777777" w:rsidR="00EA72F5" w:rsidRDefault="00115125" w:rsidP="00CF20AE">
      <w:pPr>
        <w:pStyle w:val="ListParagraph"/>
        <w:numPr>
          <w:ilvl w:val="0"/>
          <w:numId w:val="56"/>
        </w:numPr>
        <w:rPr>
          <w:rFonts w:ascii="Arial" w:hAnsi="Arial" w:cs="Arial"/>
          <w:sz w:val="24"/>
          <w:szCs w:val="24"/>
        </w:rPr>
      </w:pPr>
      <w:r>
        <w:rPr>
          <w:rFonts w:ascii="Arial" w:hAnsi="Arial"/>
          <w:sz w:val="24"/>
          <w:szCs w:val="24"/>
        </w:rPr>
        <w:t xml:space="preserve">Contributions de bonne volonté : dons à des institutions locales ou à des événements culturels; dons de biens ou de services (par exemple, articles de sport aux équipes de la communauté; vestes d’entreprise aux membres de la communauté, bourses d’études), etc. </w:t>
      </w:r>
    </w:p>
    <w:p w14:paraId="60A92E0A" w14:textId="60D29F40" w:rsidR="00115125" w:rsidRPr="00EA72F5" w:rsidRDefault="00115125" w:rsidP="00CF20AE">
      <w:pPr>
        <w:pStyle w:val="ListParagraph"/>
        <w:numPr>
          <w:ilvl w:val="0"/>
          <w:numId w:val="56"/>
        </w:numPr>
        <w:rPr>
          <w:rFonts w:ascii="Arial" w:hAnsi="Arial" w:cs="Arial"/>
          <w:sz w:val="24"/>
          <w:szCs w:val="24"/>
        </w:rPr>
      </w:pPr>
      <w:r>
        <w:rPr>
          <w:rFonts w:ascii="Arial" w:hAnsi="Arial"/>
          <w:sz w:val="24"/>
          <w:szCs w:val="24"/>
        </w:rPr>
        <w:t>Achats d’actifs (par exemple, logiciels, licences de site).</w:t>
      </w:r>
    </w:p>
    <w:p w14:paraId="507DAF19" w14:textId="6725244A" w:rsidR="003914B6" w:rsidRPr="006A5B59" w:rsidRDefault="003914B6" w:rsidP="00BA3B08">
      <w:pPr>
        <w:pStyle w:val="Heading1"/>
        <w:spacing w:after="240"/>
        <w:rPr>
          <w:shd w:val="clear" w:color="auto" w:fill="FFFFFF"/>
        </w:rPr>
      </w:pPr>
      <w:bookmarkStart w:id="31" w:name="_Toc92362940"/>
      <w:bookmarkStart w:id="32" w:name="_Toc114481324"/>
      <w:r>
        <w:rPr>
          <w:shd w:val="clear" w:color="auto" w:fill="FFFFFF"/>
        </w:rPr>
        <w:lastRenderedPageBreak/>
        <w:t>Études de base environnementales</w:t>
      </w:r>
      <w:bookmarkEnd w:id="31"/>
      <w:bookmarkEnd w:id="32"/>
    </w:p>
    <w:p w14:paraId="00B324F5" w14:textId="77777777" w:rsidR="003914B6" w:rsidRPr="00CF20AE" w:rsidRDefault="003914B6" w:rsidP="00CF20AE">
      <w:pPr>
        <w:rPr>
          <w:rFonts w:ascii="Arial" w:hAnsi="Arial" w:cs="Arial"/>
          <w:sz w:val="24"/>
          <w:szCs w:val="24"/>
          <w:shd w:val="clear" w:color="auto" w:fill="FFFFFF"/>
        </w:rPr>
      </w:pPr>
      <w:r>
        <w:rPr>
          <w:rFonts w:ascii="Arial" w:hAnsi="Arial"/>
          <w:sz w:val="24"/>
          <w:szCs w:val="24"/>
          <w:shd w:val="clear" w:color="auto" w:fill="FFFFFF"/>
        </w:rPr>
        <w:t xml:space="preserve">L’objectif d’une étude de base environnementale consiste à établir une base d’informations permettant de surveiller et d’évaluer l’impact des activités d’exploration et d’exploitation minière sur l’environnement.   </w:t>
      </w:r>
    </w:p>
    <w:p w14:paraId="739D7A6E" w14:textId="5CB8D821" w:rsidR="003914B6" w:rsidRPr="00CF20AE" w:rsidRDefault="003914B6" w:rsidP="00CF20AE">
      <w:pPr>
        <w:rPr>
          <w:rFonts w:ascii="Arial" w:eastAsiaTheme="minorEastAsia" w:hAnsi="Arial" w:cs="Arial"/>
          <w:sz w:val="24"/>
          <w:szCs w:val="24"/>
        </w:rPr>
      </w:pPr>
      <w:r>
        <w:rPr>
          <w:rFonts w:ascii="Arial" w:hAnsi="Arial"/>
          <w:sz w:val="24"/>
          <w:szCs w:val="24"/>
          <w:shd w:val="clear" w:color="auto" w:fill="FFFFFF"/>
        </w:rPr>
        <w:t xml:space="preserve">Les coûts et les dépenses visant à déterminer la ligne de base environnementale avant le début des activités d’exploration précoce sont admissibles aux crédits de travail d’évaluation lorsque les activités d’exploration ne font pas partie d’un plan de fermeture ou de la production minière. La surveillance continue d’un site n’est pas admissible aux crédits de travail d’évaluation.  </w:t>
      </w:r>
    </w:p>
    <w:p w14:paraId="64C85FE4" w14:textId="0F84F451" w:rsidR="003914B6" w:rsidRPr="006A5B59" w:rsidRDefault="003914B6" w:rsidP="00BA3B08">
      <w:pPr>
        <w:pStyle w:val="Heading1"/>
      </w:pPr>
      <w:bookmarkStart w:id="33" w:name="_Toc92362941"/>
      <w:bookmarkStart w:id="34" w:name="_Toc114481325"/>
      <w:r>
        <w:t>Réhabilitation exigée ou permise par la loi</w:t>
      </w:r>
      <w:bookmarkEnd w:id="33"/>
      <w:bookmarkEnd w:id="34"/>
    </w:p>
    <w:p w14:paraId="3EE9530B" w14:textId="42A561C6" w:rsidR="00C60AC2" w:rsidRPr="00BA3B08" w:rsidRDefault="00C60AC2" w:rsidP="00AB45DE">
      <w:pPr>
        <w:pStyle w:val="Heading2"/>
        <w:spacing w:after="240"/>
        <w:rPr>
          <w:sz w:val="28"/>
          <w:szCs w:val="28"/>
        </w:rPr>
      </w:pPr>
      <w:bookmarkStart w:id="35" w:name="_Toc92362942"/>
      <w:bookmarkStart w:id="36" w:name="_Toc114481326"/>
      <w:r w:rsidRPr="00BA3B08">
        <w:rPr>
          <w:sz w:val="28"/>
          <w:szCs w:val="28"/>
        </w:rPr>
        <w:t>Réhabilitation progressive</w:t>
      </w:r>
      <w:bookmarkEnd w:id="35"/>
      <w:bookmarkEnd w:id="36"/>
    </w:p>
    <w:p w14:paraId="1BA7347E" w14:textId="78958708" w:rsidR="007B4545" w:rsidRPr="00CF20AE" w:rsidRDefault="00136E01" w:rsidP="00CF20AE">
      <w:pPr>
        <w:rPr>
          <w:rFonts w:ascii="Arial" w:hAnsi="Arial" w:cs="Arial"/>
          <w:sz w:val="24"/>
          <w:szCs w:val="24"/>
        </w:rPr>
      </w:pPr>
      <w:r>
        <w:rPr>
          <w:rFonts w:ascii="Arial" w:hAnsi="Arial"/>
          <w:sz w:val="24"/>
          <w:szCs w:val="24"/>
        </w:rPr>
        <w:t>Aux fins de la présente politique, un promoteur qui soumet au directeur deux exemplaires d’un rapport de réhabilitation progressive en vertu du paragraphe 139.1 (2) de la Loi peut réclamer des crédits de travail d’évaluation si ce même rapport est soumis dans le SATM en vue d’obtenir des crédits.</w:t>
      </w:r>
    </w:p>
    <w:p w14:paraId="74764172" w14:textId="77777777" w:rsidR="007B4545" w:rsidRPr="00BA3B08" w:rsidRDefault="007B4545" w:rsidP="00AB45DE">
      <w:pPr>
        <w:pStyle w:val="Heading2"/>
        <w:spacing w:after="240"/>
        <w:rPr>
          <w:sz w:val="28"/>
          <w:szCs w:val="28"/>
        </w:rPr>
      </w:pPr>
      <w:bookmarkStart w:id="37" w:name="_Toc75380033"/>
      <w:bookmarkStart w:id="38" w:name="_Toc92362943"/>
      <w:bookmarkStart w:id="39" w:name="_Toc114481327"/>
      <w:r w:rsidRPr="00BA3B08">
        <w:rPr>
          <w:sz w:val="28"/>
          <w:szCs w:val="28"/>
        </w:rPr>
        <w:t>Réhabilitation volontaire</w:t>
      </w:r>
      <w:bookmarkEnd w:id="37"/>
      <w:bookmarkEnd w:id="38"/>
      <w:bookmarkEnd w:id="39"/>
    </w:p>
    <w:p w14:paraId="710A5398" w14:textId="4E96344C" w:rsidR="00AB45DE" w:rsidRPr="00CF20AE" w:rsidRDefault="007B4545" w:rsidP="00CF20AE">
      <w:pPr>
        <w:rPr>
          <w:rFonts w:ascii="Arial" w:hAnsi="Arial" w:cs="Arial"/>
          <w:sz w:val="24"/>
          <w:szCs w:val="24"/>
        </w:rPr>
      </w:pPr>
      <w:r>
        <w:rPr>
          <w:rFonts w:ascii="Arial" w:hAnsi="Arial"/>
          <w:sz w:val="24"/>
          <w:szCs w:val="24"/>
        </w:rPr>
        <w:t>Aux fins de la présente politique, un promoteur qui reçoit l’approbation écrite du directeur pour la réhabilitation du risque minier et qui effectue cette réhabilitation conformément au plan de réhabilitation en vertu du paragraphe 139.1 (6) de la Loi peut réclamer des crédits de travail d’évaluation si ce même plan de réhabilitation volontaire est soumis dans le SATM en vue d’obtenir des crédits.</w:t>
      </w:r>
    </w:p>
    <w:p w14:paraId="34EFA4CF" w14:textId="719E41FC" w:rsidR="00087F8F" w:rsidRPr="00816236" w:rsidRDefault="00493606" w:rsidP="00BA3B08">
      <w:pPr>
        <w:pStyle w:val="Heading1"/>
        <w:spacing w:after="240"/>
      </w:pPr>
      <w:bookmarkStart w:id="40" w:name="_Toc92362944"/>
      <w:bookmarkStart w:id="41" w:name="_Toc114481328"/>
      <w:r>
        <w:t xml:space="preserve">Coûts et dépenses qui ne sont </w:t>
      </w:r>
      <w:r>
        <w:rPr>
          <w:u w:val="single"/>
        </w:rPr>
        <w:t>pas</w:t>
      </w:r>
      <w:r>
        <w:t xml:space="preserve"> admissibles à des crédits de travail d’évaluation</w:t>
      </w:r>
      <w:bookmarkEnd w:id="40"/>
      <w:bookmarkEnd w:id="41"/>
    </w:p>
    <w:p w14:paraId="333639DE" w14:textId="4801628F" w:rsidR="00C66954" w:rsidRPr="00CF20AE" w:rsidRDefault="00E45998" w:rsidP="00CF20AE">
      <w:pPr>
        <w:rPr>
          <w:rFonts w:ascii="Arial" w:eastAsia="Times New Roman" w:hAnsi="Arial" w:cs="Arial"/>
          <w:sz w:val="24"/>
          <w:szCs w:val="24"/>
        </w:rPr>
      </w:pPr>
      <w:r>
        <w:rPr>
          <w:rFonts w:ascii="Arial" w:hAnsi="Arial"/>
          <w:sz w:val="24"/>
          <w:szCs w:val="24"/>
        </w:rPr>
        <w:t xml:space="preserve">Les crédits de travail d’évaluation sont mesurés en fonction de la somme dépensée en travaux d’évaluation. Toutefois, les coûts et dépenses ne sont pas tous admissibles à des crédits de travail d’évaluation. </w:t>
      </w:r>
    </w:p>
    <w:p w14:paraId="5753F23E" w14:textId="43B89371" w:rsidR="00E45998" w:rsidRPr="00CF20AE" w:rsidRDefault="00E45998" w:rsidP="00CF20AE">
      <w:pPr>
        <w:rPr>
          <w:rFonts w:ascii="Arial" w:hAnsi="Arial" w:cs="Arial"/>
          <w:sz w:val="24"/>
          <w:szCs w:val="24"/>
        </w:rPr>
      </w:pPr>
      <w:r>
        <w:rPr>
          <w:rFonts w:ascii="Arial" w:hAnsi="Arial"/>
          <w:sz w:val="24"/>
          <w:szCs w:val="24"/>
        </w:rPr>
        <w:t>La liste suivante présente certains éléments qui ne sont pas admissibles à des crédits de travail d’évaluation en fonction des questions fréquemment posées concernant l’admissibilité des coûts et des dépenses en vertu du Règlement.  Il ne s’agit pas d’une liste exhaustive des coûts non admissibles.</w:t>
      </w:r>
    </w:p>
    <w:p w14:paraId="1E124B4C" w14:textId="77777777" w:rsidR="005D6C14" w:rsidRDefault="00E45998" w:rsidP="00CF20AE">
      <w:pPr>
        <w:pStyle w:val="ListParagraph"/>
        <w:numPr>
          <w:ilvl w:val="0"/>
          <w:numId w:val="57"/>
        </w:numPr>
        <w:rPr>
          <w:rFonts w:ascii="Arial" w:hAnsi="Arial" w:cs="Arial"/>
          <w:sz w:val="24"/>
          <w:szCs w:val="24"/>
        </w:rPr>
      </w:pPr>
      <w:r>
        <w:rPr>
          <w:rFonts w:ascii="Arial" w:hAnsi="Arial"/>
          <w:sz w:val="24"/>
          <w:szCs w:val="24"/>
        </w:rPr>
        <w:lastRenderedPageBreak/>
        <w:t>Achats et locations d’actifs, y compris, mais sans s’y limiter, le matériel de bureau et le matériel de terrain (par exemple, mobilier de bureau, tentes, tronçonneuses, haches, unités GPS, bateaux, VTT).</w:t>
      </w:r>
    </w:p>
    <w:p w14:paraId="4EF55D02" w14:textId="77777777" w:rsidR="005D6C14" w:rsidRDefault="00E45998" w:rsidP="00CF20AE">
      <w:pPr>
        <w:pStyle w:val="ListParagraph"/>
        <w:numPr>
          <w:ilvl w:val="0"/>
          <w:numId w:val="57"/>
        </w:numPr>
        <w:rPr>
          <w:rFonts w:ascii="Arial" w:hAnsi="Arial" w:cs="Arial"/>
          <w:sz w:val="24"/>
          <w:szCs w:val="24"/>
        </w:rPr>
      </w:pPr>
      <w:r>
        <w:rPr>
          <w:rFonts w:ascii="Arial" w:hAnsi="Arial"/>
          <w:sz w:val="24"/>
          <w:szCs w:val="24"/>
        </w:rPr>
        <w:t>Coûts de réparation et d’entretien du matériel utilisé (par exemple, réparations des véhicules, des motoneiges, des scies à chaîne, des VTT, des foreuses).</w:t>
      </w:r>
    </w:p>
    <w:p w14:paraId="2B8B42C9" w14:textId="77777777" w:rsidR="005D6C14" w:rsidRDefault="00E45998" w:rsidP="00CF20AE">
      <w:pPr>
        <w:pStyle w:val="ListParagraph"/>
        <w:numPr>
          <w:ilvl w:val="0"/>
          <w:numId w:val="57"/>
        </w:numPr>
        <w:rPr>
          <w:rFonts w:ascii="Arial" w:hAnsi="Arial" w:cs="Arial"/>
          <w:sz w:val="24"/>
          <w:szCs w:val="24"/>
        </w:rPr>
      </w:pPr>
      <w:r>
        <w:rPr>
          <w:rFonts w:ascii="Arial" w:hAnsi="Arial"/>
          <w:sz w:val="24"/>
          <w:szCs w:val="24"/>
        </w:rPr>
        <w:t>Établissement et entretien de toute structure sur la propriété (par exemple, cabane à carottes, camps d’exploration permanents, installations de stockage).</w:t>
      </w:r>
    </w:p>
    <w:p w14:paraId="48879996" w14:textId="77777777" w:rsidR="005D6C14" w:rsidRDefault="00E45998" w:rsidP="00CF20AE">
      <w:pPr>
        <w:pStyle w:val="ListParagraph"/>
        <w:numPr>
          <w:ilvl w:val="0"/>
          <w:numId w:val="57"/>
        </w:numPr>
        <w:rPr>
          <w:rFonts w:ascii="Arial" w:hAnsi="Arial" w:cs="Arial"/>
          <w:sz w:val="24"/>
          <w:szCs w:val="24"/>
        </w:rPr>
      </w:pPr>
      <w:r>
        <w:rPr>
          <w:rFonts w:ascii="Arial" w:hAnsi="Arial"/>
          <w:sz w:val="24"/>
          <w:szCs w:val="24"/>
        </w:rPr>
        <w:t>Achat d’ordinateurs et de logiciels, location de licences d’utilisation de logiciels et accords.</w:t>
      </w:r>
    </w:p>
    <w:p w14:paraId="480768CD" w14:textId="77777777" w:rsidR="005D6C14" w:rsidRDefault="00E45998" w:rsidP="00CF20AE">
      <w:pPr>
        <w:pStyle w:val="ListParagraph"/>
        <w:numPr>
          <w:ilvl w:val="0"/>
          <w:numId w:val="57"/>
        </w:numPr>
        <w:rPr>
          <w:rFonts w:ascii="Arial" w:hAnsi="Arial" w:cs="Arial"/>
          <w:sz w:val="24"/>
          <w:szCs w:val="24"/>
        </w:rPr>
      </w:pPr>
      <w:r>
        <w:rPr>
          <w:rFonts w:ascii="Arial" w:hAnsi="Arial"/>
          <w:sz w:val="24"/>
          <w:szCs w:val="24"/>
        </w:rPr>
        <w:t>Achat de publications et d’ensembles de données.</w:t>
      </w:r>
    </w:p>
    <w:p w14:paraId="5A20920C" w14:textId="77777777" w:rsidR="005D6C14" w:rsidRDefault="00E45998" w:rsidP="00CF20AE">
      <w:pPr>
        <w:pStyle w:val="ListParagraph"/>
        <w:numPr>
          <w:ilvl w:val="0"/>
          <w:numId w:val="57"/>
        </w:numPr>
        <w:rPr>
          <w:rFonts w:ascii="Arial" w:hAnsi="Arial" w:cs="Arial"/>
          <w:sz w:val="24"/>
          <w:szCs w:val="24"/>
        </w:rPr>
      </w:pPr>
      <w:r>
        <w:rPr>
          <w:rFonts w:ascii="Arial" w:hAnsi="Arial"/>
          <w:sz w:val="24"/>
          <w:szCs w:val="24"/>
        </w:rPr>
        <w:t>Frais encourus par le géologue résident ou de district pour une visite du site (propriété) ou une analyse d’échantillon.</w:t>
      </w:r>
    </w:p>
    <w:p w14:paraId="1D06C4CF" w14:textId="77777777" w:rsidR="005D6C14" w:rsidRDefault="00E45998" w:rsidP="00CF20AE">
      <w:pPr>
        <w:pStyle w:val="ListParagraph"/>
        <w:numPr>
          <w:ilvl w:val="0"/>
          <w:numId w:val="57"/>
        </w:numPr>
        <w:rPr>
          <w:rFonts w:ascii="Arial" w:hAnsi="Arial" w:cs="Arial"/>
          <w:sz w:val="24"/>
          <w:szCs w:val="24"/>
        </w:rPr>
      </w:pPr>
      <w:r>
        <w:rPr>
          <w:rFonts w:ascii="Arial" w:hAnsi="Arial"/>
          <w:sz w:val="24"/>
          <w:szCs w:val="24"/>
        </w:rPr>
        <w:t xml:space="preserve">Recherche dans le bureau du géologue résident ou de district, consultation avec le géologue résident ou de district. </w:t>
      </w:r>
    </w:p>
    <w:p w14:paraId="6AE0D068" w14:textId="77777777" w:rsidR="005D6C14" w:rsidRDefault="00E45998" w:rsidP="00CF20AE">
      <w:pPr>
        <w:pStyle w:val="ListParagraph"/>
        <w:numPr>
          <w:ilvl w:val="0"/>
          <w:numId w:val="57"/>
        </w:numPr>
        <w:rPr>
          <w:rFonts w:ascii="Arial" w:hAnsi="Arial" w:cs="Arial"/>
          <w:sz w:val="24"/>
          <w:szCs w:val="24"/>
        </w:rPr>
      </w:pPr>
      <w:r>
        <w:rPr>
          <w:rFonts w:ascii="Arial" w:hAnsi="Arial"/>
          <w:sz w:val="24"/>
          <w:szCs w:val="24"/>
        </w:rPr>
        <w:t>Activités liées à la planification du programme, aux réunions d’investissement, à la promotion des propriétés et aux relations publiques.</w:t>
      </w:r>
    </w:p>
    <w:p w14:paraId="0358869D" w14:textId="77777777" w:rsidR="006D0DE8" w:rsidRDefault="00E45998" w:rsidP="00CF20AE">
      <w:pPr>
        <w:pStyle w:val="ListParagraph"/>
        <w:numPr>
          <w:ilvl w:val="0"/>
          <w:numId w:val="57"/>
        </w:numPr>
        <w:rPr>
          <w:rFonts w:ascii="Arial" w:hAnsi="Arial" w:cs="Arial"/>
          <w:sz w:val="24"/>
          <w:szCs w:val="24"/>
        </w:rPr>
      </w:pPr>
      <w:r>
        <w:rPr>
          <w:rFonts w:ascii="Arial" w:hAnsi="Arial"/>
          <w:sz w:val="24"/>
          <w:szCs w:val="24"/>
        </w:rPr>
        <w:t>Rapports de compilation comprenant des documents publiés antérieurement, des rapports déterminant les réserves et ressources, des calculs de teneur et de tonnage de minerai, ainsi que la rédaction et l’établissement de rapports selon le Règlement 43-101.</w:t>
      </w:r>
    </w:p>
    <w:p w14:paraId="3A43ED44" w14:textId="77777777" w:rsidR="006D0DE8" w:rsidRDefault="00731CC0" w:rsidP="00CF20AE">
      <w:pPr>
        <w:pStyle w:val="ListParagraph"/>
        <w:numPr>
          <w:ilvl w:val="0"/>
          <w:numId w:val="57"/>
        </w:numPr>
        <w:rPr>
          <w:rFonts w:ascii="Arial" w:hAnsi="Arial" w:cs="Arial"/>
          <w:sz w:val="24"/>
          <w:szCs w:val="24"/>
        </w:rPr>
      </w:pPr>
      <w:r>
        <w:rPr>
          <w:rFonts w:ascii="Arial" w:hAnsi="Arial"/>
          <w:sz w:val="24"/>
          <w:szCs w:val="24"/>
        </w:rPr>
        <w:t>Surveillance et entretien continus des sites des études de base environnementales.</w:t>
      </w:r>
    </w:p>
    <w:p w14:paraId="18F3613F" w14:textId="77777777" w:rsidR="006D0DE8" w:rsidRDefault="00E45998" w:rsidP="00CF20AE">
      <w:pPr>
        <w:pStyle w:val="ListParagraph"/>
        <w:numPr>
          <w:ilvl w:val="0"/>
          <w:numId w:val="57"/>
        </w:numPr>
        <w:rPr>
          <w:rFonts w:ascii="Arial" w:hAnsi="Arial" w:cs="Arial"/>
          <w:sz w:val="24"/>
          <w:szCs w:val="24"/>
        </w:rPr>
      </w:pPr>
      <w:r>
        <w:rPr>
          <w:rFonts w:ascii="Arial" w:hAnsi="Arial"/>
          <w:sz w:val="24"/>
          <w:szCs w:val="24"/>
        </w:rPr>
        <w:t>Demande de bail pour un claim minier ou acquisition d’autres terrains miniers.</w:t>
      </w:r>
    </w:p>
    <w:p w14:paraId="64FA6424" w14:textId="77777777" w:rsidR="006D0DE8" w:rsidRDefault="00E45998" w:rsidP="00CF20AE">
      <w:pPr>
        <w:pStyle w:val="ListParagraph"/>
        <w:numPr>
          <w:ilvl w:val="0"/>
          <w:numId w:val="57"/>
        </w:numPr>
        <w:rPr>
          <w:rFonts w:ascii="Arial" w:hAnsi="Arial" w:cs="Arial"/>
          <w:sz w:val="24"/>
          <w:szCs w:val="24"/>
        </w:rPr>
      </w:pPr>
      <w:r>
        <w:rPr>
          <w:rFonts w:ascii="Arial" w:hAnsi="Arial"/>
          <w:sz w:val="24"/>
          <w:szCs w:val="24"/>
        </w:rPr>
        <w:t>Préparation d’arpentages légaux pour acquérir un bail minier et coût de l’arpentage.</w:t>
      </w:r>
    </w:p>
    <w:p w14:paraId="290550CD" w14:textId="77777777" w:rsidR="006D0DE8" w:rsidRDefault="00E45998" w:rsidP="00CF20AE">
      <w:pPr>
        <w:pStyle w:val="ListParagraph"/>
        <w:numPr>
          <w:ilvl w:val="0"/>
          <w:numId w:val="57"/>
        </w:numPr>
        <w:rPr>
          <w:rFonts w:ascii="Arial" w:hAnsi="Arial" w:cs="Arial"/>
          <w:sz w:val="24"/>
          <w:szCs w:val="24"/>
        </w:rPr>
      </w:pPr>
      <w:r>
        <w:rPr>
          <w:rFonts w:ascii="Arial" w:hAnsi="Arial"/>
          <w:sz w:val="24"/>
          <w:szCs w:val="24"/>
        </w:rPr>
        <w:t xml:space="preserve">Les frais payés pour l’enregistrement de claims miniers ou d’autres transactions sur les terrains miniers (par exemple, l’enregistrement d’une entente sur un relevé de claim minier, les prolongations de délai, l’exonération de la déchéance). </w:t>
      </w:r>
    </w:p>
    <w:p w14:paraId="345DCA78" w14:textId="77777777" w:rsidR="006D0DE8" w:rsidRDefault="00E45998" w:rsidP="006D0DE8">
      <w:pPr>
        <w:pStyle w:val="ListParagraph"/>
        <w:numPr>
          <w:ilvl w:val="0"/>
          <w:numId w:val="57"/>
        </w:numPr>
        <w:rPr>
          <w:rFonts w:ascii="Arial" w:hAnsi="Arial" w:cs="Arial"/>
          <w:sz w:val="24"/>
          <w:szCs w:val="24"/>
        </w:rPr>
      </w:pPr>
      <w:r>
        <w:rPr>
          <w:rFonts w:ascii="Arial" w:hAnsi="Arial"/>
          <w:sz w:val="24"/>
          <w:szCs w:val="24"/>
        </w:rPr>
        <w:t>Frais, loyers et taxes des gouvernements.</w:t>
      </w:r>
    </w:p>
    <w:p w14:paraId="161F493F" w14:textId="77777777" w:rsidR="0024465B" w:rsidRDefault="00642CCA" w:rsidP="00CF20AE">
      <w:pPr>
        <w:pStyle w:val="ListParagraph"/>
        <w:numPr>
          <w:ilvl w:val="0"/>
          <w:numId w:val="57"/>
        </w:numPr>
        <w:rPr>
          <w:rFonts w:ascii="Arial" w:hAnsi="Arial" w:cs="Arial"/>
          <w:sz w:val="24"/>
          <w:szCs w:val="24"/>
        </w:rPr>
      </w:pPr>
      <w:r>
        <w:rPr>
          <w:rFonts w:ascii="Arial" w:hAnsi="Arial"/>
          <w:sz w:val="24"/>
          <w:szCs w:val="24"/>
        </w:rPr>
        <w:t>Taxes fédérales et provinciales canadiennes (c’est-à-dire TVH, GPS, taxe sur le carbone).</w:t>
      </w:r>
    </w:p>
    <w:p w14:paraId="4F479ACF" w14:textId="77777777" w:rsidR="0024465B" w:rsidRDefault="00E45998" w:rsidP="00CF20AE">
      <w:pPr>
        <w:pStyle w:val="ListParagraph"/>
        <w:numPr>
          <w:ilvl w:val="0"/>
          <w:numId w:val="57"/>
        </w:numPr>
        <w:rPr>
          <w:rFonts w:ascii="Arial" w:hAnsi="Arial" w:cs="Arial"/>
          <w:sz w:val="24"/>
          <w:szCs w:val="24"/>
        </w:rPr>
      </w:pPr>
      <w:r>
        <w:rPr>
          <w:rFonts w:ascii="Arial" w:hAnsi="Arial"/>
          <w:sz w:val="24"/>
          <w:szCs w:val="24"/>
        </w:rPr>
        <w:t xml:space="preserve">Sommes versées au titre d’amendes ou de pénalités en vertu d’une ordonnance d’une cour ou d’un tribunal. </w:t>
      </w:r>
    </w:p>
    <w:p w14:paraId="10B677ED" w14:textId="77777777" w:rsidR="0024465B" w:rsidRDefault="00E45998" w:rsidP="00CF20AE">
      <w:pPr>
        <w:pStyle w:val="ListParagraph"/>
        <w:numPr>
          <w:ilvl w:val="0"/>
          <w:numId w:val="57"/>
        </w:numPr>
        <w:rPr>
          <w:rFonts w:ascii="Arial" w:hAnsi="Arial" w:cs="Arial"/>
          <w:sz w:val="24"/>
          <w:szCs w:val="24"/>
        </w:rPr>
      </w:pPr>
      <w:r>
        <w:rPr>
          <w:rFonts w:ascii="Arial" w:hAnsi="Arial"/>
          <w:sz w:val="24"/>
          <w:szCs w:val="24"/>
        </w:rPr>
        <w:t xml:space="preserve">Construction et entretien des routes (comme indiqué dans une section précédente). </w:t>
      </w:r>
    </w:p>
    <w:p w14:paraId="7157BD53" w14:textId="77777777" w:rsidR="0024465B" w:rsidRDefault="00E45998" w:rsidP="00CF20AE">
      <w:pPr>
        <w:pStyle w:val="ListParagraph"/>
        <w:numPr>
          <w:ilvl w:val="0"/>
          <w:numId w:val="57"/>
        </w:numPr>
        <w:rPr>
          <w:rFonts w:ascii="Arial" w:hAnsi="Arial" w:cs="Arial"/>
          <w:sz w:val="24"/>
          <w:szCs w:val="24"/>
        </w:rPr>
      </w:pPr>
      <w:r>
        <w:rPr>
          <w:rFonts w:ascii="Arial" w:hAnsi="Arial"/>
          <w:sz w:val="24"/>
          <w:szCs w:val="24"/>
        </w:rPr>
        <w:t xml:space="preserve">Déneigement (comme indiqué dans une section précédente). </w:t>
      </w:r>
    </w:p>
    <w:p w14:paraId="6039A61B" w14:textId="77777777" w:rsidR="0024465B" w:rsidRDefault="00E45998" w:rsidP="0024465B">
      <w:pPr>
        <w:pStyle w:val="ListParagraph"/>
        <w:numPr>
          <w:ilvl w:val="0"/>
          <w:numId w:val="57"/>
        </w:numPr>
        <w:rPr>
          <w:rFonts w:ascii="Arial" w:hAnsi="Arial" w:cs="Arial"/>
          <w:sz w:val="24"/>
          <w:szCs w:val="24"/>
        </w:rPr>
      </w:pPr>
      <w:r>
        <w:rPr>
          <w:rFonts w:ascii="Arial" w:hAnsi="Arial"/>
          <w:sz w:val="24"/>
          <w:szCs w:val="24"/>
        </w:rPr>
        <w:t xml:space="preserve">Découpage et recoupage des lignes de démarcation des claims. </w:t>
      </w:r>
    </w:p>
    <w:p w14:paraId="638D3FDE" w14:textId="77777777" w:rsidR="0024465B" w:rsidRDefault="00E45998" w:rsidP="00CF20AE">
      <w:pPr>
        <w:pStyle w:val="ListParagraph"/>
        <w:numPr>
          <w:ilvl w:val="0"/>
          <w:numId w:val="57"/>
        </w:numPr>
        <w:rPr>
          <w:rFonts w:ascii="Arial" w:hAnsi="Arial" w:cs="Arial"/>
          <w:sz w:val="24"/>
          <w:szCs w:val="24"/>
        </w:rPr>
      </w:pPr>
      <w:r>
        <w:rPr>
          <w:rFonts w:ascii="Arial" w:hAnsi="Arial"/>
          <w:sz w:val="24"/>
          <w:szCs w:val="24"/>
        </w:rPr>
        <w:t xml:space="preserve">Activités réalisées sur des terrains miniers dans le cadre d’une licence ou d’un permis d’extraction d’agrégats en vigueur, lorsque les travaux ne sont pas effectués à des fins d’exploration minière (par exemple, les coûts associés aux exigences du plan d’implantation en vertu de la </w:t>
      </w:r>
      <w:r>
        <w:rPr>
          <w:rFonts w:ascii="Arial" w:hAnsi="Arial"/>
          <w:i/>
          <w:sz w:val="24"/>
          <w:szCs w:val="24"/>
        </w:rPr>
        <w:t>Loi sur les ressources en agrégats</w:t>
      </w:r>
      <w:r>
        <w:rPr>
          <w:rFonts w:ascii="Arial" w:hAnsi="Arial"/>
          <w:sz w:val="24"/>
          <w:szCs w:val="24"/>
        </w:rPr>
        <w:t xml:space="preserve">, le décapage, le creusement de tranchées, le dynamitage, le concassage, associés aux travaux </w:t>
      </w:r>
      <w:r>
        <w:rPr>
          <w:rFonts w:ascii="Arial" w:hAnsi="Arial"/>
          <w:sz w:val="24"/>
          <w:szCs w:val="24"/>
        </w:rPr>
        <w:lastRenderedPageBreak/>
        <w:t xml:space="preserve">de préproduction ou de production, la construction de plateformes, de routes d’accès et de bermes), l’échantillonnage et l’enlèvement d’agrégats. </w:t>
      </w:r>
    </w:p>
    <w:p w14:paraId="1B885533" w14:textId="77777777" w:rsidR="0024465B" w:rsidRDefault="00E45998" w:rsidP="00CF20AE">
      <w:pPr>
        <w:pStyle w:val="ListParagraph"/>
        <w:numPr>
          <w:ilvl w:val="0"/>
          <w:numId w:val="57"/>
        </w:numPr>
        <w:rPr>
          <w:rFonts w:ascii="Arial" w:hAnsi="Arial" w:cs="Arial"/>
          <w:sz w:val="24"/>
          <w:szCs w:val="24"/>
        </w:rPr>
      </w:pPr>
      <w:r>
        <w:rPr>
          <w:rFonts w:ascii="Arial" w:hAnsi="Arial"/>
          <w:sz w:val="24"/>
          <w:szCs w:val="24"/>
        </w:rPr>
        <w:t>Travaux réalisés conformément à un plan de fermeture actif.</w:t>
      </w:r>
    </w:p>
    <w:p w14:paraId="68926733" w14:textId="62100478" w:rsidR="00087F8F" w:rsidRPr="0024465B" w:rsidRDefault="00E45998" w:rsidP="00CF20AE">
      <w:pPr>
        <w:pStyle w:val="ListParagraph"/>
        <w:numPr>
          <w:ilvl w:val="0"/>
          <w:numId w:val="57"/>
        </w:numPr>
        <w:rPr>
          <w:rFonts w:ascii="Arial" w:hAnsi="Arial" w:cs="Arial"/>
          <w:sz w:val="24"/>
          <w:szCs w:val="24"/>
        </w:rPr>
      </w:pPr>
      <w:r>
        <w:rPr>
          <w:rFonts w:ascii="Arial" w:hAnsi="Arial"/>
          <w:sz w:val="24"/>
          <w:szCs w:val="24"/>
        </w:rPr>
        <w:t xml:space="preserve">Frais de kilométrage supérieurs aux derniers frais de kilométrage publiés pour les </w:t>
      </w:r>
      <w:r>
        <w:rPr>
          <w:rFonts w:ascii="Arial" w:hAnsi="Arial"/>
          <w:sz w:val="24"/>
          <w:szCs w:val="24"/>
          <w:shd w:val="clear" w:color="auto" w:fill="FFFFFF"/>
        </w:rPr>
        <w:t>kilomètres parcourus à des fins professionnelles</w:t>
      </w:r>
      <w:r>
        <w:rPr>
          <w:rFonts w:ascii="Arial" w:hAnsi="Arial"/>
          <w:sz w:val="24"/>
          <w:szCs w:val="24"/>
        </w:rPr>
        <w:t>, tels qu’ils sont établis par les allocations pour frais d’automobile et véhicule à moteur du gouvernement du Canada.</w:t>
      </w:r>
    </w:p>
    <w:p w14:paraId="2FD7FC20" w14:textId="4C3FA015" w:rsidR="00EF0252" w:rsidRPr="00816236" w:rsidRDefault="00EF0252" w:rsidP="00BA3B08">
      <w:pPr>
        <w:pStyle w:val="Heading1"/>
        <w:spacing w:after="240"/>
      </w:pPr>
      <w:bookmarkStart w:id="42" w:name="_Toc92362945"/>
      <w:bookmarkStart w:id="43" w:name="_Toc114481329"/>
      <w:r>
        <w:t>Montant des crédits pour les travaux</w:t>
      </w:r>
      <w:bookmarkEnd w:id="42"/>
      <w:bookmarkEnd w:id="43"/>
    </w:p>
    <w:p w14:paraId="62D587BC" w14:textId="714235FC" w:rsidR="00731CC0" w:rsidRPr="00CF20AE" w:rsidRDefault="00041F5F" w:rsidP="00CF20AE">
      <w:pPr>
        <w:rPr>
          <w:rFonts w:ascii="Arial" w:hAnsi="Arial" w:cs="Arial"/>
          <w:sz w:val="24"/>
          <w:szCs w:val="24"/>
        </w:rPr>
      </w:pPr>
      <w:r>
        <w:rPr>
          <w:rFonts w:ascii="Arial" w:hAnsi="Arial"/>
          <w:sz w:val="24"/>
          <w:szCs w:val="24"/>
        </w:rPr>
        <w:t>Les travaux décrits dans le rapport de travaux d’évaluation ne sont pas admissibles à des crédits de travail d’évaluation s’ils ont été exécutés plus de 60 mois avant le jour de la présentation du rapport au ministre. Le coût des consultations menées auprès de collectivités autochtones est admissible à des crédits de travail d’évaluation, même si elles ont été menées plus de 60 mois avant le jour de la présentation au ministre du rapport d’évaluation qui l’inclut, s’il est compris dans un rapport de travaux d’évaluation dans lequel figurent d’autres travaux d’évaluation liés à la consultation.</w:t>
      </w:r>
    </w:p>
    <w:p w14:paraId="63BD4172" w14:textId="4D6E7907" w:rsidR="00B82F5C" w:rsidRPr="00CF20AE" w:rsidRDefault="00B82F5C" w:rsidP="00CF20AE">
      <w:pPr>
        <w:rPr>
          <w:rFonts w:ascii="Arial" w:eastAsia="Times New Roman" w:hAnsi="Arial" w:cs="Arial"/>
          <w:sz w:val="24"/>
          <w:szCs w:val="24"/>
        </w:rPr>
      </w:pPr>
      <w:r>
        <w:rPr>
          <w:rFonts w:ascii="Arial" w:hAnsi="Arial"/>
          <w:sz w:val="24"/>
          <w:szCs w:val="24"/>
        </w:rPr>
        <w:t>Dans le cas des coûts et des dépenses des travaux d’évaluation, à l’exception des coûts de main-d’œuvre de la prospection primaire, les crédits équivalent à :</w:t>
      </w:r>
    </w:p>
    <w:p w14:paraId="4416A2DE" w14:textId="0E0ABF5A" w:rsidR="005D5171" w:rsidRDefault="00B82F5C" w:rsidP="00CF20AE">
      <w:pPr>
        <w:pStyle w:val="ListParagraph"/>
        <w:numPr>
          <w:ilvl w:val="0"/>
          <w:numId w:val="58"/>
        </w:numPr>
        <w:rPr>
          <w:rFonts w:ascii="Arial" w:eastAsia="Times New Roman" w:hAnsi="Arial" w:cs="Arial"/>
          <w:sz w:val="24"/>
          <w:szCs w:val="24"/>
        </w:rPr>
      </w:pPr>
      <w:r>
        <w:rPr>
          <w:rFonts w:ascii="Arial" w:hAnsi="Arial"/>
          <w:sz w:val="24"/>
          <w:szCs w:val="24"/>
        </w:rPr>
        <w:t>100 % de la somme dépensée si le rapport de travaux d’évaluation est soumis au ministre dans les 24 mois qui suivent leur exécution,</w:t>
      </w:r>
    </w:p>
    <w:p w14:paraId="1DE0CFCC" w14:textId="4362E5CC" w:rsidR="00B33F1D" w:rsidRPr="005D5171" w:rsidRDefault="00B82F5C" w:rsidP="00CF20AE">
      <w:pPr>
        <w:pStyle w:val="ListParagraph"/>
        <w:numPr>
          <w:ilvl w:val="0"/>
          <w:numId w:val="58"/>
        </w:numPr>
        <w:rPr>
          <w:rFonts w:ascii="Arial" w:eastAsia="Times New Roman" w:hAnsi="Arial" w:cs="Arial"/>
          <w:sz w:val="24"/>
          <w:szCs w:val="24"/>
        </w:rPr>
      </w:pPr>
      <w:r>
        <w:rPr>
          <w:rFonts w:ascii="Arial" w:hAnsi="Arial"/>
          <w:sz w:val="24"/>
          <w:szCs w:val="24"/>
        </w:rPr>
        <w:t>50 % de la somme dépensée si le rapport de travaux d’évaluation est soumis au ministre plus de 24 mois, mais au plus 60 mois après leur exécution.</w:t>
      </w:r>
    </w:p>
    <w:p w14:paraId="311C3B74" w14:textId="2471ACD7" w:rsidR="00B82F5C" w:rsidRPr="00CF20AE" w:rsidRDefault="00B82F5C" w:rsidP="00CF20AE">
      <w:pPr>
        <w:rPr>
          <w:rFonts w:ascii="Arial" w:eastAsia="Times New Roman" w:hAnsi="Arial" w:cs="Arial"/>
          <w:sz w:val="24"/>
          <w:szCs w:val="24"/>
        </w:rPr>
      </w:pPr>
      <w:r>
        <w:rPr>
          <w:rFonts w:ascii="Arial" w:hAnsi="Arial"/>
          <w:sz w:val="24"/>
          <w:szCs w:val="24"/>
        </w:rPr>
        <w:t>Dans le cas des coûts de main-d’œuvre de la prospection primaire, les crédits équivalent à :</w:t>
      </w:r>
    </w:p>
    <w:p w14:paraId="5B5CB14D" w14:textId="77777777" w:rsidR="00D274FE" w:rsidRDefault="00B82F5C" w:rsidP="00CF20AE">
      <w:pPr>
        <w:pStyle w:val="ListParagraph"/>
        <w:numPr>
          <w:ilvl w:val="0"/>
          <w:numId w:val="59"/>
        </w:numPr>
        <w:rPr>
          <w:rFonts w:ascii="Arial" w:eastAsia="Times New Roman" w:hAnsi="Arial" w:cs="Arial"/>
          <w:sz w:val="24"/>
          <w:szCs w:val="24"/>
        </w:rPr>
      </w:pPr>
      <w:r>
        <w:rPr>
          <w:rFonts w:ascii="Arial" w:hAnsi="Arial"/>
          <w:sz w:val="24"/>
          <w:szCs w:val="24"/>
        </w:rPr>
        <w:t>200 % de la somme dépensée si le rapport de travaux d’évaluation est soumis au ministre dans les 24 mois qui suivent leur exécution,</w:t>
      </w:r>
    </w:p>
    <w:p w14:paraId="5BDD458C" w14:textId="38C43CC9" w:rsidR="00B82F5C" w:rsidRPr="00D274FE" w:rsidRDefault="00B82F5C" w:rsidP="00CF20AE">
      <w:pPr>
        <w:pStyle w:val="ListParagraph"/>
        <w:numPr>
          <w:ilvl w:val="0"/>
          <w:numId w:val="59"/>
        </w:numPr>
        <w:rPr>
          <w:rFonts w:ascii="Arial" w:eastAsia="Times New Roman" w:hAnsi="Arial" w:cs="Arial"/>
          <w:sz w:val="24"/>
          <w:szCs w:val="24"/>
        </w:rPr>
      </w:pPr>
      <w:r>
        <w:rPr>
          <w:rFonts w:ascii="Arial" w:hAnsi="Arial"/>
          <w:sz w:val="24"/>
          <w:szCs w:val="24"/>
        </w:rPr>
        <w:t>100 % de la somme dépensée si le rapport de travaux d’évaluation est soumis au ministre plus de 24 mois, mais au plus 60 mois après leur exécution.</w:t>
      </w:r>
    </w:p>
    <w:p w14:paraId="52C1EC71" w14:textId="11E4BF24" w:rsidR="00B82F5C" w:rsidRPr="00CF20AE" w:rsidRDefault="00B82F5C" w:rsidP="00CF20AE">
      <w:pPr>
        <w:rPr>
          <w:rFonts w:ascii="Arial" w:eastAsia="Times New Roman" w:hAnsi="Arial" w:cs="Arial"/>
          <w:sz w:val="24"/>
          <w:szCs w:val="24"/>
        </w:rPr>
      </w:pPr>
      <w:r>
        <w:rPr>
          <w:rFonts w:ascii="Arial" w:hAnsi="Arial"/>
          <w:sz w:val="24"/>
          <w:szCs w:val="24"/>
        </w:rPr>
        <w:t xml:space="preserve">Dans le cas des coûts et des dépenses des travaux de prospection primaire et d’arpentage régional exécutés sur des terres de la Couronne qui sont admissibles à des crédits de travail d’évaluation, les crédits équivalent à ce qui suit : </w:t>
      </w:r>
    </w:p>
    <w:p w14:paraId="1689E91D" w14:textId="77777777" w:rsidR="00D274FE" w:rsidRDefault="00B82F5C" w:rsidP="00CF20AE">
      <w:pPr>
        <w:pStyle w:val="ListParagraph"/>
        <w:numPr>
          <w:ilvl w:val="0"/>
          <w:numId w:val="60"/>
        </w:numPr>
        <w:rPr>
          <w:rFonts w:ascii="Arial" w:eastAsia="Times New Roman" w:hAnsi="Arial" w:cs="Arial"/>
          <w:sz w:val="24"/>
          <w:szCs w:val="24"/>
        </w:rPr>
      </w:pPr>
      <w:r>
        <w:rPr>
          <w:rFonts w:ascii="Arial" w:hAnsi="Arial"/>
          <w:sz w:val="24"/>
          <w:szCs w:val="24"/>
        </w:rPr>
        <w:t>Pour les coûts et les dépenses autres que les coûts de main-d’œuvre de la prospection primaire, 50 % de la somme dépensée.</w:t>
      </w:r>
    </w:p>
    <w:p w14:paraId="15FF84C9" w14:textId="53203B25" w:rsidR="00D50EB0" w:rsidRPr="00D274FE" w:rsidRDefault="00D50EB0" w:rsidP="00CF20AE">
      <w:pPr>
        <w:pStyle w:val="ListParagraph"/>
        <w:numPr>
          <w:ilvl w:val="0"/>
          <w:numId w:val="60"/>
        </w:numPr>
        <w:rPr>
          <w:rFonts w:ascii="Arial" w:eastAsia="Times New Roman" w:hAnsi="Arial" w:cs="Arial"/>
          <w:sz w:val="24"/>
          <w:szCs w:val="24"/>
        </w:rPr>
      </w:pPr>
      <w:r>
        <w:rPr>
          <w:rFonts w:ascii="Arial" w:hAnsi="Arial"/>
          <w:sz w:val="24"/>
          <w:szCs w:val="24"/>
        </w:rPr>
        <w:t>Pour les coûts de main-d’œuvre de la prospection primaire, 100 % de la somme dépensée.</w:t>
      </w:r>
    </w:p>
    <w:p w14:paraId="474AD923" w14:textId="43C0BBE0" w:rsidR="00FB74F6" w:rsidRPr="00BA3B08" w:rsidRDefault="00FB74F6" w:rsidP="00BA3B08">
      <w:pPr>
        <w:pStyle w:val="Heading1"/>
      </w:pPr>
      <w:bookmarkStart w:id="44" w:name="_Toc529954819"/>
      <w:bookmarkStart w:id="45" w:name="_Toc92362946"/>
      <w:bookmarkStart w:id="46" w:name="_Toc114481330"/>
      <w:r w:rsidRPr="00BA3B08">
        <w:lastRenderedPageBreak/>
        <w:t>Contacter la Section des terrains miniers</w:t>
      </w:r>
      <w:bookmarkEnd w:id="44"/>
      <w:bookmarkEnd w:id="45"/>
      <w:bookmarkEnd w:id="46"/>
    </w:p>
    <w:p w14:paraId="1D78FA98" w14:textId="7C2A88C8" w:rsidR="00FB74F6" w:rsidRPr="00CF20AE" w:rsidRDefault="00FB74F6" w:rsidP="00CF20AE">
      <w:pPr>
        <w:rPr>
          <w:rFonts w:ascii="Arial" w:eastAsia="Times New Roman" w:hAnsi="Arial" w:cs="Arial"/>
          <w:sz w:val="24"/>
          <w:szCs w:val="24"/>
        </w:rPr>
      </w:pPr>
      <w:r>
        <w:rPr>
          <w:rFonts w:ascii="Arial" w:hAnsi="Arial"/>
          <w:sz w:val="24"/>
          <w:szCs w:val="24"/>
        </w:rPr>
        <w:t>Pour toute question concernant les coûts d’évaluation, veuillez contacter :</w:t>
      </w:r>
    </w:p>
    <w:p w14:paraId="45325BC1" w14:textId="234662FF" w:rsidR="00FB74F6" w:rsidRPr="00CF20AE" w:rsidRDefault="00FB74F6" w:rsidP="00D274FE">
      <w:pPr>
        <w:spacing w:after="0" w:line="240" w:lineRule="auto"/>
        <w:ind w:left="720"/>
        <w:rPr>
          <w:rFonts w:ascii="Arial" w:eastAsia="Times New Roman" w:hAnsi="Arial" w:cs="Arial"/>
          <w:sz w:val="24"/>
          <w:szCs w:val="24"/>
        </w:rPr>
      </w:pPr>
      <w:r>
        <w:rPr>
          <w:rFonts w:ascii="Arial" w:hAnsi="Arial"/>
          <w:sz w:val="24"/>
          <w:szCs w:val="24"/>
        </w:rPr>
        <w:t xml:space="preserve">Ministère </w:t>
      </w:r>
      <w:r w:rsidR="00BA3B08">
        <w:rPr>
          <w:rFonts w:ascii="Arial" w:hAnsi="Arial"/>
          <w:sz w:val="24"/>
          <w:szCs w:val="24"/>
        </w:rPr>
        <w:t>des Mines</w:t>
      </w:r>
    </w:p>
    <w:p w14:paraId="37F6E058" w14:textId="5188EE5C" w:rsidR="00FB74F6" w:rsidRPr="00CF20AE" w:rsidRDefault="00FB74F6" w:rsidP="00D274FE">
      <w:pPr>
        <w:spacing w:after="0" w:line="240" w:lineRule="auto"/>
        <w:ind w:left="720"/>
        <w:rPr>
          <w:rFonts w:ascii="Arial" w:eastAsia="Times New Roman" w:hAnsi="Arial" w:cs="Arial"/>
          <w:sz w:val="24"/>
          <w:szCs w:val="24"/>
        </w:rPr>
      </w:pPr>
      <w:r>
        <w:rPr>
          <w:rFonts w:ascii="Arial" w:hAnsi="Arial"/>
          <w:sz w:val="24"/>
          <w:szCs w:val="24"/>
        </w:rPr>
        <w:t>Section des terrains miniers</w:t>
      </w:r>
    </w:p>
    <w:p w14:paraId="0D2D16B7" w14:textId="60EDB960" w:rsidR="00821622" w:rsidRPr="00CF20AE" w:rsidRDefault="00821622" w:rsidP="00D274FE">
      <w:pPr>
        <w:spacing w:after="0" w:line="240" w:lineRule="auto"/>
        <w:ind w:left="720"/>
        <w:rPr>
          <w:rFonts w:ascii="Arial" w:eastAsia="Times New Roman" w:hAnsi="Arial" w:cs="Arial"/>
          <w:sz w:val="24"/>
          <w:szCs w:val="24"/>
        </w:rPr>
      </w:pPr>
      <w:r>
        <w:rPr>
          <w:rFonts w:ascii="Arial" w:hAnsi="Arial"/>
          <w:sz w:val="24"/>
          <w:szCs w:val="24"/>
        </w:rPr>
        <w:t>Unité de la tenure minière et de l’évaluation</w:t>
      </w:r>
    </w:p>
    <w:p w14:paraId="150952A8" w14:textId="77777777" w:rsidR="00FB74F6" w:rsidRPr="00BA3B08" w:rsidRDefault="00FB74F6" w:rsidP="00D274FE">
      <w:pPr>
        <w:spacing w:after="0" w:line="240" w:lineRule="auto"/>
        <w:ind w:left="720"/>
        <w:rPr>
          <w:rFonts w:ascii="Arial" w:eastAsia="Times New Roman" w:hAnsi="Arial" w:cs="Arial"/>
          <w:sz w:val="24"/>
          <w:szCs w:val="24"/>
          <w:lang w:val="en-CA"/>
        </w:rPr>
      </w:pPr>
      <w:r w:rsidRPr="00BA3B08">
        <w:rPr>
          <w:rFonts w:ascii="Arial" w:hAnsi="Arial"/>
          <w:sz w:val="24"/>
          <w:szCs w:val="24"/>
          <w:lang w:val="en-CA"/>
        </w:rPr>
        <w:t>B-3, 933 Ramsey Lake Road</w:t>
      </w:r>
    </w:p>
    <w:p w14:paraId="21B4C3D6" w14:textId="77777777" w:rsidR="00FB74F6" w:rsidRPr="00BA3B08" w:rsidRDefault="00FB74F6" w:rsidP="00D274FE">
      <w:pPr>
        <w:spacing w:after="0" w:line="240" w:lineRule="auto"/>
        <w:ind w:left="720"/>
        <w:rPr>
          <w:rFonts w:ascii="Arial" w:eastAsia="Times New Roman" w:hAnsi="Arial" w:cs="Arial"/>
          <w:sz w:val="24"/>
          <w:szCs w:val="24"/>
          <w:lang w:val="en-CA"/>
        </w:rPr>
      </w:pPr>
      <w:r w:rsidRPr="00BA3B08">
        <w:rPr>
          <w:rFonts w:ascii="Arial" w:hAnsi="Arial"/>
          <w:sz w:val="24"/>
          <w:szCs w:val="24"/>
          <w:lang w:val="en-CA"/>
        </w:rPr>
        <w:t>Centre Willet Green Millet</w:t>
      </w:r>
    </w:p>
    <w:p w14:paraId="2EC9A330" w14:textId="77777777" w:rsidR="00FB74F6" w:rsidRPr="00CF20AE" w:rsidRDefault="00FB74F6" w:rsidP="00D274FE">
      <w:pPr>
        <w:spacing w:after="0" w:line="240" w:lineRule="auto"/>
        <w:ind w:left="720"/>
        <w:rPr>
          <w:rFonts w:ascii="Arial" w:eastAsia="Times New Roman" w:hAnsi="Arial" w:cs="Arial"/>
          <w:sz w:val="24"/>
          <w:szCs w:val="24"/>
        </w:rPr>
      </w:pPr>
      <w:r>
        <w:rPr>
          <w:rFonts w:ascii="Arial" w:hAnsi="Arial"/>
          <w:sz w:val="24"/>
          <w:szCs w:val="24"/>
        </w:rPr>
        <w:t>Sudbury (Ontario)  P3E 6B5</w:t>
      </w:r>
    </w:p>
    <w:p w14:paraId="088635FE" w14:textId="77777777" w:rsidR="00FB74F6" w:rsidRPr="00CF20AE" w:rsidRDefault="00FB74F6" w:rsidP="00D274FE">
      <w:pPr>
        <w:spacing w:after="0" w:line="240" w:lineRule="auto"/>
        <w:ind w:left="720"/>
        <w:rPr>
          <w:rFonts w:ascii="Arial" w:eastAsia="Times New Roman" w:hAnsi="Arial" w:cs="Arial"/>
          <w:sz w:val="24"/>
          <w:szCs w:val="24"/>
        </w:rPr>
      </w:pPr>
      <w:r>
        <w:rPr>
          <w:rFonts w:ascii="Arial" w:hAnsi="Arial"/>
          <w:sz w:val="24"/>
          <w:szCs w:val="24"/>
        </w:rPr>
        <w:t>Téléphone sans frais : 1 888 415-9845</w:t>
      </w:r>
    </w:p>
    <w:p w14:paraId="1FD204AD" w14:textId="254EBC60" w:rsidR="00FB74F6" w:rsidRPr="00CF20AE" w:rsidRDefault="00FB74F6" w:rsidP="00D274FE">
      <w:pPr>
        <w:spacing w:after="0" w:line="240" w:lineRule="auto"/>
        <w:ind w:left="720"/>
        <w:rPr>
          <w:rFonts w:ascii="Arial" w:eastAsia="Times New Roman" w:hAnsi="Arial" w:cs="Arial"/>
          <w:sz w:val="24"/>
          <w:szCs w:val="24"/>
        </w:rPr>
      </w:pPr>
      <w:r>
        <w:rPr>
          <w:rFonts w:ascii="Arial" w:hAnsi="Arial"/>
          <w:sz w:val="24"/>
          <w:szCs w:val="24"/>
        </w:rPr>
        <w:t>Courriel : mlas.ltau@ontario.ca</w:t>
      </w:r>
    </w:p>
    <w:p w14:paraId="752B44B9" w14:textId="77777777" w:rsidR="00BD224A" w:rsidRPr="00BA3B08" w:rsidRDefault="00BD224A" w:rsidP="00D274FE">
      <w:pPr>
        <w:rPr>
          <w:rFonts w:ascii="Arial" w:eastAsia="Times New Roman" w:hAnsi="Arial" w:cs="Arial"/>
          <w:sz w:val="24"/>
          <w:szCs w:val="24"/>
          <w:lang w:eastAsia="en-CA"/>
        </w:rPr>
      </w:pPr>
    </w:p>
    <w:p w14:paraId="146C333B" w14:textId="77777777" w:rsidR="00BA3BC7" w:rsidRPr="00BA3B08" w:rsidRDefault="00BA3BC7" w:rsidP="00CF20AE">
      <w:pPr>
        <w:rPr>
          <w:rFonts w:ascii="Arial" w:eastAsia="Times New Roman" w:hAnsi="Arial" w:cs="Arial"/>
          <w:sz w:val="24"/>
          <w:szCs w:val="24"/>
          <w:lang w:eastAsia="en-CA"/>
        </w:rPr>
      </w:pPr>
    </w:p>
    <w:p w14:paraId="1F9AC0F8" w14:textId="77777777" w:rsidR="00BA3BC7" w:rsidRPr="00BA3B08" w:rsidRDefault="00BA3BC7" w:rsidP="00CF20AE">
      <w:pPr>
        <w:rPr>
          <w:rFonts w:ascii="Arial" w:eastAsia="Times New Roman" w:hAnsi="Arial" w:cs="Arial"/>
          <w:sz w:val="24"/>
          <w:szCs w:val="24"/>
          <w:lang w:eastAsia="en-CA"/>
        </w:rPr>
      </w:pPr>
    </w:p>
    <w:p w14:paraId="36065C6A" w14:textId="77777777" w:rsidR="00BA3BC7" w:rsidRPr="00BA3B08" w:rsidRDefault="00BA3BC7" w:rsidP="00CF20AE">
      <w:pPr>
        <w:rPr>
          <w:rFonts w:ascii="Arial" w:eastAsia="Times New Roman" w:hAnsi="Arial" w:cs="Arial"/>
          <w:sz w:val="24"/>
          <w:szCs w:val="24"/>
          <w:lang w:eastAsia="en-CA"/>
        </w:rPr>
      </w:pPr>
    </w:p>
    <w:p w14:paraId="79513085" w14:textId="77777777" w:rsidR="00BA3BC7" w:rsidRPr="00BA3B08" w:rsidRDefault="00BA3BC7" w:rsidP="00CF20AE">
      <w:pPr>
        <w:rPr>
          <w:rFonts w:ascii="Arial" w:eastAsia="Times New Roman" w:hAnsi="Arial" w:cs="Arial"/>
          <w:sz w:val="24"/>
          <w:szCs w:val="24"/>
          <w:lang w:eastAsia="en-CA"/>
        </w:rPr>
      </w:pPr>
    </w:p>
    <w:p w14:paraId="57414C9A" w14:textId="77777777" w:rsidR="00BA3BC7" w:rsidRPr="00BA3B08" w:rsidRDefault="00BA3BC7" w:rsidP="00CF20AE">
      <w:pPr>
        <w:rPr>
          <w:rFonts w:ascii="Arial" w:eastAsia="Times New Roman" w:hAnsi="Arial" w:cs="Arial"/>
          <w:sz w:val="24"/>
          <w:szCs w:val="24"/>
          <w:lang w:eastAsia="en-CA"/>
        </w:rPr>
      </w:pPr>
    </w:p>
    <w:p w14:paraId="38D209AA" w14:textId="77777777" w:rsidR="00BA3BC7" w:rsidRPr="00BA3B08" w:rsidRDefault="00BA3BC7" w:rsidP="00CF20AE">
      <w:pPr>
        <w:rPr>
          <w:rFonts w:ascii="Arial" w:eastAsia="Times New Roman" w:hAnsi="Arial" w:cs="Arial"/>
          <w:sz w:val="24"/>
          <w:szCs w:val="24"/>
          <w:lang w:eastAsia="en-CA"/>
        </w:rPr>
      </w:pPr>
    </w:p>
    <w:p w14:paraId="0CEFF742" w14:textId="77777777" w:rsidR="00BA3BC7" w:rsidRPr="00BA3B08" w:rsidRDefault="00BA3BC7" w:rsidP="00CF20AE">
      <w:pPr>
        <w:rPr>
          <w:rFonts w:ascii="Arial" w:eastAsia="Times New Roman" w:hAnsi="Arial" w:cs="Arial"/>
          <w:sz w:val="24"/>
          <w:szCs w:val="24"/>
          <w:lang w:eastAsia="en-CA"/>
        </w:rPr>
      </w:pPr>
    </w:p>
    <w:p w14:paraId="67757E54" w14:textId="77777777" w:rsidR="00BA3BC7" w:rsidRPr="00BA3B08" w:rsidRDefault="00BA3BC7" w:rsidP="00CF20AE">
      <w:pPr>
        <w:rPr>
          <w:rFonts w:ascii="Arial" w:eastAsia="Times New Roman" w:hAnsi="Arial" w:cs="Arial"/>
          <w:sz w:val="24"/>
          <w:szCs w:val="24"/>
          <w:lang w:eastAsia="en-CA"/>
        </w:rPr>
      </w:pPr>
    </w:p>
    <w:p w14:paraId="37AAF6CC" w14:textId="77777777" w:rsidR="00BA3BC7" w:rsidRPr="00BA3B08" w:rsidRDefault="00BA3BC7" w:rsidP="00CF20AE">
      <w:pPr>
        <w:rPr>
          <w:rFonts w:ascii="Arial" w:eastAsia="Times New Roman" w:hAnsi="Arial" w:cs="Arial"/>
          <w:sz w:val="24"/>
          <w:szCs w:val="24"/>
          <w:lang w:eastAsia="en-CA"/>
        </w:rPr>
      </w:pPr>
    </w:p>
    <w:p w14:paraId="61760F2C" w14:textId="77777777" w:rsidR="00BA3BC7" w:rsidRPr="00BA3B08" w:rsidRDefault="00BA3BC7" w:rsidP="00CF20AE">
      <w:pPr>
        <w:rPr>
          <w:rFonts w:ascii="Arial" w:eastAsia="Times New Roman" w:hAnsi="Arial" w:cs="Arial"/>
          <w:sz w:val="24"/>
          <w:szCs w:val="24"/>
          <w:lang w:eastAsia="en-CA"/>
        </w:rPr>
      </w:pPr>
    </w:p>
    <w:p w14:paraId="38678F0B" w14:textId="77777777" w:rsidR="00BA3BC7" w:rsidRPr="00BA3B08" w:rsidRDefault="00BA3BC7" w:rsidP="00CF20AE">
      <w:pPr>
        <w:rPr>
          <w:rFonts w:ascii="Arial" w:eastAsia="Times New Roman" w:hAnsi="Arial" w:cs="Arial"/>
          <w:sz w:val="24"/>
          <w:szCs w:val="24"/>
          <w:lang w:eastAsia="en-CA"/>
        </w:rPr>
      </w:pPr>
    </w:p>
    <w:p w14:paraId="03A09F44" w14:textId="77777777" w:rsidR="00BA3BC7" w:rsidRPr="00BA3B08" w:rsidRDefault="00BA3BC7" w:rsidP="00CF20AE">
      <w:pPr>
        <w:rPr>
          <w:rFonts w:ascii="Arial" w:eastAsia="Times New Roman" w:hAnsi="Arial" w:cs="Arial"/>
          <w:sz w:val="24"/>
          <w:szCs w:val="24"/>
          <w:lang w:eastAsia="en-CA"/>
        </w:rPr>
      </w:pPr>
    </w:p>
    <w:p w14:paraId="22D703A7" w14:textId="77777777" w:rsidR="00D274FE" w:rsidRPr="00BA3B08" w:rsidRDefault="00D274FE" w:rsidP="00CF20AE">
      <w:pPr>
        <w:rPr>
          <w:rFonts w:ascii="Arial" w:eastAsia="Times New Roman" w:hAnsi="Arial" w:cs="Arial"/>
          <w:b/>
          <w:bCs/>
          <w:sz w:val="28"/>
          <w:szCs w:val="28"/>
          <w:lang w:eastAsia="en-CA"/>
        </w:rPr>
      </w:pPr>
    </w:p>
    <w:p w14:paraId="6AC697EF" w14:textId="77777777" w:rsidR="00D274FE" w:rsidRPr="00BA3B08" w:rsidRDefault="00D274FE" w:rsidP="00CF20AE">
      <w:pPr>
        <w:rPr>
          <w:rFonts w:ascii="Arial" w:eastAsia="Times New Roman" w:hAnsi="Arial" w:cs="Arial"/>
          <w:b/>
          <w:bCs/>
          <w:sz w:val="28"/>
          <w:szCs w:val="28"/>
          <w:lang w:eastAsia="en-CA"/>
        </w:rPr>
      </w:pPr>
    </w:p>
    <w:p w14:paraId="533DC812" w14:textId="77777777" w:rsidR="00D274FE" w:rsidRPr="00BA3B08" w:rsidRDefault="00D274FE" w:rsidP="00CF20AE">
      <w:pPr>
        <w:rPr>
          <w:rFonts w:ascii="Arial" w:eastAsia="Times New Roman" w:hAnsi="Arial" w:cs="Arial"/>
          <w:b/>
          <w:bCs/>
          <w:sz w:val="28"/>
          <w:szCs w:val="28"/>
          <w:lang w:eastAsia="en-CA"/>
        </w:rPr>
      </w:pPr>
    </w:p>
    <w:p w14:paraId="670CD1A4" w14:textId="77777777" w:rsidR="00810A4B" w:rsidRPr="00BA3B08" w:rsidRDefault="00810A4B" w:rsidP="00CF20AE">
      <w:pPr>
        <w:rPr>
          <w:rFonts w:ascii="Arial" w:eastAsia="Times New Roman" w:hAnsi="Arial" w:cs="Arial"/>
          <w:b/>
          <w:bCs/>
          <w:sz w:val="28"/>
          <w:szCs w:val="28"/>
          <w:lang w:eastAsia="en-CA"/>
        </w:rPr>
      </w:pPr>
    </w:p>
    <w:p w14:paraId="2A29C672" w14:textId="1FAEC055" w:rsidR="00BA3B08" w:rsidRDefault="00BA3B08" w:rsidP="00BA3B08">
      <w:bookmarkStart w:id="47" w:name="_Toc92362947"/>
    </w:p>
    <w:p w14:paraId="0E154A35" w14:textId="77777777" w:rsidR="00BA3B08" w:rsidRPr="00BA3B08" w:rsidRDefault="00BA3B08" w:rsidP="00BA3B08"/>
    <w:p w14:paraId="5F2D5D67" w14:textId="17C98CC3" w:rsidR="00827661" w:rsidRPr="00590FDF" w:rsidRDefault="00827661" w:rsidP="00BA3B08">
      <w:pPr>
        <w:pStyle w:val="Heading1"/>
        <w:rPr>
          <w:rFonts w:eastAsia="Times New Roman"/>
        </w:rPr>
      </w:pPr>
      <w:bookmarkStart w:id="48" w:name="_Toc114481331"/>
      <w:r>
        <w:lastRenderedPageBreak/>
        <w:t>Détails concernant les pouvoirs</w:t>
      </w:r>
      <w:bookmarkEnd w:id="47"/>
      <w:bookmarkEnd w:id="48"/>
    </w:p>
    <w:p w14:paraId="3500547F" w14:textId="6BDB956B" w:rsidR="00B431C5" w:rsidRPr="00590FDF" w:rsidRDefault="00B431C5" w:rsidP="00590FDF">
      <w:pPr>
        <w:pStyle w:val="Heading2"/>
        <w:spacing w:after="240"/>
        <w:rPr>
          <w:sz w:val="24"/>
          <w:szCs w:val="22"/>
          <w:u w:val="single"/>
        </w:rPr>
      </w:pPr>
      <w:bookmarkStart w:id="49" w:name="_Toc92362948"/>
      <w:bookmarkStart w:id="50" w:name="_Toc114481332"/>
      <w:r>
        <w:rPr>
          <w:rStyle w:val="Hyperlink"/>
          <w:color w:val="auto"/>
          <w:sz w:val="24"/>
          <w:szCs w:val="22"/>
        </w:rPr>
        <w:t>Loi sur les mines, L.R.O. 1990, chap. M.14</w:t>
      </w:r>
      <w:bookmarkEnd w:id="49"/>
      <w:bookmarkEnd w:id="50"/>
      <w:r>
        <w:rPr>
          <w:sz w:val="24"/>
          <w:szCs w:val="22"/>
          <w:u w:val="single"/>
        </w:rPr>
        <w:t> </w:t>
      </w:r>
    </w:p>
    <w:p w14:paraId="66B2F857" w14:textId="77777777" w:rsidR="00B431C5" w:rsidRPr="005F7C9F" w:rsidRDefault="00B431C5" w:rsidP="005F7C9F">
      <w:pPr>
        <w:pStyle w:val="Heading2"/>
        <w:spacing w:after="240"/>
        <w:rPr>
          <w:rFonts w:eastAsia="Times New Roman"/>
          <w:sz w:val="24"/>
          <w:szCs w:val="22"/>
        </w:rPr>
      </w:pPr>
      <w:bookmarkStart w:id="51" w:name="_Toc92362949"/>
      <w:bookmarkStart w:id="52" w:name="_Toc114481333"/>
      <w:r>
        <w:rPr>
          <w:sz w:val="24"/>
          <w:szCs w:val="22"/>
        </w:rPr>
        <w:t>Travaux d’évaluation ou paiements</w:t>
      </w:r>
      <w:bookmarkEnd w:id="51"/>
      <w:bookmarkEnd w:id="52"/>
    </w:p>
    <w:p w14:paraId="7AEE0C60" w14:textId="77777777" w:rsidR="00B431C5" w:rsidRPr="00CF20AE" w:rsidRDefault="00B431C5" w:rsidP="00CF20AE">
      <w:pPr>
        <w:rPr>
          <w:rFonts w:ascii="Arial" w:eastAsia="Times New Roman" w:hAnsi="Arial" w:cs="Arial"/>
          <w:sz w:val="24"/>
          <w:szCs w:val="24"/>
        </w:rPr>
      </w:pPr>
      <w:r>
        <w:rPr>
          <w:rFonts w:ascii="Arial" w:hAnsi="Arial"/>
          <w:sz w:val="24"/>
          <w:szCs w:val="24"/>
        </w:rPr>
        <w:t>65 (1) Après l’inscription d’un claim, le titulaire du claim exécute ou fait exécuter les unités de travail d’évaluation devant être exécutées chaque année conformément aux règlements ou peut, dans les circonstances prescrites et dans la mesure que permettent les règlements, effectuer à leur place des paiements conformément aux règlements. 2017, chap. 6, annexe 2, par. 42 (1).</w:t>
      </w:r>
    </w:p>
    <w:p w14:paraId="6F0E4EC8" w14:textId="31220C78" w:rsidR="00B431C5" w:rsidRPr="005F7C9F" w:rsidRDefault="00B431C5" w:rsidP="005F7C9F">
      <w:pPr>
        <w:pStyle w:val="Heading2"/>
        <w:spacing w:after="240"/>
        <w:rPr>
          <w:rFonts w:eastAsia="Times New Roman"/>
          <w:sz w:val="24"/>
          <w:szCs w:val="24"/>
        </w:rPr>
      </w:pPr>
      <w:bookmarkStart w:id="53" w:name="_Toc92362950"/>
      <w:bookmarkStart w:id="54" w:name="_Toc114481334"/>
      <w:r>
        <w:rPr>
          <w:sz w:val="24"/>
          <w:szCs w:val="24"/>
        </w:rPr>
        <w:t>Rapport</w:t>
      </w:r>
      <w:bookmarkEnd w:id="53"/>
      <w:bookmarkEnd w:id="54"/>
    </w:p>
    <w:p w14:paraId="12F135FC" w14:textId="77777777" w:rsidR="00B431C5" w:rsidRPr="00CF20AE" w:rsidRDefault="00B431C5" w:rsidP="00CF20AE">
      <w:pPr>
        <w:rPr>
          <w:rFonts w:ascii="Arial" w:eastAsia="Times New Roman" w:hAnsi="Arial" w:cs="Arial"/>
          <w:sz w:val="24"/>
          <w:szCs w:val="24"/>
        </w:rPr>
      </w:pPr>
      <w:r>
        <w:rPr>
          <w:rFonts w:ascii="Arial" w:hAnsi="Arial"/>
          <w:sz w:val="24"/>
          <w:szCs w:val="24"/>
        </w:rPr>
        <w:t>(2) Chaque titulaire de claim soumet un rapport sur les travaux d’évaluation exécutés et sur les paiements effectués pour se conformer au paragraphe (1) et y joint les autres renseignements prescrits.  2009, chap. 21, art. 33.</w:t>
      </w:r>
    </w:p>
    <w:p w14:paraId="0658F43B" w14:textId="0F7461AA" w:rsidR="00B431C5" w:rsidRPr="00CF20AE" w:rsidRDefault="008B6AA6" w:rsidP="00CF20AE">
      <w:pPr>
        <w:rPr>
          <w:rFonts w:ascii="Arial" w:eastAsia="Times New Roman" w:hAnsi="Arial" w:cs="Arial"/>
          <w:sz w:val="24"/>
          <w:szCs w:val="24"/>
        </w:rPr>
      </w:pPr>
      <w:r>
        <w:rPr>
          <w:rFonts w:ascii="Arial" w:hAnsi="Arial"/>
          <w:sz w:val="24"/>
          <w:szCs w:val="24"/>
        </w:rPr>
        <w:t>Crédits</w:t>
      </w:r>
    </w:p>
    <w:p w14:paraId="1D9E3E7F" w14:textId="128D8FB8" w:rsidR="00B431C5" w:rsidRPr="00CF20AE" w:rsidRDefault="00B431C5" w:rsidP="00CF20AE">
      <w:pPr>
        <w:rPr>
          <w:rFonts w:ascii="Arial" w:eastAsia="Times New Roman" w:hAnsi="Arial" w:cs="Arial"/>
          <w:sz w:val="24"/>
          <w:szCs w:val="24"/>
        </w:rPr>
      </w:pPr>
      <w:r>
        <w:rPr>
          <w:rFonts w:ascii="Arial" w:hAnsi="Arial"/>
          <w:sz w:val="24"/>
          <w:szCs w:val="24"/>
        </w:rPr>
        <w:t>(5) Pour l’application du paragraphe (1), les crédits de travail d’évaluation sont calculés en fonction des sommes d’argent dépensées.  2009, chap. 21, art. 33.</w:t>
      </w:r>
    </w:p>
    <w:p w14:paraId="4D2757BC" w14:textId="3791D391" w:rsidR="00B431C5" w:rsidRPr="00A14879" w:rsidRDefault="00B431C5" w:rsidP="00A14879">
      <w:pPr>
        <w:pStyle w:val="Heading2"/>
        <w:spacing w:after="240"/>
        <w:rPr>
          <w:rFonts w:eastAsia="Times New Roman"/>
          <w:sz w:val="24"/>
          <w:szCs w:val="22"/>
        </w:rPr>
      </w:pPr>
      <w:bookmarkStart w:id="55" w:name="_Toc92362951"/>
      <w:bookmarkStart w:id="56" w:name="_Toc114481335"/>
      <w:r>
        <w:rPr>
          <w:sz w:val="24"/>
          <w:szCs w:val="22"/>
        </w:rPr>
        <w:t>Genres de travaux admissibles</w:t>
      </w:r>
      <w:bookmarkEnd w:id="55"/>
      <w:bookmarkEnd w:id="56"/>
    </w:p>
    <w:p w14:paraId="795DB36A" w14:textId="1627F8FB" w:rsidR="00B431C5" w:rsidRPr="00CF20AE" w:rsidRDefault="00B431C5" w:rsidP="00CF20AE">
      <w:pPr>
        <w:rPr>
          <w:rFonts w:ascii="Arial" w:eastAsia="Times New Roman" w:hAnsi="Arial" w:cs="Arial"/>
          <w:sz w:val="24"/>
          <w:szCs w:val="24"/>
        </w:rPr>
      </w:pPr>
      <w:r>
        <w:rPr>
          <w:rFonts w:ascii="Arial" w:hAnsi="Arial"/>
          <w:sz w:val="24"/>
          <w:szCs w:val="24"/>
        </w:rPr>
        <w:t>66 (1) Les genres de travaux pour lesquels des crédits de travail d’évaluation peuvent être accordés, les modes de calcul et d’approbation des crédits pour les travaux exécutés ou les paiements effectués à la place de tels travaux ainsi que l’allocation des crédits de travail d’évaluation aux claims sont fixés conformément aux règlements.  2009, chap. 21, par. 34 (1); 2017, chap. 6, annexe 2, par. 43 (1).</w:t>
      </w:r>
    </w:p>
    <w:p w14:paraId="0B185D1B" w14:textId="77777777" w:rsidR="00B431C5" w:rsidRPr="00100207" w:rsidRDefault="00B431C5" w:rsidP="00100207">
      <w:pPr>
        <w:pStyle w:val="Heading2"/>
        <w:spacing w:after="240"/>
        <w:rPr>
          <w:rFonts w:eastAsia="Times New Roman"/>
          <w:sz w:val="24"/>
          <w:szCs w:val="22"/>
        </w:rPr>
      </w:pPr>
      <w:bookmarkStart w:id="57" w:name="_Toc92362952"/>
      <w:bookmarkStart w:id="58" w:name="_Toc114481336"/>
      <w:r>
        <w:rPr>
          <w:sz w:val="24"/>
          <w:szCs w:val="22"/>
        </w:rPr>
        <w:t>Prospection et arpentage régional</w:t>
      </w:r>
      <w:bookmarkEnd w:id="57"/>
      <w:bookmarkEnd w:id="58"/>
    </w:p>
    <w:p w14:paraId="40B89D7D" w14:textId="65C0D64E" w:rsidR="00B431C5" w:rsidRPr="00CF20AE" w:rsidRDefault="00B431C5" w:rsidP="00CF20AE">
      <w:pPr>
        <w:rPr>
          <w:rFonts w:ascii="Arial" w:eastAsia="Times New Roman" w:hAnsi="Arial" w:cs="Arial"/>
          <w:sz w:val="24"/>
          <w:szCs w:val="24"/>
        </w:rPr>
      </w:pPr>
      <w:r>
        <w:rPr>
          <w:rFonts w:ascii="Arial" w:hAnsi="Arial"/>
          <w:sz w:val="24"/>
          <w:szCs w:val="24"/>
        </w:rPr>
        <w:t>(2) Des crédits de travail d’évaluation peuvent être accordés de la manière prescrite pour les travaux de prospection et les arpentages régionaux exécutés sur des terres de la Couronne avant que ne soit inscrit un claim.  L.R.O. 1990, chap. M.14, par. 66 (2); 1996, chap. 1, annexe O, art. 17; 2009, chap. 21, par. 34 (2); 2017, chap. 6, annexe 2, par. 43 (2).</w:t>
      </w:r>
    </w:p>
    <w:p w14:paraId="29C89669" w14:textId="77069FA6" w:rsidR="00B431C5" w:rsidRPr="00100207" w:rsidRDefault="00B431C5" w:rsidP="00100207">
      <w:pPr>
        <w:pStyle w:val="Heading2"/>
        <w:rPr>
          <w:rFonts w:eastAsia="Times New Roman"/>
          <w:sz w:val="24"/>
          <w:szCs w:val="22"/>
        </w:rPr>
      </w:pPr>
      <w:r>
        <w:rPr>
          <w:sz w:val="24"/>
          <w:szCs w:val="22"/>
        </w:rPr>
        <w:t xml:space="preserve"> </w:t>
      </w:r>
      <w:bookmarkStart w:id="59" w:name="_Toc92362953"/>
      <w:bookmarkStart w:id="60" w:name="_Toc114481337"/>
      <w:r>
        <w:rPr>
          <w:sz w:val="24"/>
          <w:szCs w:val="22"/>
        </w:rPr>
        <w:t>Décision</w:t>
      </w:r>
      <w:bookmarkEnd w:id="59"/>
      <w:bookmarkEnd w:id="60"/>
    </w:p>
    <w:p w14:paraId="0F3F06B9" w14:textId="77777777" w:rsidR="00B431C5" w:rsidRPr="00CF20AE" w:rsidRDefault="00B431C5" w:rsidP="00CF20AE">
      <w:pPr>
        <w:rPr>
          <w:rFonts w:ascii="Arial" w:eastAsia="Times New Roman" w:hAnsi="Arial" w:cs="Arial"/>
          <w:sz w:val="24"/>
          <w:szCs w:val="24"/>
        </w:rPr>
      </w:pPr>
      <w:r>
        <w:rPr>
          <w:rFonts w:ascii="Arial" w:hAnsi="Arial"/>
          <w:sz w:val="24"/>
          <w:szCs w:val="24"/>
        </w:rPr>
        <w:t>(4) Relativement à tout rapport sur les travaux d’évaluation exécutés ou sur les paiements effectués qui est soumis par un titulaire de claim en application de l’article 65, le ministre, selon les règles prescrites :</w:t>
      </w:r>
    </w:p>
    <w:p w14:paraId="7FF1B31B" w14:textId="04587297" w:rsidR="00B431C5" w:rsidRPr="00CF20AE" w:rsidRDefault="00B431C5" w:rsidP="00236DB8">
      <w:pPr>
        <w:ind w:firstLine="720"/>
        <w:rPr>
          <w:rFonts w:ascii="Arial" w:eastAsia="Times New Roman" w:hAnsi="Arial" w:cs="Arial"/>
          <w:sz w:val="24"/>
          <w:szCs w:val="24"/>
        </w:rPr>
      </w:pPr>
      <w:r>
        <w:rPr>
          <w:rFonts w:ascii="Arial" w:hAnsi="Arial"/>
          <w:sz w:val="24"/>
          <w:szCs w:val="24"/>
        </w:rPr>
        <w:lastRenderedPageBreak/>
        <w:t>a) décide si des crédits de travail d’évaluation peuvent être accordés pour le genre de travaux faisant l’objet du rapport;</w:t>
      </w:r>
    </w:p>
    <w:p w14:paraId="76711315" w14:textId="7C9ECCCF" w:rsidR="00B431C5" w:rsidRPr="00CF20AE" w:rsidRDefault="00B431C5" w:rsidP="00236DB8">
      <w:pPr>
        <w:ind w:left="720"/>
        <w:rPr>
          <w:rFonts w:ascii="Arial" w:eastAsia="Times New Roman" w:hAnsi="Arial" w:cs="Arial"/>
          <w:sz w:val="24"/>
          <w:szCs w:val="24"/>
        </w:rPr>
      </w:pPr>
      <w:r>
        <w:rPr>
          <w:rFonts w:ascii="Arial" w:hAnsi="Arial"/>
          <w:sz w:val="24"/>
          <w:szCs w:val="24"/>
        </w:rPr>
        <w:t>b) fixe le montant des crédits de travail d’évaluation à accorder aux travaux faisant l’objet du rapport ainsi que l’allocation de ces crédits aux claims. 2017, chap. 6, annexe 2, par. 43 (3).</w:t>
      </w:r>
    </w:p>
    <w:p w14:paraId="0BA71B72" w14:textId="032A5A45" w:rsidR="00827661" w:rsidRPr="00100207" w:rsidRDefault="00827661" w:rsidP="00100207">
      <w:pPr>
        <w:pStyle w:val="Heading2"/>
        <w:spacing w:after="240"/>
        <w:rPr>
          <w:sz w:val="24"/>
          <w:szCs w:val="22"/>
          <w:u w:val="single"/>
        </w:rPr>
      </w:pPr>
      <w:bookmarkStart w:id="61" w:name="_Toc92362954"/>
      <w:bookmarkStart w:id="62" w:name="_Toc114481338"/>
      <w:proofErr w:type="spellStart"/>
      <w:r>
        <w:rPr>
          <w:sz w:val="24"/>
          <w:szCs w:val="22"/>
          <w:u w:val="single"/>
          <w:shd w:val="clear" w:color="auto" w:fill="FFFFFF"/>
        </w:rPr>
        <w:t>Règl</w:t>
      </w:r>
      <w:proofErr w:type="spellEnd"/>
      <w:r>
        <w:rPr>
          <w:sz w:val="24"/>
          <w:szCs w:val="22"/>
          <w:u w:val="single"/>
          <w:shd w:val="clear" w:color="auto" w:fill="FFFFFF"/>
        </w:rPr>
        <w:t>. de l’Ont. 65/18 : Travaux d’évaluation</w:t>
      </w:r>
      <w:bookmarkEnd w:id="61"/>
      <w:bookmarkEnd w:id="62"/>
    </w:p>
    <w:p w14:paraId="4D8501E2" w14:textId="77777777" w:rsidR="008F1D86" w:rsidRPr="00100207" w:rsidRDefault="008F1D86" w:rsidP="00100207">
      <w:pPr>
        <w:pStyle w:val="Heading2"/>
        <w:spacing w:after="240"/>
        <w:rPr>
          <w:rFonts w:eastAsia="Times New Roman"/>
          <w:sz w:val="24"/>
          <w:szCs w:val="22"/>
        </w:rPr>
      </w:pPr>
      <w:bookmarkStart w:id="63" w:name="_Toc92362955"/>
      <w:bookmarkStart w:id="64" w:name="_Toc114481339"/>
      <w:r>
        <w:rPr>
          <w:sz w:val="24"/>
          <w:szCs w:val="22"/>
        </w:rPr>
        <w:t>Genres de travaux d’évaluation et frais afférents</w:t>
      </w:r>
      <w:bookmarkEnd w:id="63"/>
      <w:bookmarkEnd w:id="64"/>
    </w:p>
    <w:p w14:paraId="02A60F2D" w14:textId="51C08DDB" w:rsidR="008F1D86" w:rsidRPr="00CF20AE" w:rsidRDefault="008F1D86" w:rsidP="00CF20AE">
      <w:pPr>
        <w:rPr>
          <w:rFonts w:ascii="Arial" w:eastAsia="Times New Roman" w:hAnsi="Arial" w:cs="Arial"/>
          <w:sz w:val="24"/>
          <w:szCs w:val="24"/>
        </w:rPr>
      </w:pPr>
      <w:r>
        <w:rPr>
          <w:rFonts w:ascii="Arial" w:hAnsi="Arial"/>
          <w:sz w:val="24"/>
          <w:szCs w:val="24"/>
        </w:rPr>
        <w:t>(2) Puisque les unités annuelles de travail d’évaluation à exécuter en application de l’article 65 de la Loi et les crédits de travail d’évaluation sont mesurés en fonction de la somme dépensée en travaux d’évaluation, il est tenu compte des dépenses et des coûts suivants lorsqu’il s’agit de déterminer la quantité de travaux d’évaluation exécutés sur des terrains miniers et le montant des crédits de travail d’évaluation à attribuer à ces travaux :</w:t>
      </w:r>
    </w:p>
    <w:p w14:paraId="7D08331D" w14:textId="04B7F605" w:rsidR="00B431C5" w:rsidRPr="00CF20AE" w:rsidRDefault="00B431C5" w:rsidP="00CF20AE">
      <w:pPr>
        <w:rPr>
          <w:rFonts w:ascii="Arial" w:hAnsi="Arial" w:cs="Arial"/>
          <w:sz w:val="24"/>
          <w:szCs w:val="24"/>
        </w:rPr>
      </w:pPr>
      <w:r>
        <w:rPr>
          <w:rFonts w:ascii="Arial" w:hAnsi="Arial"/>
          <w:sz w:val="24"/>
          <w:szCs w:val="24"/>
        </w:rPr>
        <w:t>1. Les coûts de la main-d’œuvre et de la supervision sur le terrain.</w:t>
      </w:r>
    </w:p>
    <w:p w14:paraId="3E9DE342" w14:textId="77777777" w:rsidR="00B431C5" w:rsidRPr="00CF20AE" w:rsidRDefault="00B431C5" w:rsidP="00CF20AE">
      <w:pPr>
        <w:rPr>
          <w:rFonts w:ascii="Arial" w:hAnsi="Arial" w:cs="Arial"/>
          <w:sz w:val="24"/>
          <w:szCs w:val="24"/>
        </w:rPr>
      </w:pPr>
      <w:r>
        <w:rPr>
          <w:rFonts w:ascii="Arial" w:hAnsi="Arial"/>
          <w:sz w:val="24"/>
          <w:szCs w:val="24"/>
        </w:rPr>
        <w:t>2. Le coût des entrepreneurs et des experts-conseils.</w:t>
      </w:r>
    </w:p>
    <w:p w14:paraId="4A244167" w14:textId="77777777" w:rsidR="00B431C5" w:rsidRPr="00CF20AE" w:rsidRDefault="00B431C5" w:rsidP="00CF20AE">
      <w:pPr>
        <w:rPr>
          <w:rFonts w:ascii="Arial" w:hAnsi="Arial" w:cs="Arial"/>
          <w:sz w:val="24"/>
          <w:szCs w:val="24"/>
        </w:rPr>
      </w:pPr>
      <w:r>
        <w:rPr>
          <w:rFonts w:ascii="Arial" w:hAnsi="Arial"/>
          <w:sz w:val="24"/>
          <w:szCs w:val="24"/>
        </w:rPr>
        <w:t>3. Le coût des fournitures utilisées et de la location de matériel.</w:t>
      </w:r>
    </w:p>
    <w:p w14:paraId="6BEDF1DE" w14:textId="77777777" w:rsidR="00B431C5" w:rsidRPr="00CF20AE" w:rsidRDefault="00B431C5" w:rsidP="00CF20AE">
      <w:pPr>
        <w:rPr>
          <w:rFonts w:ascii="Arial" w:hAnsi="Arial" w:cs="Arial"/>
          <w:sz w:val="24"/>
          <w:szCs w:val="24"/>
        </w:rPr>
      </w:pPr>
      <w:r>
        <w:rPr>
          <w:rFonts w:ascii="Arial" w:hAnsi="Arial"/>
          <w:sz w:val="24"/>
          <w:szCs w:val="24"/>
        </w:rPr>
        <w:t>4. Les frais de nourriture et de logement.</w:t>
      </w:r>
    </w:p>
    <w:p w14:paraId="2264CF9B" w14:textId="77777777" w:rsidR="00B431C5" w:rsidRPr="00CF20AE" w:rsidRDefault="00B431C5" w:rsidP="00CF20AE">
      <w:pPr>
        <w:rPr>
          <w:rFonts w:ascii="Arial" w:hAnsi="Arial" w:cs="Arial"/>
          <w:sz w:val="24"/>
          <w:szCs w:val="24"/>
        </w:rPr>
      </w:pPr>
      <w:r>
        <w:rPr>
          <w:rFonts w:ascii="Arial" w:hAnsi="Arial"/>
          <w:sz w:val="24"/>
          <w:szCs w:val="24"/>
        </w:rPr>
        <w:t>5. Les frais de transport des fournitures, du matériel et du personnel à destination et en provenance des terrains miniers en Ontario.</w:t>
      </w:r>
    </w:p>
    <w:p w14:paraId="107D2DD3" w14:textId="77777777" w:rsidR="00B431C5" w:rsidRPr="00CF20AE" w:rsidRDefault="00B431C5" w:rsidP="00CF20AE">
      <w:pPr>
        <w:rPr>
          <w:rFonts w:ascii="Arial" w:hAnsi="Arial" w:cs="Arial"/>
          <w:sz w:val="24"/>
          <w:szCs w:val="24"/>
        </w:rPr>
      </w:pPr>
      <w:r>
        <w:rPr>
          <w:rFonts w:ascii="Arial" w:hAnsi="Arial"/>
          <w:sz w:val="24"/>
          <w:szCs w:val="24"/>
        </w:rPr>
        <w:t>6. Les coûts d’expédition des échantillons.</w:t>
      </w:r>
    </w:p>
    <w:p w14:paraId="2D53BA31" w14:textId="77777777" w:rsidR="00B431C5" w:rsidRPr="00CF20AE" w:rsidRDefault="00B431C5" w:rsidP="00CF20AE">
      <w:pPr>
        <w:rPr>
          <w:rFonts w:ascii="Arial" w:hAnsi="Arial" w:cs="Arial"/>
          <w:sz w:val="24"/>
          <w:szCs w:val="24"/>
        </w:rPr>
      </w:pPr>
      <w:r>
        <w:rPr>
          <w:rFonts w:ascii="Arial" w:hAnsi="Arial"/>
          <w:sz w:val="24"/>
          <w:szCs w:val="24"/>
        </w:rPr>
        <w:t>7. Le coût des essais et des analyses chimiques effectués sur les échantillons.</w:t>
      </w:r>
    </w:p>
    <w:p w14:paraId="001AA8AB" w14:textId="77777777" w:rsidR="00B431C5" w:rsidRPr="00CF20AE" w:rsidRDefault="00B431C5" w:rsidP="00CF20AE">
      <w:pPr>
        <w:rPr>
          <w:rFonts w:ascii="Arial" w:hAnsi="Arial" w:cs="Arial"/>
          <w:sz w:val="24"/>
          <w:szCs w:val="24"/>
        </w:rPr>
      </w:pPr>
      <w:r>
        <w:rPr>
          <w:rFonts w:ascii="Arial" w:hAnsi="Arial"/>
          <w:sz w:val="24"/>
          <w:szCs w:val="24"/>
        </w:rPr>
        <w:t>8. Les coûts de construction d’un sentier à destination et à l’intérieur des terrains miniers où sont exécutés les travaux.</w:t>
      </w:r>
    </w:p>
    <w:p w14:paraId="19C56ACF" w14:textId="77777777" w:rsidR="00B431C5" w:rsidRPr="00CF20AE" w:rsidRDefault="00B431C5" w:rsidP="00CF20AE">
      <w:pPr>
        <w:rPr>
          <w:rFonts w:ascii="Arial" w:hAnsi="Arial" w:cs="Arial"/>
          <w:sz w:val="24"/>
          <w:szCs w:val="24"/>
        </w:rPr>
      </w:pPr>
      <w:r>
        <w:rPr>
          <w:rFonts w:ascii="Arial" w:hAnsi="Arial"/>
          <w:sz w:val="24"/>
          <w:szCs w:val="24"/>
        </w:rPr>
        <w:t>9. Les coûts de commercialisation des minéraux industriels.</w:t>
      </w:r>
    </w:p>
    <w:p w14:paraId="459F5401" w14:textId="5FAE9FCD" w:rsidR="00B431C5" w:rsidRPr="00CF20AE" w:rsidRDefault="00B431C5" w:rsidP="00CF20AE">
      <w:pPr>
        <w:rPr>
          <w:rFonts w:ascii="Arial" w:hAnsi="Arial" w:cs="Arial"/>
          <w:sz w:val="24"/>
          <w:szCs w:val="24"/>
        </w:rPr>
      </w:pPr>
      <w:r>
        <w:rPr>
          <w:rFonts w:ascii="Arial" w:hAnsi="Arial"/>
          <w:sz w:val="24"/>
          <w:szCs w:val="24"/>
        </w:rPr>
        <w:t>10. Les coûts des consultations menées auprès des collectivités autochtones à l’égard des activités d’exploration qui sont exercées ou qu’il est projeté d’exercer sur des terrains miniers.</w:t>
      </w:r>
    </w:p>
    <w:p w14:paraId="3A3E1EF2" w14:textId="10AB51DC" w:rsidR="00827661" w:rsidRPr="00100207" w:rsidRDefault="00827661" w:rsidP="00100207">
      <w:pPr>
        <w:pStyle w:val="Heading2"/>
        <w:spacing w:after="240"/>
        <w:rPr>
          <w:rFonts w:eastAsiaTheme="minorEastAsia"/>
          <w:sz w:val="24"/>
          <w:szCs w:val="22"/>
        </w:rPr>
      </w:pPr>
      <w:bookmarkStart w:id="65" w:name="_Toc92362956"/>
      <w:bookmarkStart w:id="66" w:name="_Toc114481340"/>
      <w:r>
        <w:rPr>
          <w:sz w:val="24"/>
          <w:szCs w:val="22"/>
        </w:rPr>
        <w:t>Rapports de travaux d’évaluation</w:t>
      </w:r>
      <w:bookmarkEnd w:id="65"/>
      <w:bookmarkEnd w:id="66"/>
    </w:p>
    <w:p w14:paraId="7C36059F" w14:textId="461C47EB" w:rsidR="00827661" w:rsidRPr="00CF20AE" w:rsidRDefault="00827661" w:rsidP="00CF20AE">
      <w:pPr>
        <w:rPr>
          <w:rFonts w:ascii="Arial" w:eastAsiaTheme="minorEastAsia" w:hAnsi="Arial" w:cs="Arial"/>
          <w:sz w:val="24"/>
          <w:szCs w:val="24"/>
        </w:rPr>
      </w:pPr>
      <w:r>
        <w:rPr>
          <w:rFonts w:ascii="Arial" w:hAnsi="Arial"/>
          <w:sz w:val="24"/>
          <w:szCs w:val="24"/>
        </w:rPr>
        <w:t>6. (1) Un rapport de travaux d’évaluation est nécessaire :</w:t>
      </w:r>
    </w:p>
    <w:p w14:paraId="3F82B18D" w14:textId="2FA2667D" w:rsidR="00827661" w:rsidRPr="00CF20AE" w:rsidRDefault="00827661" w:rsidP="00CF20AE">
      <w:pPr>
        <w:rPr>
          <w:rFonts w:ascii="Arial" w:eastAsiaTheme="minorEastAsia" w:hAnsi="Arial" w:cs="Arial"/>
          <w:sz w:val="24"/>
          <w:szCs w:val="24"/>
        </w:rPr>
      </w:pPr>
      <w:r>
        <w:rPr>
          <w:rFonts w:ascii="Arial" w:hAnsi="Arial"/>
          <w:sz w:val="24"/>
          <w:szCs w:val="24"/>
        </w:rPr>
        <w:lastRenderedPageBreak/>
        <w:t>b) afin de permettre au ministre de décider si les travaux d’évaluations exécutés sont admissibles à des crédits de travail d’évaluation et de fixer le montant des crédits de travail d’évaluation à attribuer aux travaux conformément à la partie IV.</w:t>
      </w:r>
    </w:p>
    <w:p w14:paraId="7923A258" w14:textId="77777777" w:rsidR="008F1D86" w:rsidRPr="00731001" w:rsidRDefault="008F1D86" w:rsidP="00731001">
      <w:pPr>
        <w:pStyle w:val="Heading2"/>
        <w:spacing w:after="240"/>
        <w:rPr>
          <w:rFonts w:eastAsiaTheme="minorEastAsia"/>
          <w:sz w:val="24"/>
          <w:szCs w:val="22"/>
        </w:rPr>
      </w:pPr>
      <w:bookmarkStart w:id="67" w:name="_Toc92362957"/>
      <w:bookmarkStart w:id="68" w:name="_Toc114481341"/>
      <w:r>
        <w:rPr>
          <w:sz w:val="24"/>
          <w:szCs w:val="22"/>
        </w:rPr>
        <w:t>Rapports de travaux d’évaluation</w:t>
      </w:r>
      <w:bookmarkEnd w:id="67"/>
      <w:bookmarkEnd w:id="68"/>
    </w:p>
    <w:p w14:paraId="671813FC" w14:textId="77777777" w:rsidR="008F1D86" w:rsidRPr="00CF20AE" w:rsidRDefault="008F1D86" w:rsidP="00CF20AE">
      <w:pPr>
        <w:rPr>
          <w:rFonts w:ascii="Arial" w:eastAsiaTheme="minorEastAsia" w:hAnsi="Arial" w:cs="Arial"/>
          <w:sz w:val="24"/>
          <w:szCs w:val="24"/>
        </w:rPr>
      </w:pPr>
      <w:r>
        <w:rPr>
          <w:rFonts w:ascii="Arial" w:hAnsi="Arial"/>
          <w:sz w:val="24"/>
          <w:szCs w:val="24"/>
        </w:rPr>
        <w:t xml:space="preserve">6 (5) Le rapport de travaux d’évaluation comprend un rapport technique : </w:t>
      </w:r>
    </w:p>
    <w:p w14:paraId="6818F4D6" w14:textId="77777777" w:rsidR="008F1D86" w:rsidRPr="00CF20AE" w:rsidRDefault="008F1D86" w:rsidP="00CF20AE">
      <w:pPr>
        <w:rPr>
          <w:rFonts w:ascii="Arial" w:eastAsiaTheme="minorEastAsia" w:hAnsi="Arial" w:cs="Arial"/>
          <w:sz w:val="24"/>
          <w:szCs w:val="24"/>
        </w:rPr>
      </w:pPr>
      <w:r>
        <w:rPr>
          <w:rFonts w:ascii="Arial" w:hAnsi="Arial"/>
          <w:sz w:val="24"/>
          <w:szCs w:val="24"/>
        </w:rPr>
        <w:t>a) qui décrit les travaux d’évaluation exécutés et est rédigé conformément aux exigences des normes techniques;</w:t>
      </w:r>
    </w:p>
    <w:p w14:paraId="5D73265D" w14:textId="77777777" w:rsidR="008F1D86" w:rsidRPr="00CF20AE" w:rsidRDefault="008F1D86" w:rsidP="00CF20AE">
      <w:pPr>
        <w:rPr>
          <w:rFonts w:ascii="Arial" w:eastAsiaTheme="minorEastAsia" w:hAnsi="Arial" w:cs="Arial"/>
          <w:sz w:val="24"/>
          <w:szCs w:val="24"/>
        </w:rPr>
      </w:pPr>
      <w:r>
        <w:rPr>
          <w:rFonts w:ascii="Arial" w:hAnsi="Arial"/>
          <w:sz w:val="24"/>
          <w:szCs w:val="24"/>
        </w:rPr>
        <w:t xml:space="preserve">b) qui inclut les plans, les cartes ou les autres documents justificatifs exigés par les </w:t>
      </w:r>
      <w:r>
        <w:rPr>
          <w:rFonts w:ascii="Arial" w:hAnsi="Arial"/>
          <w:i/>
          <w:sz w:val="24"/>
          <w:szCs w:val="24"/>
          <w:u w:val="single"/>
        </w:rPr>
        <w:t>normes techniques</w:t>
      </w:r>
      <w:r>
        <w:rPr>
          <w:rFonts w:ascii="Arial" w:hAnsi="Arial"/>
          <w:sz w:val="24"/>
          <w:szCs w:val="24"/>
        </w:rPr>
        <w:t xml:space="preserve"> et préparés conformément aux exigences qui y sont énoncées.</w:t>
      </w:r>
    </w:p>
    <w:p w14:paraId="40C50B28" w14:textId="77777777" w:rsidR="00912F6D" w:rsidRPr="00731001" w:rsidRDefault="00912F6D" w:rsidP="00731001">
      <w:pPr>
        <w:pStyle w:val="Heading2"/>
        <w:spacing w:after="240"/>
        <w:rPr>
          <w:rFonts w:eastAsia="Times New Roman"/>
          <w:sz w:val="24"/>
          <w:szCs w:val="22"/>
        </w:rPr>
      </w:pPr>
      <w:bookmarkStart w:id="69" w:name="_Toc92362958"/>
      <w:bookmarkStart w:id="70" w:name="_Toc114481342"/>
      <w:r>
        <w:rPr>
          <w:sz w:val="24"/>
          <w:szCs w:val="22"/>
        </w:rPr>
        <w:t>Fonctionnement du système</w:t>
      </w:r>
      <w:bookmarkEnd w:id="69"/>
      <w:bookmarkEnd w:id="70"/>
    </w:p>
    <w:p w14:paraId="6249DFE9" w14:textId="77777777" w:rsidR="00912F6D" w:rsidRPr="00CF20AE" w:rsidRDefault="00912F6D" w:rsidP="00CF20AE">
      <w:pPr>
        <w:rPr>
          <w:rFonts w:ascii="Arial" w:eastAsia="Times New Roman" w:hAnsi="Arial" w:cs="Arial"/>
          <w:sz w:val="24"/>
          <w:szCs w:val="24"/>
        </w:rPr>
      </w:pPr>
      <w:r>
        <w:rPr>
          <w:rFonts w:ascii="Arial" w:hAnsi="Arial"/>
          <w:sz w:val="24"/>
          <w:szCs w:val="24"/>
        </w:rPr>
        <w:t>9. (1) Le ministre examine tous les rapports de travaux d’évaluation soumis en application de l’article 6 et évalue les travaux qui y sont décrits afin de décider :</w:t>
      </w:r>
    </w:p>
    <w:p w14:paraId="471FDA71" w14:textId="044287FB" w:rsidR="00912F6D" w:rsidRPr="00CF20AE" w:rsidRDefault="00912F6D" w:rsidP="00CF20AE">
      <w:pPr>
        <w:rPr>
          <w:rFonts w:ascii="Arial" w:eastAsia="Times New Roman" w:hAnsi="Arial" w:cs="Arial"/>
          <w:sz w:val="24"/>
          <w:szCs w:val="24"/>
        </w:rPr>
      </w:pPr>
      <w:r>
        <w:rPr>
          <w:rFonts w:ascii="Arial" w:hAnsi="Arial"/>
          <w:sz w:val="24"/>
          <w:szCs w:val="24"/>
        </w:rPr>
        <w:t>a) conformément à l’article 12, s’ils sont admissibles à des crédits de travail d’évaluation;</w:t>
      </w:r>
    </w:p>
    <w:p w14:paraId="2C0BF100" w14:textId="214E69ED" w:rsidR="00912F6D" w:rsidRPr="00CF20AE" w:rsidRDefault="00912F6D" w:rsidP="00CF20AE">
      <w:pPr>
        <w:rPr>
          <w:rFonts w:ascii="Arial" w:eastAsia="Times New Roman" w:hAnsi="Arial" w:cs="Arial"/>
          <w:sz w:val="24"/>
          <w:szCs w:val="24"/>
        </w:rPr>
      </w:pPr>
      <w:r>
        <w:rPr>
          <w:rFonts w:ascii="Arial" w:hAnsi="Arial"/>
          <w:sz w:val="24"/>
          <w:szCs w:val="24"/>
        </w:rPr>
        <w:t>b) conformément à l’article 13, du montant des crédits de travail d’évaluation à leur accorder.</w:t>
      </w:r>
    </w:p>
    <w:p w14:paraId="6CB3CB4F" w14:textId="5842620B" w:rsidR="00827661" w:rsidRPr="00731001" w:rsidRDefault="00827661" w:rsidP="00731001">
      <w:pPr>
        <w:pStyle w:val="Heading2"/>
        <w:spacing w:after="240"/>
        <w:rPr>
          <w:rFonts w:eastAsiaTheme="minorEastAsia"/>
          <w:sz w:val="24"/>
          <w:szCs w:val="22"/>
        </w:rPr>
      </w:pPr>
      <w:bookmarkStart w:id="71" w:name="_Toc92362959"/>
      <w:bookmarkStart w:id="72" w:name="_Toc114481343"/>
      <w:r>
        <w:rPr>
          <w:sz w:val="24"/>
          <w:szCs w:val="22"/>
        </w:rPr>
        <w:t>Décision : admissibilité aux crédits</w:t>
      </w:r>
      <w:bookmarkEnd w:id="71"/>
      <w:bookmarkEnd w:id="72"/>
    </w:p>
    <w:p w14:paraId="1D838556" w14:textId="77777777" w:rsidR="00912F6D" w:rsidRPr="00CF20AE" w:rsidRDefault="00912F6D" w:rsidP="00CF20AE">
      <w:pPr>
        <w:rPr>
          <w:rFonts w:ascii="Arial" w:hAnsi="Arial" w:cs="Arial"/>
          <w:sz w:val="24"/>
          <w:szCs w:val="24"/>
        </w:rPr>
      </w:pPr>
      <w:r>
        <w:rPr>
          <w:rFonts w:ascii="Arial" w:hAnsi="Arial"/>
          <w:sz w:val="24"/>
          <w:szCs w:val="24"/>
        </w:rPr>
        <w:t>12. (1) Le ministre examine le rapport de travaux d’évaluation afin de décider :</w:t>
      </w:r>
    </w:p>
    <w:p w14:paraId="599EF401" w14:textId="05B81BA3" w:rsidR="00912F6D" w:rsidRPr="00CF20AE" w:rsidRDefault="00912F6D" w:rsidP="006F5B9E">
      <w:pPr>
        <w:ind w:left="720"/>
        <w:rPr>
          <w:rFonts w:ascii="Arial" w:hAnsi="Arial" w:cs="Arial"/>
          <w:sz w:val="24"/>
          <w:szCs w:val="24"/>
        </w:rPr>
      </w:pPr>
      <w:r>
        <w:rPr>
          <w:rFonts w:ascii="Arial" w:hAnsi="Arial"/>
          <w:sz w:val="24"/>
          <w:szCs w:val="24"/>
        </w:rPr>
        <w:t>a) si les travaux qui y sont décrits constituent un genre de travaux d’évaluation visé au paragraphe 2 (1) et qu’ils sont par ailleurs admissibles à des crédits de travail d’évaluation en application de la présente partie;</w:t>
      </w:r>
    </w:p>
    <w:p w14:paraId="4203BA4E" w14:textId="77777777" w:rsidR="00912F6D" w:rsidRPr="00CF20AE" w:rsidRDefault="00912F6D" w:rsidP="006F5B9E">
      <w:pPr>
        <w:ind w:left="720"/>
        <w:rPr>
          <w:rFonts w:ascii="Arial" w:hAnsi="Arial" w:cs="Arial"/>
          <w:sz w:val="24"/>
          <w:szCs w:val="24"/>
        </w:rPr>
      </w:pPr>
      <w:r>
        <w:rPr>
          <w:rFonts w:ascii="Arial" w:hAnsi="Arial"/>
          <w:sz w:val="24"/>
          <w:szCs w:val="24"/>
        </w:rPr>
        <w:t>b) si les coûts et les dépenses décrits dans le rapport à l’égard des travaux d’évaluation sont permis en application du paragraphe 2 (2).</w:t>
      </w:r>
    </w:p>
    <w:p w14:paraId="240F2A6A" w14:textId="0308F550" w:rsidR="00912F6D" w:rsidRPr="00CF20AE" w:rsidRDefault="00912F6D" w:rsidP="00CF20AE">
      <w:pPr>
        <w:rPr>
          <w:rFonts w:ascii="Arial" w:hAnsi="Arial" w:cs="Arial"/>
          <w:sz w:val="24"/>
          <w:szCs w:val="24"/>
        </w:rPr>
      </w:pPr>
      <w:r>
        <w:rPr>
          <w:rFonts w:ascii="Arial" w:hAnsi="Arial"/>
          <w:sz w:val="24"/>
          <w:szCs w:val="24"/>
        </w:rPr>
        <w:t>(2) Les travaux décrits dans le rapport de travaux d’évaluation ne sont pas admissibles à des crédits de crédits de travail d’évaluation s’ils ont été exécutés plus de 60 mois avant le jour de la présentation du rapport au ministre. </w:t>
      </w:r>
    </w:p>
    <w:p w14:paraId="74DAE372" w14:textId="2166A996" w:rsidR="00912F6D" w:rsidRPr="00CF20AE" w:rsidRDefault="00912F6D" w:rsidP="00CF20AE">
      <w:pPr>
        <w:rPr>
          <w:rFonts w:ascii="Arial" w:hAnsi="Arial" w:cs="Arial"/>
          <w:sz w:val="24"/>
          <w:szCs w:val="24"/>
        </w:rPr>
      </w:pPr>
      <w:r>
        <w:rPr>
          <w:rFonts w:ascii="Arial" w:hAnsi="Arial"/>
          <w:sz w:val="24"/>
          <w:szCs w:val="24"/>
        </w:rPr>
        <w:t>(3) Les coûts des consultations menées auprès des communautés autochtones visés à la disposition 10 du paragraphe 2 (2) :</w:t>
      </w:r>
    </w:p>
    <w:p w14:paraId="0C547C6F" w14:textId="09B7C147" w:rsidR="00912F6D" w:rsidRPr="00CF20AE" w:rsidRDefault="00912F6D" w:rsidP="006F5B9E">
      <w:pPr>
        <w:ind w:left="720"/>
        <w:rPr>
          <w:rFonts w:ascii="Arial" w:hAnsi="Arial" w:cs="Arial"/>
          <w:sz w:val="24"/>
          <w:szCs w:val="24"/>
        </w:rPr>
      </w:pPr>
      <w:r>
        <w:rPr>
          <w:rFonts w:ascii="Arial" w:hAnsi="Arial"/>
          <w:sz w:val="24"/>
          <w:szCs w:val="24"/>
        </w:rPr>
        <w:t>a) sont admissibles à des crédits de travail d’évaluation même si les consultations ont été menées plus de 60 mois avant le jour de la présentation au ministre du rapport d’évaluation qui les inclut, malgré le paragraphe (2);</w:t>
      </w:r>
    </w:p>
    <w:p w14:paraId="20367715" w14:textId="697E71A5" w:rsidR="00912F6D" w:rsidRPr="00CF20AE" w:rsidRDefault="00912F6D" w:rsidP="00FA4FF1">
      <w:pPr>
        <w:ind w:left="720"/>
        <w:rPr>
          <w:rFonts w:ascii="Arial" w:hAnsi="Arial" w:cs="Arial"/>
          <w:sz w:val="24"/>
          <w:szCs w:val="24"/>
        </w:rPr>
      </w:pPr>
      <w:r>
        <w:rPr>
          <w:rFonts w:ascii="Arial" w:hAnsi="Arial"/>
          <w:sz w:val="24"/>
          <w:szCs w:val="24"/>
        </w:rPr>
        <w:lastRenderedPageBreak/>
        <w:t>b) ne sont admissibles à des crédits de travail d’évaluation que s’ils sont inclus dans un rapport de travaux d’évaluation qui fait état de travaux d’évaluation.</w:t>
      </w:r>
    </w:p>
    <w:p w14:paraId="6483226A" w14:textId="32DAC842" w:rsidR="00912F6D" w:rsidRPr="00CF20AE" w:rsidRDefault="00912F6D" w:rsidP="00CF20AE">
      <w:pPr>
        <w:rPr>
          <w:rFonts w:ascii="Arial" w:hAnsi="Arial" w:cs="Arial"/>
          <w:sz w:val="24"/>
          <w:szCs w:val="24"/>
        </w:rPr>
      </w:pPr>
      <w:r>
        <w:rPr>
          <w:rFonts w:ascii="Arial" w:hAnsi="Arial"/>
          <w:sz w:val="24"/>
          <w:szCs w:val="24"/>
        </w:rPr>
        <w:t xml:space="preserve">(4) La coupe de lignes effectuée dans le cadre de travaux </w:t>
      </w:r>
      <w:proofErr w:type="spellStart"/>
      <w:r>
        <w:rPr>
          <w:rFonts w:ascii="Arial" w:hAnsi="Arial"/>
          <w:sz w:val="24"/>
          <w:szCs w:val="24"/>
        </w:rPr>
        <w:t>géoscientifiques</w:t>
      </w:r>
      <w:proofErr w:type="spellEnd"/>
      <w:r>
        <w:rPr>
          <w:rFonts w:ascii="Arial" w:hAnsi="Arial"/>
          <w:sz w:val="24"/>
          <w:szCs w:val="24"/>
        </w:rPr>
        <w:t xml:space="preserve"> visée à la disposition 10 du paragraphe 2 (1) n’est admissible à des crédits de travail d’évaluation que si elle est incluse dans le même rapport de travaux d’évaluation que les travaux </w:t>
      </w:r>
      <w:proofErr w:type="spellStart"/>
      <w:r>
        <w:rPr>
          <w:rFonts w:ascii="Arial" w:hAnsi="Arial"/>
          <w:sz w:val="24"/>
          <w:szCs w:val="24"/>
        </w:rPr>
        <w:t>géoscientifiques</w:t>
      </w:r>
      <w:proofErr w:type="spellEnd"/>
      <w:r>
        <w:rPr>
          <w:rFonts w:ascii="Arial" w:hAnsi="Arial"/>
          <w:sz w:val="24"/>
          <w:szCs w:val="24"/>
        </w:rPr>
        <w:t>.</w:t>
      </w:r>
    </w:p>
    <w:p w14:paraId="4875B77D" w14:textId="0E416A2A" w:rsidR="00115D8F" w:rsidRPr="00CF20AE" w:rsidRDefault="00115D8F" w:rsidP="00CF20AE">
      <w:pPr>
        <w:rPr>
          <w:rFonts w:ascii="Arial" w:eastAsia="Times New Roman" w:hAnsi="Arial" w:cs="Arial"/>
          <w:sz w:val="24"/>
          <w:szCs w:val="24"/>
        </w:rPr>
      </w:pPr>
      <w:r>
        <w:rPr>
          <w:rFonts w:ascii="Arial" w:hAnsi="Arial"/>
          <w:sz w:val="24"/>
          <w:szCs w:val="24"/>
        </w:rPr>
        <w:t>Montant des crédits</w:t>
      </w:r>
    </w:p>
    <w:p w14:paraId="670D1245" w14:textId="4EC33099" w:rsidR="00115D8F" w:rsidRPr="00CF20AE" w:rsidRDefault="00115D8F" w:rsidP="00CF20AE">
      <w:pPr>
        <w:rPr>
          <w:rFonts w:ascii="Arial" w:eastAsia="Times New Roman" w:hAnsi="Arial" w:cs="Arial"/>
          <w:sz w:val="24"/>
          <w:szCs w:val="24"/>
        </w:rPr>
      </w:pPr>
      <w:r>
        <w:rPr>
          <w:rFonts w:ascii="Arial" w:hAnsi="Arial"/>
          <w:sz w:val="24"/>
          <w:szCs w:val="24"/>
        </w:rPr>
        <w:t>13. (1) Le ministre fixe, conformément aux règles suivantes, le montant des crédits de travail d’évaluation à accorder aux travaux dont il a décidé qu’ils sont admissibles à des crédits de travail d’évaluation :</w:t>
      </w:r>
    </w:p>
    <w:p w14:paraId="7B82D56D" w14:textId="0A84A2D2" w:rsidR="00115D8F" w:rsidRPr="00CF20AE" w:rsidRDefault="00115D8F" w:rsidP="005D46B2">
      <w:pPr>
        <w:rPr>
          <w:rFonts w:ascii="Arial" w:eastAsia="Times New Roman" w:hAnsi="Arial" w:cs="Arial"/>
          <w:sz w:val="24"/>
          <w:szCs w:val="24"/>
        </w:rPr>
      </w:pPr>
      <w:r>
        <w:rPr>
          <w:rFonts w:ascii="Arial" w:hAnsi="Arial"/>
          <w:sz w:val="24"/>
          <w:szCs w:val="24"/>
        </w:rPr>
        <w:t>1. Dans le cas des coûts et des dépenses des travaux d’évaluation, à l’exception des coûts de main-d’œuvre de la prospection primaire, les crédits équivalent à :</w:t>
      </w:r>
    </w:p>
    <w:p w14:paraId="6542BA2B" w14:textId="77777777" w:rsidR="00115D8F" w:rsidRPr="00CF20AE" w:rsidRDefault="00115D8F" w:rsidP="005D46B2">
      <w:pPr>
        <w:ind w:left="720"/>
        <w:rPr>
          <w:rFonts w:ascii="Arial" w:eastAsia="Times New Roman" w:hAnsi="Arial" w:cs="Arial"/>
          <w:sz w:val="24"/>
          <w:szCs w:val="24"/>
        </w:rPr>
      </w:pPr>
      <w:r>
        <w:rPr>
          <w:rFonts w:ascii="Arial" w:hAnsi="Arial"/>
          <w:sz w:val="24"/>
          <w:szCs w:val="24"/>
        </w:rPr>
        <w:t>i. 100 % de la somme dépensée si le rapport de travaux d’évaluation est soumis au ministre dans les 24 mois qui suivent leur exécution,</w:t>
      </w:r>
    </w:p>
    <w:p w14:paraId="4BED0253" w14:textId="77777777" w:rsidR="00115D8F" w:rsidRPr="00CF20AE" w:rsidRDefault="00115D8F" w:rsidP="005D46B2">
      <w:pPr>
        <w:ind w:left="720"/>
        <w:rPr>
          <w:rFonts w:ascii="Arial" w:eastAsia="Times New Roman" w:hAnsi="Arial" w:cs="Arial"/>
          <w:sz w:val="24"/>
          <w:szCs w:val="24"/>
        </w:rPr>
      </w:pPr>
      <w:r>
        <w:rPr>
          <w:rFonts w:ascii="Arial" w:hAnsi="Arial"/>
          <w:sz w:val="24"/>
          <w:szCs w:val="24"/>
        </w:rPr>
        <w:t>ii. 50 % de la somme dépensée si le rapport de travaux d’évaluation est soumis au ministre plus de 24 mois, mais au plus 60 mois après leur exécution.</w:t>
      </w:r>
    </w:p>
    <w:p w14:paraId="5E7F09E9" w14:textId="516DDD45" w:rsidR="00115D8F" w:rsidRPr="00CF20AE" w:rsidRDefault="00115D8F" w:rsidP="00CF20AE">
      <w:pPr>
        <w:rPr>
          <w:rFonts w:ascii="Arial" w:eastAsia="Times New Roman" w:hAnsi="Arial" w:cs="Arial"/>
          <w:sz w:val="24"/>
          <w:szCs w:val="24"/>
        </w:rPr>
      </w:pPr>
      <w:r>
        <w:rPr>
          <w:rFonts w:ascii="Arial" w:hAnsi="Arial"/>
          <w:sz w:val="24"/>
          <w:szCs w:val="24"/>
        </w:rPr>
        <w:t>2. Dans le cas des coûts de main-d’œuvre de la prospection primaire, les crédits équivalent à :</w:t>
      </w:r>
    </w:p>
    <w:p w14:paraId="4AAC0EBA" w14:textId="77777777" w:rsidR="00115D8F" w:rsidRPr="00CF20AE" w:rsidRDefault="00115D8F" w:rsidP="005D46B2">
      <w:pPr>
        <w:ind w:left="720"/>
        <w:rPr>
          <w:rFonts w:ascii="Arial" w:eastAsia="Times New Roman" w:hAnsi="Arial" w:cs="Arial"/>
          <w:sz w:val="24"/>
          <w:szCs w:val="24"/>
        </w:rPr>
      </w:pPr>
      <w:r>
        <w:rPr>
          <w:rFonts w:ascii="Arial" w:hAnsi="Arial"/>
          <w:sz w:val="24"/>
          <w:szCs w:val="24"/>
        </w:rPr>
        <w:t>i. 200 % de la somme dépensée si le rapport de travaux d’évaluation est soumis au ministre dans les 24 mois qui suivent leur exécution.</w:t>
      </w:r>
    </w:p>
    <w:p w14:paraId="45BDE2AA" w14:textId="77777777" w:rsidR="00115D8F" w:rsidRPr="00CF20AE" w:rsidRDefault="00115D8F" w:rsidP="005D46B2">
      <w:pPr>
        <w:ind w:left="720"/>
        <w:rPr>
          <w:rFonts w:ascii="Arial" w:eastAsia="Times New Roman" w:hAnsi="Arial" w:cs="Arial"/>
          <w:sz w:val="24"/>
          <w:szCs w:val="24"/>
        </w:rPr>
      </w:pPr>
      <w:r>
        <w:rPr>
          <w:rFonts w:ascii="Arial" w:hAnsi="Arial"/>
          <w:sz w:val="24"/>
          <w:szCs w:val="24"/>
        </w:rPr>
        <w:t>ii. 100 % de la somme dépensée si le rapport de travaux d’évaluation est soumis au ministre plus de 24 mois, mais au plus 60 mois après leur exécution.</w:t>
      </w:r>
    </w:p>
    <w:p w14:paraId="20AD7F95" w14:textId="15F0E65A" w:rsidR="00115D8F" w:rsidRPr="00CF20AE" w:rsidRDefault="00115D8F" w:rsidP="00CF20AE">
      <w:pPr>
        <w:rPr>
          <w:rFonts w:ascii="Arial" w:eastAsia="Times New Roman" w:hAnsi="Arial" w:cs="Arial"/>
          <w:sz w:val="24"/>
          <w:szCs w:val="24"/>
        </w:rPr>
      </w:pPr>
      <w:r>
        <w:rPr>
          <w:rFonts w:ascii="Arial" w:hAnsi="Arial"/>
          <w:sz w:val="24"/>
          <w:szCs w:val="24"/>
        </w:rPr>
        <w:t>3. Dans le cas des coûts et des dépenses des travaux de prospection primaire et d’arpentage régional exécutés sur des terres de la Couronne qui sont admissibles à des crédits de travail d’évaluation en application de la disposition 3 du paragraphe 11 (1), les crédits équivalent à ce qui suit si le rapport de travaux d’évaluation est soumis au ministre conformément à la disposition 4 du paragraphe 11 (3) :</w:t>
      </w:r>
    </w:p>
    <w:p w14:paraId="3B043937" w14:textId="77777777" w:rsidR="00115D8F" w:rsidRPr="00CF20AE" w:rsidRDefault="00115D8F" w:rsidP="005D46B2">
      <w:pPr>
        <w:ind w:left="720"/>
        <w:rPr>
          <w:rFonts w:ascii="Arial" w:eastAsia="Times New Roman" w:hAnsi="Arial" w:cs="Arial"/>
          <w:sz w:val="24"/>
          <w:szCs w:val="24"/>
        </w:rPr>
      </w:pPr>
      <w:r>
        <w:rPr>
          <w:rFonts w:ascii="Arial" w:hAnsi="Arial"/>
          <w:sz w:val="24"/>
          <w:szCs w:val="24"/>
        </w:rPr>
        <w:t>i. Pour les coûts et les dépenses autres que les coûts de main-d’œuvre de la prospection primaire, 50 % de la somme dépensée.</w:t>
      </w:r>
    </w:p>
    <w:p w14:paraId="2C13D4C3" w14:textId="77777777" w:rsidR="00115D8F" w:rsidRPr="00CF20AE" w:rsidRDefault="00115D8F" w:rsidP="000729C8">
      <w:pPr>
        <w:ind w:left="720"/>
        <w:rPr>
          <w:rFonts w:ascii="Arial" w:eastAsia="Times New Roman" w:hAnsi="Arial" w:cs="Arial"/>
          <w:sz w:val="24"/>
          <w:szCs w:val="24"/>
        </w:rPr>
      </w:pPr>
      <w:r>
        <w:rPr>
          <w:rFonts w:ascii="Arial" w:hAnsi="Arial"/>
          <w:sz w:val="24"/>
          <w:szCs w:val="24"/>
        </w:rPr>
        <w:t>ii. Pour les coûts de main-d’œuvre de la prospection primaire, 100 % de la somme dépensée.</w:t>
      </w:r>
    </w:p>
    <w:p w14:paraId="0FD61841" w14:textId="04F42C4C" w:rsidR="00115D8F" w:rsidRPr="00CF20AE" w:rsidRDefault="00115D8F" w:rsidP="00CF20AE">
      <w:pPr>
        <w:rPr>
          <w:rFonts w:ascii="Arial" w:eastAsia="Times New Roman" w:hAnsi="Arial" w:cs="Arial"/>
          <w:sz w:val="24"/>
          <w:szCs w:val="24"/>
        </w:rPr>
      </w:pPr>
      <w:r>
        <w:rPr>
          <w:rFonts w:ascii="Arial" w:hAnsi="Arial"/>
          <w:sz w:val="24"/>
          <w:szCs w:val="24"/>
        </w:rPr>
        <w:lastRenderedPageBreak/>
        <w:t>(2) S’il est d’avis que les coûts et les dépenses indiqués à l’égard de travaux d’évaluation dans un rapport de travaux d’évaluation sont démesurément élevés, le ministre peut attribuer aux travaux un montant moindre de crédits de travail d’évaluation, égal à la somme qui, selon lui, aurait dû être raisonnablement dépensée pour les travaux. </w:t>
      </w:r>
    </w:p>
    <w:p w14:paraId="44ED8BFD" w14:textId="77777777" w:rsidR="008F1D86" w:rsidRPr="00A90AFE" w:rsidRDefault="008F1D86" w:rsidP="00A90AFE">
      <w:pPr>
        <w:pStyle w:val="Heading2"/>
        <w:spacing w:after="240"/>
        <w:rPr>
          <w:rFonts w:eastAsia="Times New Roman"/>
          <w:sz w:val="28"/>
          <w:szCs w:val="24"/>
          <w:u w:val="single"/>
        </w:rPr>
      </w:pPr>
      <w:bookmarkStart w:id="73" w:name="_Toc92362960"/>
      <w:bookmarkStart w:id="74" w:name="_Toc114481344"/>
      <w:r>
        <w:rPr>
          <w:sz w:val="28"/>
          <w:szCs w:val="24"/>
          <w:u w:val="single"/>
        </w:rPr>
        <w:t>Norme technique à l’égard des rapports sur les travaux d’évaluation – Exigences relatives aux genres de travaux</w:t>
      </w:r>
      <w:bookmarkEnd w:id="73"/>
      <w:bookmarkEnd w:id="74"/>
    </w:p>
    <w:p w14:paraId="68204EA9" w14:textId="77777777" w:rsidR="008F1D86" w:rsidRPr="00A90AFE" w:rsidRDefault="008F1D86" w:rsidP="00A90AFE">
      <w:pPr>
        <w:pStyle w:val="Heading2"/>
        <w:rPr>
          <w:rFonts w:eastAsiaTheme="minorEastAsia"/>
          <w:sz w:val="24"/>
          <w:szCs w:val="22"/>
        </w:rPr>
      </w:pPr>
      <w:bookmarkStart w:id="75" w:name="_Toc92362961"/>
      <w:bookmarkStart w:id="76" w:name="_Toc114481345"/>
      <w:r>
        <w:rPr>
          <w:sz w:val="24"/>
          <w:szCs w:val="22"/>
        </w:rPr>
        <w:t>Dépenses et coûts</w:t>
      </w:r>
      <w:bookmarkEnd w:id="75"/>
      <w:bookmarkEnd w:id="76"/>
    </w:p>
    <w:p w14:paraId="3A769CDC" w14:textId="534281AA" w:rsidR="008F1D86" w:rsidRPr="00A90AFE" w:rsidRDefault="008F1D86" w:rsidP="00A90AFE">
      <w:pPr>
        <w:pStyle w:val="Heading2"/>
        <w:spacing w:after="240"/>
        <w:rPr>
          <w:rFonts w:eastAsiaTheme="minorEastAsia"/>
          <w:sz w:val="24"/>
          <w:szCs w:val="22"/>
        </w:rPr>
      </w:pPr>
      <w:bookmarkStart w:id="77" w:name="_Toc92362962"/>
      <w:bookmarkStart w:id="78" w:name="_Toc114481346"/>
      <w:r>
        <w:rPr>
          <w:sz w:val="24"/>
          <w:szCs w:val="22"/>
        </w:rPr>
        <w:t>Reçus et factures</w:t>
      </w:r>
      <w:bookmarkEnd w:id="77"/>
      <w:bookmarkEnd w:id="78"/>
    </w:p>
    <w:p w14:paraId="736C7A3D" w14:textId="289855D3" w:rsidR="008F1D86" w:rsidRPr="00CF20AE" w:rsidRDefault="008F1D86" w:rsidP="00CF20AE">
      <w:pPr>
        <w:rPr>
          <w:rFonts w:ascii="Arial" w:hAnsi="Arial" w:cs="Arial"/>
          <w:sz w:val="24"/>
          <w:szCs w:val="24"/>
        </w:rPr>
      </w:pPr>
      <w:r>
        <w:rPr>
          <w:rFonts w:ascii="Arial" w:hAnsi="Arial"/>
          <w:sz w:val="24"/>
          <w:szCs w:val="24"/>
        </w:rPr>
        <w:t>Le rapport sur les travaux d’évaluation doit être accompagné de copies des reçus et factures justifiant les coûts et dépenses encourus pendant les travaux, pour le type de travail d’évaluation auquel ils se rapportent.</w:t>
      </w:r>
    </w:p>
    <w:p w14:paraId="062B18B6" w14:textId="1A6A2FFE" w:rsidR="00BA632A" w:rsidRPr="00CF20AE" w:rsidRDefault="00BA632A" w:rsidP="00CF20AE">
      <w:pPr>
        <w:rPr>
          <w:rFonts w:ascii="Arial" w:hAnsi="Arial" w:cs="Arial"/>
          <w:sz w:val="24"/>
          <w:szCs w:val="24"/>
        </w:rPr>
      </w:pPr>
      <w:r>
        <w:rPr>
          <w:rFonts w:ascii="Arial" w:hAnsi="Arial"/>
          <w:sz w:val="24"/>
          <w:szCs w:val="24"/>
        </w:rPr>
        <w:t>De plus, un rapport sommaire ou un tableau détaillant tous les reçus et factures fournis et les coûts spécifiques réclamés doit accompagner le rapport de travail d’évaluation. Le rapport sommaire ou tableau doit clairement concorder avec les coûts inscrits dans le rapport sur les travaux d’évaluation.</w:t>
      </w:r>
    </w:p>
    <w:p w14:paraId="4809481B" w14:textId="325313D2" w:rsidR="00E700E9" w:rsidRPr="00CF20AE" w:rsidRDefault="008F1D86" w:rsidP="00CF20AE">
      <w:pPr>
        <w:rPr>
          <w:rFonts w:ascii="Arial" w:hAnsi="Arial" w:cs="Arial"/>
          <w:sz w:val="24"/>
          <w:szCs w:val="24"/>
        </w:rPr>
      </w:pPr>
      <w:r>
        <w:rPr>
          <w:rFonts w:ascii="Arial" w:hAnsi="Arial"/>
          <w:sz w:val="24"/>
          <w:szCs w:val="24"/>
          <w:u w:val="single"/>
        </w:rPr>
        <w:br/>
      </w:r>
    </w:p>
    <w:sectPr w:rsidR="00E700E9" w:rsidRPr="00CF20AE" w:rsidSect="008B6AA6">
      <w:headerReference w:type="even" r:id="rId19"/>
      <w:headerReference w:type="default" r:id="rId20"/>
      <w:footerReference w:type="even" r:id="rId21"/>
      <w:footerReference w:type="default" r:id="rId22"/>
      <w:headerReference w:type="first" r:id="rId23"/>
      <w:footerReference w:type="first" r:id="rId24"/>
      <w:pgSz w:w="12240" w:h="15840"/>
      <w:pgMar w:top="1440" w:right="1325"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7BECF" w14:textId="77777777" w:rsidR="009727AD" w:rsidRDefault="009727AD" w:rsidP="00F72078">
      <w:pPr>
        <w:spacing w:after="0" w:line="240" w:lineRule="auto"/>
      </w:pPr>
      <w:r>
        <w:separator/>
      </w:r>
    </w:p>
  </w:endnote>
  <w:endnote w:type="continuationSeparator" w:id="0">
    <w:p w14:paraId="741BCE0E" w14:textId="77777777" w:rsidR="009727AD" w:rsidRDefault="009727AD"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E9D2" w14:textId="77777777" w:rsidR="009D192A" w:rsidRDefault="009D1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828320"/>
      <w:docPartObj>
        <w:docPartGallery w:val="Page Numbers (Bottom of Page)"/>
        <w:docPartUnique/>
      </w:docPartObj>
    </w:sdtPr>
    <w:sdtEndPr/>
    <w:sdtContent>
      <w:sdt>
        <w:sdtPr>
          <w:id w:val="-1769616900"/>
          <w:docPartObj>
            <w:docPartGallery w:val="Page Numbers (Top of Page)"/>
            <w:docPartUnique/>
          </w:docPartObj>
        </w:sdtPr>
        <w:sdtEndPr/>
        <w:sdtContent>
          <w:p w14:paraId="3D4BA121" w14:textId="27B0B976" w:rsidR="00561DB4" w:rsidRDefault="00561DB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p w14:paraId="188A866A" w14:textId="24310A2C" w:rsidR="00A03D82" w:rsidRDefault="00A03D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628F" w14:textId="77777777" w:rsidR="009D192A" w:rsidRDefault="009D19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5AC12" w14:textId="77777777" w:rsidR="008B6AA6" w:rsidRDefault="008B6AA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511857"/>
      <w:docPartObj>
        <w:docPartGallery w:val="Page Numbers (Bottom of Page)"/>
        <w:docPartUnique/>
      </w:docPartObj>
    </w:sdtPr>
    <w:sdtEndPr/>
    <w:sdtContent>
      <w:sdt>
        <w:sdtPr>
          <w:id w:val="-735311251"/>
          <w:docPartObj>
            <w:docPartGallery w:val="Page Numbers (Top of Page)"/>
            <w:docPartUnique/>
          </w:docPartObj>
        </w:sdtPr>
        <w:sdtEndPr/>
        <w:sdtContent>
          <w:p w14:paraId="259B4F0B" w14:textId="35084A83" w:rsidR="00561DB4" w:rsidRDefault="00561DB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p w14:paraId="4F7580FC" w14:textId="6806C485" w:rsidR="008B6AA6" w:rsidRDefault="008B6AA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67FB8" w14:textId="77777777" w:rsidR="008B6AA6" w:rsidRDefault="008B6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6A9AD" w14:textId="77777777" w:rsidR="009727AD" w:rsidRDefault="009727AD" w:rsidP="00F72078">
      <w:pPr>
        <w:spacing w:after="0" w:line="240" w:lineRule="auto"/>
      </w:pPr>
      <w:r>
        <w:separator/>
      </w:r>
    </w:p>
  </w:footnote>
  <w:footnote w:type="continuationSeparator" w:id="0">
    <w:p w14:paraId="082B1520" w14:textId="77777777" w:rsidR="009727AD" w:rsidRDefault="009727AD" w:rsidP="00F72078">
      <w:pPr>
        <w:spacing w:after="0" w:line="240" w:lineRule="auto"/>
      </w:pPr>
      <w:r>
        <w:continuationSeparator/>
      </w:r>
    </w:p>
  </w:footnote>
  <w:footnote w:id="1">
    <w:p w14:paraId="748CE91E" w14:textId="77777777" w:rsidR="00CE6C77" w:rsidRPr="00556097" w:rsidRDefault="00CE6C77" w:rsidP="00CE6C77">
      <w:pPr>
        <w:spacing w:after="0" w:line="240" w:lineRule="auto"/>
        <w:rPr>
          <w:sz w:val="20"/>
          <w:szCs w:val="20"/>
        </w:rPr>
      </w:pPr>
      <w:r>
        <w:rPr>
          <w:rStyle w:val="FootnoteReference"/>
        </w:rPr>
        <w:footnoteRef/>
      </w:r>
      <w:r>
        <w:t xml:space="preserve"> </w:t>
      </w:r>
      <w:r>
        <w:rPr>
          <w:sz w:val="20"/>
          <w:szCs w:val="20"/>
        </w:rPr>
        <w:t xml:space="preserve">Tous les énoncés concernant les exigences législatives et réglementaires sont exacts à la date de publication de la présente politique. Toutefois, la loi et les règlements peuvent changer de temps à autre. Des copies à jour de la </w:t>
      </w:r>
      <w:r>
        <w:rPr>
          <w:i/>
          <w:iCs/>
          <w:sz w:val="20"/>
          <w:szCs w:val="20"/>
        </w:rPr>
        <w:t>Loi sur les mines</w:t>
      </w:r>
      <w:r>
        <w:rPr>
          <w:sz w:val="20"/>
          <w:szCs w:val="20"/>
        </w:rPr>
        <w:t xml:space="preserve"> et du Règl. de l’Ont. 65/18 sont disponibles aux liens suivants :</w:t>
      </w:r>
    </w:p>
    <w:p w14:paraId="5CD815B7" w14:textId="77777777" w:rsidR="00CE6C77" w:rsidRPr="00556097" w:rsidRDefault="00CE6C77" w:rsidP="00CE6C77">
      <w:pPr>
        <w:spacing w:after="0" w:line="240" w:lineRule="auto"/>
        <w:rPr>
          <w:rFonts w:ascii="Arial" w:eastAsia="Times New Roman" w:hAnsi="Arial" w:cs="Arial"/>
          <w:sz w:val="20"/>
          <w:szCs w:val="20"/>
        </w:rPr>
      </w:pPr>
    </w:p>
    <w:p w14:paraId="68C5E405" w14:textId="7E290DDA" w:rsidR="00CE6C77" w:rsidRPr="00556097" w:rsidRDefault="00CE6C77" w:rsidP="00CE6C77">
      <w:pPr>
        <w:spacing w:after="0" w:line="240" w:lineRule="auto"/>
        <w:rPr>
          <w:rFonts w:ascii="Arial" w:eastAsia="Times New Roman" w:hAnsi="Arial" w:cs="Arial"/>
          <w:color w:val="44546A"/>
          <w:sz w:val="20"/>
          <w:szCs w:val="20"/>
        </w:rPr>
      </w:pPr>
      <w:r>
        <w:rPr>
          <w:rFonts w:ascii="Arial" w:hAnsi="Arial"/>
          <w:i/>
          <w:iCs/>
          <w:sz w:val="20"/>
          <w:szCs w:val="20"/>
        </w:rPr>
        <w:t>Loi sur les mines</w:t>
      </w:r>
      <w:r>
        <w:rPr>
          <w:rFonts w:ascii="Arial" w:hAnsi="Arial"/>
          <w:sz w:val="20"/>
          <w:szCs w:val="20"/>
        </w:rPr>
        <w:t xml:space="preserve"> : </w:t>
      </w:r>
      <w:hyperlink r:id="rId1" w:history="1">
        <w:r>
          <w:rPr>
            <w:rStyle w:val="Hyperlink"/>
            <w:rFonts w:ascii="Arial" w:hAnsi="Arial"/>
            <w:sz w:val="20"/>
            <w:szCs w:val="20"/>
          </w:rPr>
          <w:t>https://www.ontario.ca/fr/lois/loi/90m14</w:t>
        </w:r>
      </w:hyperlink>
      <w:r>
        <w:rPr>
          <w:rFonts w:ascii="Arial" w:hAnsi="Arial"/>
          <w:sz w:val="20"/>
          <w:szCs w:val="20"/>
        </w:rPr>
        <w:t xml:space="preserve"> </w:t>
      </w:r>
    </w:p>
    <w:p w14:paraId="0AC98C28" w14:textId="080564A0" w:rsidR="00CE6C77" w:rsidRPr="00556097" w:rsidRDefault="00CE6C77" w:rsidP="00CE6C77">
      <w:pPr>
        <w:pStyle w:val="FootnoteText"/>
        <w:rPr>
          <w:rFonts w:ascii="Arial" w:hAnsi="Arial" w:cs="Arial"/>
        </w:rPr>
      </w:pPr>
      <w:r>
        <w:rPr>
          <w:rFonts w:ascii="Arial" w:hAnsi="Arial"/>
        </w:rPr>
        <w:t xml:space="preserve">Règl. de l’Ont. 65/18 : Travaux d’évaluation : </w:t>
      </w:r>
      <w:hyperlink r:id="rId2" w:history="1">
        <w:r>
          <w:rPr>
            <w:rStyle w:val="Hyperlink"/>
            <w:rFonts w:ascii="Arial" w:hAnsi="Arial"/>
          </w:rPr>
          <w:t>https://www.ontario.ca/fr/lois/reglement/180065</w:t>
        </w:r>
      </w:hyperlink>
    </w:p>
    <w:p w14:paraId="71128311" w14:textId="77777777" w:rsidR="00CE6C77" w:rsidRPr="004424D3" w:rsidRDefault="00CE6C77" w:rsidP="00CE6C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8922" w14:textId="652F6DAA" w:rsidR="008B6AA6" w:rsidRDefault="003F7990">
    <w:pPr>
      <w:pStyle w:val="Header"/>
    </w:pPr>
    <w:r>
      <w:pict w14:anchorId="013EE6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346751"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284D" w14:textId="67964C74" w:rsidR="008B6AA6" w:rsidRDefault="003F7990">
    <w:pPr>
      <w:pStyle w:val="Header"/>
    </w:pPr>
    <w:r>
      <w:pict w14:anchorId="722745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346752"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A1219" w14:textId="2449D6E5" w:rsidR="008B6AA6" w:rsidRDefault="003F7990">
    <w:pPr>
      <w:pStyle w:val="Header"/>
    </w:pPr>
    <w:r>
      <w:pict w14:anchorId="108047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346750"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84E8" w14:textId="410FE411" w:rsidR="008B6AA6" w:rsidRDefault="003F7990">
    <w:pPr>
      <w:pStyle w:val="Header"/>
    </w:pPr>
    <w:r>
      <w:pict w14:anchorId="368FA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346754" o:spid="_x0000_s2053" type="#_x0000_t136" style="position:absolute;margin-left:0;margin-top:0;width:471.3pt;height:188.5pt;rotation:315;z-index:-251649024;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B3F87" w14:textId="6FB1E4D5" w:rsidR="008B6AA6" w:rsidRPr="00F07C97" w:rsidRDefault="003F7990">
    <w:pPr>
      <w:pStyle w:val="Header"/>
    </w:pPr>
    <w:r>
      <w:pict w14:anchorId="4F7FAA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346755" o:spid="_x0000_s2054" type="#_x0000_t136" style="position:absolute;margin-left:0;margin-top:0;width:471.3pt;height:188.5pt;rotation:315;z-index:-251646976;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8CC2B" w14:textId="7712D64B" w:rsidR="008B6AA6" w:rsidRDefault="003F7990">
    <w:pPr>
      <w:pStyle w:val="Header"/>
    </w:pPr>
    <w:r>
      <w:pict w14:anchorId="304F8E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346753" o:spid="_x0000_s2052" type="#_x0000_t136" style="position:absolute;margin-left:0;margin-top:0;width:471.3pt;height:188.5pt;rotation:315;z-index:-251651072;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248"/>
    <w:multiLevelType w:val="hybridMultilevel"/>
    <w:tmpl w:val="DA4E774C"/>
    <w:lvl w:ilvl="0" w:tplc="DF6CE2D4">
      <w:start w:val="1"/>
      <w:numFmt w:val="lowerLetter"/>
      <w:lvlText w:val="(%1)"/>
      <w:lvlJc w:val="left"/>
      <w:pPr>
        <w:ind w:left="1499" w:hanging="360"/>
      </w:pPr>
      <w:rPr>
        <w:rFonts w:hint="default"/>
      </w:rPr>
    </w:lvl>
    <w:lvl w:ilvl="1" w:tplc="4E5200F4">
      <w:start w:val="1"/>
      <w:numFmt w:val="lowerRoman"/>
      <w:lvlText w:val="(i)%2"/>
      <w:lvlJc w:val="right"/>
      <w:pPr>
        <w:ind w:left="2219" w:hanging="360"/>
      </w:pPr>
      <w:rPr>
        <w:rFonts w:hint="default"/>
      </w:rPr>
    </w:lvl>
    <w:lvl w:ilvl="2" w:tplc="1009001B" w:tentative="1">
      <w:start w:val="1"/>
      <w:numFmt w:val="lowerRoman"/>
      <w:lvlText w:val="%3."/>
      <w:lvlJc w:val="right"/>
      <w:pPr>
        <w:ind w:left="2939" w:hanging="180"/>
      </w:pPr>
    </w:lvl>
    <w:lvl w:ilvl="3" w:tplc="1009000F" w:tentative="1">
      <w:start w:val="1"/>
      <w:numFmt w:val="decimal"/>
      <w:lvlText w:val="%4."/>
      <w:lvlJc w:val="left"/>
      <w:pPr>
        <w:ind w:left="3659" w:hanging="360"/>
      </w:pPr>
    </w:lvl>
    <w:lvl w:ilvl="4" w:tplc="10090019" w:tentative="1">
      <w:start w:val="1"/>
      <w:numFmt w:val="lowerLetter"/>
      <w:lvlText w:val="%5."/>
      <w:lvlJc w:val="left"/>
      <w:pPr>
        <w:ind w:left="4379" w:hanging="360"/>
      </w:pPr>
    </w:lvl>
    <w:lvl w:ilvl="5" w:tplc="1009001B" w:tentative="1">
      <w:start w:val="1"/>
      <w:numFmt w:val="lowerRoman"/>
      <w:lvlText w:val="%6."/>
      <w:lvlJc w:val="right"/>
      <w:pPr>
        <w:ind w:left="5099" w:hanging="180"/>
      </w:pPr>
    </w:lvl>
    <w:lvl w:ilvl="6" w:tplc="1009000F" w:tentative="1">
      <w:start w:val="1"/>
      <w:numFmt w:val="decimal"/>
      <w:lvlText w:val="%7."/>
      <w:lvlJc w:val="left"/>
      <w:pPr>
        <w:ind w:left="5819" w:hanging="360"/>
      </w:pPr>
    </w:lvl>
    <w:lvl w:ilvl="7" w:tplc="10090019" w:tentative="1">
      <w:start w:val="1"/>
      <w:numFmt w:val="lowerLetter"/>
      <w:lvlText w:val="%8."/>
      <w:lvlJc w:val="left"/>
      <w:pPr>
        <w:ind w:left="6539" w:hanging="360"/>
      </w:pPr>
    </w:lvl>
    <w:lvl w:ilvl="8" w:tplc="1009001B" w:tentative="1">
      <w:start w:val="1"/>
      <w:numFmt w:val="lowerRoman"/>
      <w:lvlText w:val="%9."/>
      <w:lvlJc w:val="right"/>
      <w:pPr>
        <w:ind w:left="7259" w:hanging="180"/>
      </w:pPr>
    </w:lvl>
  </w:abstractNum>
  <w:abstractNum w:abstractNumId="1" w15:restartNumberingAfterBreak="0">
    <w:nsid w:val="044C08FB"/>
    <w:multiLevelType w:val="multilevel"/>
    <w:tmpl w:val="49E0669E"/>
    <w:lvl w:ilvl="0">
      <w:start w:val="1"/>
      <w:numFmt w:val="decimal"/>
      <w:lvlText w:val="%1."/>
      <w:lvlJc w:val="left"/>
      <w:pPr>
        <w:ind w:left="360" w:hanging="360"/>
      </w:pPr>
      <w:rPr>
        <w:rFonts w:hint="default"/>
        <w:b/>
        <w:sz w:val="28"/>
        <w:szCs w:val="28"/>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DC28CD"/>
    <w:multiLevelType w:val="hybridMultilevel"/>
    <w:tmpl w:val="086A36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2A52A3"/>
    <w:multiLevelType w:val="hybridMultilevel"/>
    <w:tmpl w:val="CFB2681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08514A88"/>
    <w:multiLevelType w:val="hybridMultilevel"/>
    <w:tmpl w:val="1EA650FA"/>
    <w:lvl w:ilvl="0" w:tplc="0B9E13F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0CCD3813"/>
    <w:multiLevelType w:val="hybridMultilevel"/>
    <w:tmpl w:val="9C0C02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D971C46"/>
    <w:multiLevelType w:val="hybridMultilevel"/>
    <w:tmpl w:val="CF4C15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F7943FC"/>
    <w:multiLevelType w:val="hybridMultilevel"/>
    <w:tmpl w:val="A596F2D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11286E99"/>
    <w:multiLevelType w:val="hybridMultilevel"/>
    <w:tmpl w:val="3404F398"/>
    <w:lvl w:ilvl="0" w:tplc="99A6F812">
      <w:start w:val="1"/>
      <w:numFmt w:val="lowerRoman"/>
      <w:lvlText w:val="(%1)"/>
      <w:lvlJc w:val="left"/>
      <w:pPr>
        <w:ind w:left="1080" w:hanging="360"/>
      </w:pPr>
      <w:rPr>
        <w:rFonts w:hint="default"/>
      </w:rPr>
    </w:lvl>
    <w:lvl w:ilvl="1" w:tplc="10090019">
      <w:start w:val="1"/>
      <w:numFmt w:val="lowerLetter"/>
      <w:lvlText w:val="%2."/>
      <w:lvlJc w:val="left"/>
      <w:pPr>
        <w:ind w:left="1800" w:hanging="360"/>
      </w:pPr>
    </w:lvl>
    <w:lvl w:ilvl="2" w:tplc="D72C3B9C">
      <w:start w:val="1"/>
      <w:numFmt w:val="lowerLetter"/>
      <w:lvlText w:val="(%3)"/>
      <w:lvlJc w:val="left"/>
      <w:pPr>
        <w:ind w:left="2700" w:hanging="360"/>
      </w:pPr>
      <w:rPr>
        <w:rFonts w:hint="default"/>
      </w:r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16377095"/>
    <w:multiLevelType w:val="hybridMultilevel"/>
    <w:tmpl w:val="991441A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175A09BA"/>
    <w:multiLevelType w:val="hybridMultilevel"/>
    <w:tmpl w:val="C70CA1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92E22AC"/>
    <w:multiLevelType w:val="hybridMultilevel"/>
    <w:tmpl w:val="D52CA05C"/>
    <w:lvl w:ilvl="0" w:tplc="10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2" w15:restartNumberingAfterBreak="0">
    <w:nsid w:val="1AE458E6"/>
    <w:multiLevelType w:val="hybridMultilevel"/>
    <w:tmpl w:val="9654A0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0191B1F"/>
    <w:multiLevelType w:val="hybridMultilevel"/>
    <w:tmpl w:val="56BCCC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036009F"/>
    <w:multiLevelType w:val="hybridMultilevel"/>
    <w:tmpl w:val="5DC029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28F6F63"/>
    <w:multiLevelType w:val="hybridMultilevel"/>
    <w:tmpl w:val="F988A2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4E070A1"/>
    <w:multiLevelType w:val="hybridMultilevel"/>
    <w:tmpl w:val="3F924EE8"/>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7" w15:restartNumberingAfterBreak="0">
    <w:nsid w:val="28F45E36"/>
    <w:multiLevelType w:val="hybridMultilevel"/>
    <w:tmpl w:val="71C2B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8FE6341"/>
    <w:multiLevelType w:val="hybridMultilevel"/>
    <w:tmpl w:val="03D439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EBD3853"/>
    <w:multiLevelType w:val="hybridMultilevel"/>
    <w:tmpl w:val="BFB288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1802A0A"/>
    <w:multiLevelType w:val="hybridMultilevel"/>
    <w:tmpl w:val="02A23E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8EA1B30"/>
    <w:multiLevelType w:val="hybridMultilevel"/>
    <w:tmpl w:val="2BC47BB6"/>
    <w:lvl w:ilvl="0" w:tplc="3012AD56">
      <w:start w:val="1"/>
      <w:numFmt w:val="lowerRoman"/>
      <w:lvlText w:val="%1."/>
      <w:lvlJc w:val="left"/>
      <w:pPr>
        <w:ind w:left="360" w:hanging="720"/>
      </w:pPr>
      <w:rPr>
        <w:rFonts w:hint="default"/>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22" w15:restartNumberingAfterBreak="0">
    <w:nsid w:val="39B80A84"/>
    <w:multiLevelType w:val="hybridMultilevel"/>
    <w:tmpl w:val="1430B4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A5D5382"/>
    <w:multiLevelType w:val="hybridMultilevel"/>
    <w:tmpl w:val="E9FADD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D801406"/>
    <w:multiLevelType w:val="hybridMultilevel"/>
    <w:tmpl w:val="A0508848"/>
    <w:lvl w:ilvl="0" w:tplc="0B9E13F4">
      <w:start w:val="1"/>
      <w:numFmt w:val="lowerLetter"/>
      <w:lvlText w:val="(%1)"/>
      <w:lvlJc w:val="left"/>
      <w:pPr>
        <w:ind w:left="644" w:hanging="360"/>
      </w:pPr>
      <w:rPr>
        <w:rFonts w:hint="default"/>
      </w:rPr>
    </w:lvl>
    <w:lvl w:ilvl="1" w:tplc="10090019">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5" w15:restartNumberingAfterBreak="0">
    <w:nsid w:val="4098405D"/>
    <w:multiLevelType w:val="hybridMultilevel"/>
    <w:tmpl w:val="F1F49E12"/>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26" w15:restartNumberingAfterBreak="0">
    <w:nsid w:val="424D4FE0"/>
    <w:multiLevelType w:val="hybridMultilevel"/>
    <w:tmpl w:val="1BCA8CD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34737BA"/>
    <w:multiLevelType w:val="hybridMultilevel"/>
    <w:tmpl w:val="443E7180"/>
    <w:lvl w:ilvl="0" w:tplc="10090011">
      <w:start w:val="1"/>
      <w:numFmt w:val="decimal"/>
      <w:lvlText w:val="%1)"/>
      <w:lvlJc w:val="left"/>
      <w:pPr>
        <w:ind w:left="720" w:hanging="360"/>
      </w:pPr>
      <w:rPr>
        <w:rFonts w:hint="default"/>
      </w:rPr>
    </w:lvl>
    <w:lvl w:ilvl="1" w:tplc="10090013">
      <w:start w:val="1"/>
      <w:numFmt w:val="upp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5CE2CB6"/>
    <w:multiLevelType w:val="hybridMultilevel"/>
    <w:tmpl w:val="BAFE2F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71A626D"/>
    <w:multiLevelType w:val="hybridMultilevel"/>
    <w:tmpl w:val="867CD7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9592213"/>
    <w:multiLevelType w:val="hybridMultilevel"/>
    <w:tmpl w:val="F12E293A"/>
    <w:lvl w:ilvl="0" w:tplc="99A6F812">
      <w:start w:val="1"/>
      <w:numFmt w:val="lowerRoman"/>
      <w:lvlText w:val="(%1)"/>
      <w:lvlJc w:val="left"/>
      <w:pPr>
        <w:ind w:left="1004" w:hanging="360"/>
      </w:pPr>
      <w:rPr>
        <w:rFonts w:hint="default"/>
      </w:rPr>
    </w:lvl>
    <w:lvl w:ilvl="1" w:tplc="99A6F812">
      <w:start w:val="1"/>
      <w:numFmt w:val="lowerRoman"/>
      <w:lvlText w:val="(%2)"/>
      <w:lvlJc w:val="left"/>
      <w:pPr>
        <w:ind w:left="1724" w:hanging="360"/>
      </w:pPr>
      <w:rPr>
        <w:rFonts w:hint="default"/>
      </w:r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31" w15:restartNumberingAfterBreak="0">
    <w:nsid w:val="4961658B"/>
    <w:multiLevelType w:val="hybridMultilevel"/>
    <w:tmpl w:val="088C601C"/>
    <w:lvl w:ilvl="0" w:tplc="0B9E13F4">
      <w:start w:val="1"/>
      <w:numFmt w:val="lowerLetter"/>
      <w:lvlText w:val="(%1)"/>
      <w:lvlJc w:val="left"/>
      <w:pPr>
        <w:ind w:left="720" w:hanging="360"/>
      </w:pPr>
      <w:rPr>
        <w:rFonts w:hint="default"/>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99226B8"/>
    <w:multiLevelType w:val="hybridMultilevel"/>
    <w:tmpl w:val="5570FA00"/>
    <w:lvl w:ilvl="0" w:tplc="0B9E13F4">
      <w:start w:val="1"/>
      <w:numFmt w:val="lowerLetter"/>
      <w:lvlText w:val="(%1)"/>
      <w:lvlJc w:val="left"/>
      <w:pPr>
        <w:ind w:left="720" w:hanging="360"/>
      </w:pPr>
      <w:rPr>
        <w:rFonts w:hint="default"/>
      </w:rPr>
    </w:lvl>
    <w:lvl w:ilvl="1" w:tplc="99A6F812">
      <w:start w:val="1"/>
      <w:numFmt w:val="lowerRoman"/>
      <w:lvlText w:val="(%2)"/>
      <w:lvlJc w:val="left"/>
      <w:pPr>
        <w:ind w:left="1800" w:hanging="72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49CD7242"/>
    <w:multiLevelType w:val="multilevel"/>
    <w:tmpl w:val="BD54CFC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B096A43"/>
    <w:multiLevelType w:val="hybridMultilevel"/>
    <w:tmpl w:val="BB6484CE"/>
    <w:lvl w:ilvl="0" w:tplc="10090001">
      <w:start w:val="1"/>
      <w:numFmt w:val="bullet"/>
      <w:lvlText w:val=""/>
      <w:lvlJc w:val="left"/>
      <w:pPr>
        <w:ind w:left="790" w:hanging="360"/>
      </w:pPr>
      <w:rPr>
        <w:rFonts w:ascii="Symbol" w:hAnsi="Symbol" w:hint="default"/>
      </w:rPr>
    </w:lvl>
    <w:lvl w:ilvl="1" w:tplc="10090003" w:tentative="1">
      <w:start w:val="1"/>
      <w:numFmt w:val="bullet"/>
      <w:lvlText w:val="o"/>
      <w:lvlJc w:val="left"/>
      <w:pPr>
        <w:ind w:left="1510" w:hanging="360"/>
      </w:pPr>
      <w:rPr>
        <w:rFonts w:ascii="Courier New" w:hAnsi="Courier New" w:cs="Courier New" w:hint="default"/>
      </w:rPr>
    </w:lvl>
    <w:lvl w:ilvl="2" w:tplc="10090005" w:tentative="1">
      <w:start w:val="1"/>
      <w:numFmt w:val="bullet"/>
      <w:lvlText w:val=""/>
      <w:lvlJc w:val="left"/>
      <w:pPr>
        <w:ind w:left="2230" w:hanging="360"/>
      </w:pPr>
      <w:rPr>
        <w:rFonts w:ascii="Wingdings" w:hAnsi="Wingdings" w:hint="default"/>
      </w:rPr>
    </w:lvl>
    <w:lvl w:ilvl="3" w:tplc="10090001" w:tentative="1">
      <w:start w:val="1"/>
      <w:numFmt w:val="bullet"/>
      <w:lvlText w:val=""/>
      <w:lvlJc w:val="left"/>
      <w:pPr>
        <w:ind w:left="2950" w:hanging="360"/>
      </w:pPr>
      <w:rPr>
        <w:rFonts w:ascii="Symbol" w:hAnsi="Symbol" w:hint="default"/>
      </w:rPr>
    </w:lvl>
    <w:lvl w:ilvl="4" w:tplc="10090003" w:tentative="1">
      <w:start w:val="1"/>
      <w:numFmt w:val="bullet"/>
      <w:lvlText w:val="o"/>
      <w:lvlJc w:val="left"/>
      <w:pPr>
        <w:ind w:left="3670" w:hanging="360"/>
      </w:pPr>
      <w:rPr>
        <w:rFonts w:ascii="Courier New" w:hAnsi="Courier New" w:cs="Courier New" w:hint="default"/>
      </w:rPr>
    </w:lvl>
    <w:lvl w:ilvl="5" w:tplc="10090005" w:tentative="1">
      <w:start w:val="1"/>
      <w:numFmt w:val="bullet"/>
      <w:lvlText w:val=""/>
      <w:lvlJc w:val="left"/>
      <w:pPr>
        <w:ind w:left="4390" w:hanging="360"/>
      </w:pPr>
      <w:rPr>
        <w:rFonts w:ascii="Wingdings" w:hAnsi="Wingdings" w:hint="default"/>
      </w:rPr>
    </w:lvl>
    <w:lvl w:ilvl="6" w:tplc="10090001" w:tentative="1">
      <w:start w:val="1"/>
      <w:numFmt w:val="bullet"/>
      <w:lvlText w:val=""/>
      <w:lvlJc w:val="left"/>
      <w:pPr>
        <w:ind w:left="5110" w:hanging="360"/>
      </w:pPr>
      <w:rPr>
        <w:rFonts w:ascii="Symbol" w:hAnsi="Symbol" w:hint="default"/>
      </w:rPr>
    </w:lvl>
    <w:lvl w:ilvl="7" w:tplc="10090003" w:tentative="1">
      <w:start w:val="1"/>
      <w:numFmt w:val="bullet"/>
      <w:lvlText w:val="o"/>
      <w:lvlJc w:val="left"/>
      <w:pPr>
        <w:ind w:left="5830" w:hanging="360"/>
      </w:pPr>
      <w:rPr>
        <w:rFonts w:ascii="Courier New" w:hAnsi="Courier New" w:cs="Courier New" w:hint="default"/>
      </w:rPr>
    </w:lvl>
    <w:lvl w:ilvl="8" w:tplc="10090005" w:tentative="1">
      <w:start w:val="1"/>
      <w:numFmt w:val="bullet"/>
      <w:lvlText w:val=""/>
      <w:lvlJc w:val="left"/>
      <w:pPr>
        <w:ind w:left="6550" w:hanging="360"/>
      </w:pPr>
      <w:rPr>
        <w:rFonts w:ascii="Wingdings" w:hAnsi="Wingdings" w:hint="default"/>
      </w:rPr>
    </w:lvl>
  </w:abstractNum>
  <w:abstractNum w:abstractNumId="35" w15:restartNumberingAfterBreak="0">
    <w:nsid w:val="4C4D5FEB"/>
    <w:multiLevelType w:val="hybridMultilevel"/>
    <w:tmpl w:val="C254BD0A"/>
    <w:lvl w:ilvl="0" w:tplc="C8E81CFE">
      <w:start w:val="1"/>
      <w:numFmt w:val="lowerRoman"/>
      <w:lvlText w:val="(%1)"/>
      <w:lvlJc w:val="left"/>
      <w:pPr>
        <w:ind w:left="1859" w:hanging="720"/>
      </w:pPr>
      <w:rPr>
        <w:rFonts w:hint="default"/>
      </w:rPr>
    </w:lvl>
    <w:lvl w:ilvl="1" w:tplc="10090019" w:tentative="1">
      <w:start w:val="1"/>
      <w:numFmt w:val="lowerLetter"/>
      <w:lvlText w:val="%2."/>
      <w:lvlJc w:val="left"/>
      <w:pPr>
        <w:ind w:left="2219" w:hanging="360"/>
      </w:pPr>
    </w:lvl>
    <w:lvl w:ilvl="2" w:tplc="1009001B" w:tentative="1">
      <w:start w:val="1"/>
      <w:numFmt w:val="lowerRoman"/>
      <w:lvlText w:val="%3."/>
      <w:lvlJc w:val="right"/>
      <w:pPr>
        <w:ind w:left="2939" w:hanging="180"/>
      </w:pPr>
    </w:lvl>
    <w:lvl w:ilvl="3" w:tplc="1009000F" w:tentative="1">
      <w:start w:val="1"/>
      <w:numFmt w:val="decimal"/>
      <w:lvlText w:val="%4."/>
      <w:lvlJc w:val="left"/>
      <w:pPr>
        <w:ind w:left="3659" w:hanging="360"/>
      </w:pPr>
    </w:lvl>
    <w:lvl w:ilvl="4" w:tplc="10090019" w:tentative="1">
      <w:start w:val="1"/>
      <w:numFmt w:val="lowerLetter"/>
      <w:lvlText w:val="%5."/>
      <w:lvlJc w:val="left"/>
      <w:pPr>
        <w:ind w:left="4379" w:hanging="360"/>
      </w:pPr>
    </w:lvl>
    <w:lvl w:ilvl="5" w:tplc="1009001B" w:tentative="1">
      <w:start w:val="1"/>
      <w:numFmt w:val="lowerRoman"/>
      <w:lvlText w:val="%6."/>
      <w:lvlJc w:val="right"/>
      <w:pPr>
        <w:ind w:left="5099" w:hanging="180"/>
      </w:pPr>
    </w:lvl>
    <w:lvl w:ilvl="6" w:tplc="1009000F" w:tentative="1">
      <w:start w:val="1"/>
      <w:numFmt w:val="decimal"/>
      <w:lvlText w:val="%7."/>
      <w:lvlJc w:val="left"/>
      <w:pPr>
        <w:ind w:left="5819" w:hanging="360"/>
      </w:pPr>
    </w:lvl>
    <w:lvl w:ilvl="7" w:tplc="10090019" w:tentative="1">
      <w:start w:val="1"/>
      <w:numFmt w:val="lowerLetter"/>
      <w:lvlText w:val="%8."/>
      <w:lvlJc w:val="left"/>
      <w:pPr>
        <w:ind w:left="6539" w:hanging="360"/>
      </w:pPr>
    </w:lvl>
    <w:lvl w:ilvl="8" w:tplc="1009001B" w:tentative="1">
      <w:start w:val="1"/>
      <w:numFmt w:val="lowerRoman"/>
      <w:lvlText w:val="%9."/>
      <w:lvlJc w:val="right"/>
      <w:pPr>
        <w:ind w:left="7259" w:hanging="180"/>
      </w:pPr>
    </w:lvl>
  </w:abstractNum>
  <w:abstractNum w:abstractNumId="36" w15:restartNumberingAfterBreak="0">
    <w:nsid w:val="4D5A4D4E"/>
    <w:multiLevelType w:val="hybridMultilevel"/>
    <w:tmpl w:val="E392D8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D6737AE"/>
    <w:multiLevelType w:val="hybridMultilevel"/>
    <w:tmpl w:val="B1F20E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4DC251CF"/>
    <w:multiLevelType w:val="multilevel"/>
    <w:tmpl w:val="4BE0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EC40A57"/>
    <w:multiLevelType w:val="hybridMultilevel"/>
    <w:tmpl w:val="C46E5CF0"/>
    <w:lvl w:ilvl="0" w:tplc="10090001">
      <w:start w:val="1"/>
      <w:numFmt w:val="bullet"/>
      <w:lvlText w:val=""/>
      <w:lvlJc w:val="left"/>
      <w:pPr>
        <w:ind w:left="720" w:hanging="360"/>
      </w:pPr>
      <w:rPr>
        <w:rFonts w:ascii="Symbol" w:hAnsi="Symbol" w:hint="default"/>
      </w:rPr>
    </w:lvl>
    <w:lvl w:ilvl="1" w:tplc="CF5A3E2A">
      <w:numFmt w:val="bullet"/>
      <w:lvlText w:val="•"/>
      <w:lvlJc w:val="left"/>
      <w:pPr>
        <w:ind w:left="1800" w:hanging="720"/>
      </w:pPr>
      <w:rPr>
        <w:rFonts w:ascii="Arial" w:eastAsiaTheme="minorHAnsi"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1E33872"/>
    <w:multiLevelType w:val="hybridMultilevel"/>
    <w:tmpl w:val="32D22B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3147290"/>
    <w:multiLevelType w:val="hybridMultilevel"/>
    <w:tmpl w:val="DCA0A7FC"/>
    <w:lvl w:ilvl="0" w:tplc="10090001">
      <w:start w:val="1"/>
      <w:numFmt w:val="bullet"/>
      <w:lvlText w:val=""/>
      <w:lvlJc w:val="left"/>
      <w:pPr>
        <w:ind w:left="765" w:hanging="360"/>
      </w:pPr>
      <w:rPr>
        <w:rFonts w:ascii="Symbol" w:hAnsi="Symbol" w:hint="default"/>
      </w:rPr>
    </w:lvl>
    <w:lvl w:ilvl="1" w:tplc="10090003">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42" w15:restartNumberingAfterBreak="0">
    <w:nsid w:val="53925A04"/>
    <w:multiLevelType w:val="multilevel"/>
    <w:tmpl w:val="C0E00B9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D7C1A11"/>
    <w:multiLevelType w:val="hybridMultilevel"/>
    <w:tmpl w:val="76E472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0DD50FF"/>
    <w:multiLevelType w:val="hybridMultilevel"/>
    <w:tmpl w:val="3AAA1F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1216C38"/>
    <w:multiLevelType w:val="hybridMultilevel"/>
    <w:tmpl w:val="C6E013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1B47DCB"/>
    <w:multiLevelType w:val="hybridMultilevel"/>
    <w:tmpl w:val="00B46AA4"/>
    <w:lvl w:ilvl="0" w:tplc="F168C7F0">
      <w:start w:val="1"/>
      <w:numFmt w:val="lowerRoman"/>
      <w:lvlText w:val="(%1)"/>
      <w:lvlJc w:val="left"/>
      <w:pPr>
        <w:ind w:left="1859" w:hanging="720"/>
      </w:pPr>
      <w:rPr>
        <w:rFonts w:hint="default"/>
      </w:rPr>
    </w:lvl>
    <w:lvl w:ilvl="1" w:tplc="10090019" w:tentative="1">
      <w:start w:val="1"/>
      <w:numFmt w:val="lowerLetter"/>
      <w:lvlText w:val="%2."/>
      <w:lvlJc w:val="left"/>
      <w:pPr>
        <w:ind w:left="2219" w:hanging="360"/>
      </w:pPr>
    </w:lvl>
    <w:lvl w:ilvl="2" w:tplc="1009001B" w:tentative="1">
      <w:start w:val="1"/>
      <w:numFmt w:val="lowerRoman"/>
      <w:lvlText w:val="%3."/>
      <w:lvlJc w:val="right"/>
      <w:pPr>
        <w:ind w:left="2939" w:hanging="180"/>
      </w:pPr>
    </w:lvl>
    <w:lvl w:ilvl="3" w:tplc="1009000F" w:tentative="1">
      <w:start w:val="1"/>
      <w:numFmt w:val="decimal"/>
      <w:lvlText w:val="%4."/>
      <w:lvlJc w:val="left"/>
      <w:pPr>
        <w:ind w:left="3659" w:hanging="360"/>
      </w:pPr>
    </w:lvl>
    <w:lvl w:ilvl="4" w:tplc="10090019" w:tentative="1">
      <w:start w:val="1"/>
      <w:numFmt w:val="lowerLetter"/>
      <w:lvlText w:val="%5."/>
      <w:lvlJc w:val="left"/>
      <w:pPr>
        <w:ind w:left="4379" w:hanging="360"/>
      </w:pPr>
    </w:lvl>
    <w:lvl w:ilvl="5" w:tplc="1009001B" w:tentative="1">
      <w:start w:val="1"/>
      <w:numFmt w:val="lowerRoman"/>
      <w:lvlText w:val="%6."/>
      <w:lvlJc w:val="right"/>
      <w:pPr>
        <w:ind w:left="5099" w:hanging="180"/>
      </w:pPr>
    </w:lvl>
    <w:lvl w:ilvl="6" w:tplc="1009000F" w:tentative="1">
      <w:start w:val="1"/>
      <w:numFmt w:val="decimal"/>
      <w:lvlText w:val="%7."/>
      <w:lvlJc w:val="left"/>
      <w:pPr>
        <w:ind w:left="5819" w:hanging="360"/>
      </w:pPr>
    </w:lvl>
    <w:lvl w:ilvl="7" w:tplc="10090019" w:tentative="1">
      <w:start w:val="1"/>
      <w:numFmt w:val="lowerLetter"/>
      <w:lvlText w:val="%8."/>
      <w:lvlJc w:val="left"/>
      <w:pPr>
        <w:ind w:left="6539" w:hanging="360"/>
      </w:pPr>
    </w:lvl>
    <w:lvl w:ilvl="8" w:tplc="1009001B" w:tentative="1">
      <w:start w:val="1"/>
      <w:numFmt w:val="lowerRoman"/>
      <w:lvlText w:val="%9."/>
      <w:lvlJc w:val="right"/>
      <w:pPr>
        <w:ind w:left="7259" w:hanging="180"/>
      </w:pPr>
    </w:lvl>
  </w:abstractNum>
  <w:abstractNum w:abstractNumId="47" w15:restartNumberingAfterBreak="0">
    <w:nsid w:val="640E40E3"/>
    <w:multiLevelType w:val="hybridMultilevel"/>
    <w:tmpl w:val="D72677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625765E"/>
    <w:multiLevelType w:val="hybridMultilevel"/>
    <w:tmpl w:val="943C2E0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9" w15:restartNumberingAfterBreak="0">
    <w:nsid w:val="67A02F3C"/>
    <w:multiLevelType w:val="hybridMultilevel"/>
    <w:tmpl w:val="CA18A1FE"/>
    <w:lvl w:ilvl="0" w:tplc="75688D4A">
      <w:start w:val="1"/>
      <w:numFmt w:val="lowerRoman"/>
      <w:lvlText w:val="%1."/>
      <w:lvlJc w:val="left"/>
      <w:pPr>
        <w:ind w:left="360" w:hanging="720"/>
      </w:pPr>
      <w:rPr>
        <w:rFonts w:hint="default"/>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50" w15:restartNumberingAfterBreak="0">
    <w:nsid w:val="6B1E38B4"/>
    <w:multiLevelType w:val="hybridMultilevel"/>
    <w:tmpl w:val="0E229040"/>
    <w:lvl w:ilvl="0" w:tplc="0B9E13F4">
      <w:start w:val="1"/>
      <w:numFmt w:val="lowerLetter"/>
      <w:lvlText w:val="(%1)"/>
      <w:lvlJc w:val="left"/>
      <w:pPr>
        <w:ind w:left="1004" w:hanging="360"/>
      </w:pPr>
      <w:rPr>
        <w:rFonts w:hint="default"/>
      </w:rPr>
    </w:lvl>
    <w:lvl w:ilvl="1" w:tplc="99A6F812">
      <w:start w:val="1"/>
      <w:numFmt w:val="lowerRoman"/>
      <w:lvlText w:val="(%2)"/>
      <w:lvlJc w:val="left"/>
      <w:pPr>
        <w:ind w:left="1724" w:hanging="360"/>
      </w:pPr>
      <w:rPr>
        <w:rFonts w:hint="default"/>
      </w:r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51" w15:restartNumberingAfterBreak="0">
    <w:nsid w:val="6E1B61F7"/>
    <w:multiLevelType w:val="multilevel"/>
    <w:tmpl w:val="190438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FD63437"/>
    <w:multiLevelType w:val="hybridMultilevel"/>
    <w:tmpl w:val="C3B0E274"/>
    <w:lvl w:ilvl="0" w:tplc="0B9E13F4">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3" w15:restartNumberingAfterBreak="0">
    <w:nsid w:val="734A3C9F"/>
    <w:multiLevelType w:val="multilevel"/>
    <w:tmpl w:val="4BE02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8F5257B"/>
    <w:multiLevelType w:val="hybridMultilevel"/>
    <w:tmpl w:val="2BE6A4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79103FAD"/>
    <w:multiLevelType w:val="hybridMultilevel"/>
    <w:tmpl w:val="1778B16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7A95709F"/>
    <w:multiLevelType w:val="hybridMultilevel"/>
    <w:tmpl w:val="AB80C9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7AC24117"/>
    <w:multiLevelType w:val="hybridMultilevel"/>
    <w:tmpl w:val="0BCC0796"/>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7B3C05C2"/>
    <w:multiLevelType w:val="hybridMultilevel"/>
    <w:tmpl w:val="17BE5D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9" w15:restartNumberingAfterBreak="0">
    <w:nsid w:val="7EE43529"/>
    <w:multiLevelType w:val="hybridMultilevel"/>
    <w:tmpl w:val="378A15F0"/>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num w:numId="1">
    <w:abstractNumId w:val="1"/>
  </w:num>
  <w:num w:numId="2">
    <w:abstractNumId w:val="25"/>
  </w:num>
  <w:num w:numId="3">
    <w:abstractNumId w:val="40"/>
  </w:num>
  <w:num w:numId="4">
    <w:abstractNumId w:val="51"/>
  </w:num>
  <w:num w:numId="5">
    <w:abstractNumId w:val="38"/>
  </w:num>
  <w:num w:numId="6">
    <w:abstractNumId w:val="33"/>
  </w:num>
  <w:num w:numId="7">
    <w:abstractNumId w:val="42"/>
  </w:num>
  <w:num w:numId="8">
    <w:abstractNumId w:val="53"/>
  </w:num>
  <w:num w:numId="9">
    <w:abstractNumId w:val="39"/>
  </w:num>
  <w:num w:numId="10">
    <w:abstractNumId w:val="0"/>
  </w:num>
  <w:num w:numId="11">
    <w:abstractNumId w:val="35"/>
  </w:num>
  <w:num w:numId="12">
    <w:abstractNumId w:val="46"/>
  </w:num>
  <w:num w:numId="13">
    <w:abstractNumId w:val="31"/>
  </w:num>
  <w:num w:numId="14">
    <w:abstractNumId w:val="11"/>
  </w:num>
  <w:num w:numId="15">
    <w:abstractNumId w:val="37"/>
  </w:num>
  <w:num w:numId="16">
    <w:abstractNumId w:val="13"/>
  </w:num>
  <w:num w:numId="17">
    <w:abstractNumId w:val="23"/>
  </w:num>
  <w:num w:numId="18">
    <w:abstractNumId w:val="20"/>
  </w:num>
  <w:num w:numId="19">
    <w:abstractNumId w:val="41"/>
  </w:num>
  <w:num w:numId="20">
    <w:abstractNumId w:val="24"/>
  </w:num>
  <w:num w:numId="21">
    <w:abstractNumId w:val="32"/>
  </w:num>
  <w:num w:numId="22">
    <w:abstractNumId w:val="50"/>
  </w:num>
  <w:num w:numId="23">
    <w:abstractNumId w:val="4"/>
  </w:num>
  <w:num w:numId="24">
    <w:abstractNumId w:val="8"/>
  </w:num>
  <w:num w:numId="25">
    <w:abstractNumId w:val="30"/>
  </w:num>
  <w:num w:numId="26">
    <w:abstractNumId w:val="52"/>
  </w:num>
  <w:num w:numId="27">
    <w:abstractNumId w:val="16"/>
  </w:num>
  <w:num w:numId="28">
    <w:abstractNumId w:val="59"/>
  </w:num>
  <w:num w:numId="29">
    <w:abstractNumId w:val="26"/>
  </w:num>
  <w:num w:numId="30">
    <w:abstractNumId w:val="19"/>
  </w:num>
  <w:num w:numId="31">
    <w:abstractNumId w:val="55"/>
  </w:num>
  <w:num w:numId="32">
    <w:abstractNumId w:val="29"/>
  </w:num>
  <w:num w:numId="33">
    <w:abstractNumId w:val="27"/>
  </w:num>
  <w:num w:numId="34">
    <w:abstractNumId w:val="22"/>
  </w:num>
  <w:num w:numId="35">
    <w:abstractNumId w:val="17"/>
  </w:num>
  <w:num w:numId="36">
    <w:abstractNumId w:val="47"/>
  </w:num>
  <w:num w:numId="37">
    <w:abstractNumId w:val="14"/>
  </w:num>
  <w:num w:numId="38">
    <w:abstractNumId w:val="28"/>
  </w:num>
  <w:num w:numId="39">
    <w:abstractNumId w:val="56"/>
  </w:num>
  <w:num w:numId="40">
    <w:abstractNumId w:val="15"/>
  </w:num>
  <w:num w:numId="41">
    <w:abstractNumId w:val="57"/>
  </w:num>
  <w:num w:numId="42">
    <w:abstractNumId w:val="45"/>
  </w:num>
  <w:num w:numId="43">
    <w:abstractNumId w:val="34"/>
  </w:num>
  <w:num w:numId="44">
    <w:abstractNumId w:val="2"/>
  </w:num>
  <w:num w:numId="45">
    <w:abstractNumId w:val="18"/>
  </w:num>
  <w:num w:numId="46">
    <w:abstractNumId w:val="3"/>
  </w:num>
  <w:num w:numId="47">
    <w:abstractNumId w:val="7"/>
  </w:num>
  <w:num w:numId="48">
    <w:abstractNumId w:val="21"/>
  </w:num>
  <w:num w:numId="49">
    <w:abstractNumId w:val="9"/>
  </w:num>
  <w:num w:numId="50">
    <w:abstractNumId w:val="58"/>
  </w:num>
  <w:num w:numId="51">
    <w:abstractNumId w:val="49"/>
  </w:num>
  <w:num w:numId="52">
    <w:abstractNumId w:val="48"/>
  </w:num>
  <w:num w:numId="53">
    <w:abstractNumId w:val="54"/>
  </w:num>
  <w:num w:numId="54">
    <w:abstractNumId w:val="10"/>
  </w:num>
  <w:num w:numId="55">
    <w:abstractNumId w:val="6"/>
  </w:num>
  <w:num w:numId="56">
    <w:abstractNumId w:val="44"/>
  </w:num>
  <w:num w:numId="57">
    <w:abstractNumId w:val="5"/>
  </w:num>
  <w:num w:numId="58">
    <w:abstractNumId w:val="12"/>
  </w:num>
  <w:num w:numId="59">
    <w:abstractNumId w:val="43"/>
  </w:num>
  <w:num w:numId="60">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661"/>
    <w:rsid w:val="000012B5"/>
    <w:rsid w:val="00002B6D"/>
    <w:rsid w:val="0000390E"/>
    <w:rsid w:val="00004D5A"/>
    <w:rsid w:val="0001161A"/>
    <w:rsid w:val="0001609B"/>
    <w:rsid w:val="00016B46"/>
    <w:rsid w:val="00016DB4"/>
    <w:rsid w:val="0002317B"/>
    <w:rsid w:val="000375D0"/>
    <w:rsid w:val="000376FF"/>
    <w:rsid w:val="0004183B"/>
    <w:rsid w:val="00041F5F"/>
    <w:rsid w:val="00044633"/>
    <w:rsid w:val="00044914"/>
    <w:rsid w:val="00044D5E"/>
    <w:rsid w:val="00047472"/>
    <w:rsid w:val="00050331"/>
    <w:rsid w:val="00052F2D"/>
    <w:rsid w:val="00055675"/>
    <w:rsid w:val="0006011A"/>
    <w:rsid w:val="0006206C"/>
    <w:rsid w:val="00062F83"/>
    <w:rsid w:val="00063DC8"/>
    <w:rsid w:val="0006583B"/>
    <w:rsid w:val="000729C8"/>
    <w:rsid w:val="000800CD"/>
    <w:rsid w:val="00082003"/>
    <w:rsid w:val="000848C1"/>
    <w:rsid w:val="00084BA0"/>
    <w:rsid w:val="00087F46"/>
    <w:rsid w:val="00087F8F"/>
    <w:rsid w:val="00090796"/>
    <w:rsid w:val="000917B5"/>
    <w:rsid w:val="000924D7"/>
    <w:rsid w:val="000925E9"/>
    <w:rsid w:val="0009516A"/>
    <w:rsid w:val="00095A60"/>
    <w:rsid w:val="000A0119"/>
    <w:rsid w:val="000A2950"/>
    <w:rsid w:val="000A33AB"/>
    <w:rsid w:val="000A4A4E"/>
    <w:rsid w:val="000A7686"/>
    <w:rsid w:val="000B13CF"/>
    <w:rsid w:val="000B1ADA"/>
    <w:rsid w:val="000B1EAF"/>
    <w:rsid w:val="000B2416"/>
    <w:rsid w:val="000B66CD"/>
    <w:rsid w:val="000B71A1"/>
    <w:rsid w:val="000C0F98"/>
    <w:rsid w:val="000C1119"/>
    <w:rsid w:val="000C1B3F"/>
    <w:rsid w:val="000C3C73"/>
    <w:rsid w:val="000C5399"/>
    <w:rsid w:val="000C5575"/>
    <w:rsid w:val="000C7E79"/>
    <w:rsid w:val="000D14A6"/>
    <w:rsid w:val="000D41CA"/>
    <w:rsid w:val="000D6D5D"/>
    <w:rsid w:val="000D75A1"/>
    <w:rsid w:val="000E0971"/>
    <w:rsid w:val="000E3D00"/>
    <w:rsid w:val="000F1ADE"/>
    <w:rsid w:val="000F4492"/>
    <w:rsid w:val="00100207"/>
    <w:rsid w:val="0010254D"/>
    <w:rsid w:val="00104B26"/>
    <w:rsid w:val="00105022"/>
    <w:rsid w:val="00110438"/>
    <w:rsid w:val="00111AE5"/>
    <w:rsid w:val="0011296D"/>
    <w:rsid w:val="00113407"/>
    <w:rsid w:val="00113D7C"/>
    <w:rsid w:val="00113E60"/>
    <w:rsid w:val="001146EB"/>
    <w:rsid w:val="00115125"/>
    <w:rsid w:val="00115D8F"/>
    <w:rsid w:val="00116A37"/>
    <w:rsid w:val="00120330"/>
    <w:rsid w:val="0012335C"/>
    <w:rsid w:val="00126413"/>
    <w:rsid w:val="00127487"/>
    <w:rsid w:val="001312F4"/>
    <w:rsid w:val="00132675"/>
    <w:rsid w:val="00133284"/>
    <w:rsid w:val="00133F6C"/>
    <w:rsid w:val="00134871"/>
    <w:rsid w:val="0013571E"/>
    <w:rsid w:val="00136E01"/>
    <w:rsid w:val="00140714"/>
    <w:rsid w:val="00141F47"/>
    <w:rsid w:val="00143010"/>
    <w:rsid w:val="001501E0"/>
    <w:rsid w:val="00153264"/>
    <w:rsid w:val="001550D4"/>
    <w:rsid w:val="00160162"/>
    <w:rsid w:val="0016268D"/>
    <w:rsid w:val="001630AD"/>
    <w:rsid w:val="001655F5"/>
    <w:rsid w:val="0016721C"/>
    <w:rsid w:val="001720A7"/>
    <w:rsid w:val="00173337"/>
    <w:rsid w:val="001743AB"/>
    <w:rsid w:val="00180463"/>
    <w:rsid w:val="00180CCF"/>
    <w:rsid w:val="00184AE6"/>
    <w:rsid w:val="0018643B"/>
    <w:rsid w:val="001911CA"/>
    <w:rsid w:val="00193C7B"/>
    <w:rsid w:val="00195E93"/>
    <w:rsid w:val="00196D36"/>
    <w:rsid w:val="00196EA8"/>
    <w:rsid w:val="001A5542"/>
    <w:rsid w:val="001B1A58"/>
    <w:rsid w:val="001B22CA"/>
    <w:rsid w:val="001B2573"/>
    <w:rsid w:val="001B2B90"/>
    <w:rsid w:val="001B309D"/>
    <w:rsid w:val="001B3BAD"/>
    <w:rsid w:val="001B485C"/>
    <w:rsid w:val="001B5F05"/>
    <w:rsid w:val="001B652B"/>
    <w:rsid w:val="001B7AAF"/>
    <w:rsid w:val="001C0B27"/>
    <w:rsid w:val="001C0CD9"/>
    <w:rsid w:val="001C37B4"/>
    <w:rsid w:val="001C56B5"/>
    <w:rsid w:val="001D177A"/>
    <w:rsid w:val="001D2C32"/>
    <w:rsid w:val="001D5E05"/>
    <w:rsid w:val="001E0346"/>
    <w:rsid w:val="001E2706"/>
    <w:rsid w:val="001E4D5E"/>
    <w:rsid w:val="001E6DFA"/>
    <w:rsid w:val="001E701B"/>
    <w:rsid w:val="001F0850"/>
    <w:rsid w:val="001F129E"/>
    <w:rsid w:val="001F2D44"/>
    <w:rsid w:val="001F44F7"/>
    <w:rsid w:val="001F7C4F"/>
    <w:rsid w:val="001F7D36"/>
    <w:rsid w:val="002005B2"/>
    <w:rsid w:val="00202C7B"/>
    <w:rsid w:val="00203176"/>
    <w:rsid w:val="00203DDC"/>
    <w:rsid w:val="00205568"/>
    <w:rsid w:val="002110BE"/>
    <w:rsid w:val="00213CE0"/>
    <w:rsid w:val="002171B8"/>
    <w:rsid w:val="00220515"/>
    <w:rsid w:val="00222706"/>
    <w:rsid w:val="00225BE4"/>
    <w:rsid w:val="00226173"/>
    <w:rsid w:val="002262C2"/>
    <w:rsid w:val="00230C3B"/>
    <w:rsid w:val="0023302F"/>
    <w:rsid w:val="00233701"/>
    <w:rsid w:val="00234FD4"/>
    <w:rsid w:val="002368D3"/>
    <w:rsid w:val="00236DB8"/>
    <w:rsid w:val="00241040"/>
    <w:rsid w:val="002442C8"/>
    <w:rsid w:val="0024465B"/>
    <w:rsid w:val="0024596E"/>
    <w:rsid w:val="00245B99"/>
    <w:rsid w:val="00250763"/>
    <w:rsid w:val="002514E6"/>
    <w:rsid w:val="0025341C"/>
    <w:rsid w:val="00254267"/>
    <w:rsid w:val="002600DE"/>
    <w:rsid w:val="00260B85"/>
    <w:rsid w:val="002657E4"/>
    <w:rsid w:val="002702C0"/>
    <w:rsid w:val="0027056E"/>
    <w:rsid w:val="0028001C"/>
    <w:rsid w:val="00280FDF"/>
    <w:rsid w:val="0028217C"/>
    <w:rsid w:val="002832B8"/>
    <w:rsid w:val="00283748"/>
    <w:rsid w:val="00284BF1"/>
    <w:rsid w:val="0028640E"/>
    <w:rsid w:val="00287047"/>
    <w:rsid w:val="0029092C"/>
    <w:rsid w:val="002923A0"/>
    <w:rsid w:val="002932F5"/>
    <w:rsid w:val="002942BF"/>
    <w:rsid w:val="00295C71"/>
    <w:rsid w:val="002977A4"/>
    <w:rsid w:val="00297897"/>
    <w:rsid w:val="002A0879"/>
    <w:rsid w:val="002A2F2E"/>
    <w:rsid w:val="002A3A64"/>
    <w:rsid w:val="002A670E"/>
    <w:rsid w:val="002A6AA3"/>
    <w:rsid w:val="002B0ABD"/>
    <w:rsid w:val="002B0BA9"/>
    <w:rsid w:val="002B12F4"/>
    <w:rsid w:val="002B20DE"/>
    <w:rsid w:val="002B3E79"/>
    <w:rsid w:val="002B4165"/>
    <w:rsid w:val="002C11DC"/>
    <w:rsid w:val="002C15CA"/>
    <w:rsid w:val="002C1CCC"/>
    <w:rsid w:val="002C2FD8"/>
    <w:rsid w:val="002D14C8"/>
    <w:rsid w:val="002D26DE"/>
    <w:rsid w:val="002D3018"/>
    <w:rsid w:val="002D4C5A"/>
    <w:rsid w:val="002D5348"/>
    <w:rsid w:val="002D6A68"/>
    <w:rsid w:val="002D6E49"/>
    <w:rsid w:val="002D7948"/>
    <w:rsid w:val="002E2865"/>
    <w:rsid w:val="002E3562"/>
    <w:rsid w:val="002E6FF6"/>
    <w:rsid w:val="002E74C0"/>
    <w:rsid w:val="002E7C37"/>
    <w:rsid w:val="002F4A38"/>
    <w:rsid w:val="002F5FF6"/>
    <w:rsid w:val="002F7676"/>
    <w:rsid w:val="002F768C"/>
    <w:rsid w:val="003038B1"/>
    <w:rsid w:val="00312B9A"/>
    <w:rsid w:val="00316DD2"/>
    <w:rsid w:val="00317119"/>
    <w:rsid w:val="00317F1F"/>
    <w:rsid w:val="00323F29"/>
    <w:rsid w:val="003256DA"/>
    <w:rsid w:val="003269FD"/>
    <w:rsid w:val="003271C1"/>
    <w:rsid w:val="00332B1D"/>
    <w:rsid w:val="00332C09"/>
    <w:rsid w:val="00333721"/>
    <w:rsid w:val="0033455A"/>
    <w:rsid w:val="0033604D"/>
    <w:rsid w:val="003378B8"/>
    <w:rsid w:val="00342C05"/>
    <w:rsid w:val="00342F36"/>
    <w:rsid w:val="003452A5"/>
    <w:rsid w:val="00350321"/>
    <w:rsid w:val="00353188"/>
    <w:rsid w:val="00353E3F"/>
    <w:rsid w:val="00361B9A"/>
    <w:rsid w:val="00362D24"/>
    <w:rsid w:val="00363DA7"/>
    <w:rsid w:val="0036413B"/>
    <w:rsid w:val="00364D95"/>
    <w:rsid w:val="00365B78"/>
    <w:rsid w:val="003706DD"/>
    <w:rsid w:val="0037240B"/>
    <w:rsid w:val="003741AF"/>
    <w:rsid w:val="00374476"/>
    <w:rsid w:val="0038622F"/>
    <w:rsid w:val="00386965"/>
    <w:rsid w:val="00387E35"/>
    <w:rsid w:val="003908ED"/>
    <w:rsid w:val="00391047"/>
    <w:rsid w:val="003914B6"/>
    <w:rsid w:val="00393CA2"/>
    <w:rsid w:val="00396B41"/>
    <w:rsid w:val="00396E60"/>
    <w:rsid w:val="0039740F"/>
    <w:rsid w:val="003A0E08"/>
    <w:rsid w:val="003A1D76"/>
    <w:rsid w:val="003A2073"/>
    <w:rsid w:val="003A3795"/>
    <w:rsid w:val="003A41D5"/>
    <w:rsid w:val="003B034E"/>
    <w:rsid w:val="003B2545"/>
    <w:rsid w:val="003B70E8"/>
    <w:rsid w:val="003B7DEF"/>
    <w:rsid w:val="003B7F13"/>
    <w:rsid w:val="003C0AA0"/>
    <w:rsid w:val="003C56D0"/>
    <w:rsid w:val="003C7B1F"/>
    <w:rsid w:val="003D0368"/>
    <w:rsid w:val="003D450B"/>
    <w:rsid w:val="003E4139"/>
    <w:rsid w:val="003E5F47"/>
    <w:rsid w:val="003F2EEA"/>
    <w:rsid w:val="003F43F9"/>
    <w:rsid w:val="003F5585"/>
    <w:rsid w:val="003F7990"/>
    <w:rsid w:val="004045C7"/>
    <w:rsid w:val="0040473A"/>
    <w:rsid w:val="00404C1A"/>
    <w:rsid w:val="0040689E"/>
    <w:rsid w:val="00413BC5"/>
    <w:rsid w:val="00414889"/>
    <w:rsid w:val="00415236"/>
    <w:rsid w:val="0041610B"/>
    <w:rsid w:val="00422BB7"/>
    <w:rsid w:val="00423115"/>
    <w:rsid w:val="00423EA7"/>
    <w:rsid w:val="00430879"/>
    <w:rsid w:val="004309EB"/>
    <w:rsid w:val="004312BF"/>
    <w:rsid w:val="00431605"/>
    <w:rsid w:val="0043192C"/>
    <w:rsid w:val="00432914"/>
    <w:rsid w:val="0043356A"/>
    <w:rsid w:val="00433FAC"/>
    <w:rsid w:val="00436698"/>
    <w:rsid w:val="004422EA"/>
    <w:rsid w:val="004424D3"/>
    <w:rsid w:val="0044681A"/>
    <w:rsid w:val="00447B48"/>
    <w:rsid w:val="0045103D"/>
    <w:rsid w:val="004516A3"/>
    <w:rsid w:val="00452B3D"/>
    <w:rsid w:val="004555F6"/>
    <w:rsid w:val="00456E5B"/>
    <w:rsid w:val="004605B9"/>
    <w:rsid w:val="00464D06"/>
    <w:rsid w:val="004662FE"/>
    <w:rsid w:val="00466FFF"/>
    <w:rsid w:val="00467E01"/>
    <w:rsid w:val="004708FD"/>
    <w:rsid w:val="0047245C"/>
    <w:rsid w:val="00472AD3"/>
    <w:rsid w:val="00475083"/>
    <w:rsid w:val="004758F0"/>
    <w:rsid w:val="0047626A"/>
    <w:rsid w:val="004768BE"/>
    <w:rsid w:val="00481E86"/>
    <w:rsid w:val="00482174"/>
    <w:rsid w:val="00484682"/>
    <w:rsid w:val="004869F7"/>
    <w:rsid w:val="00486EE5"/>
    <w:rsid w:val="00487378"/>
    <w:rsid w:val="004879B0"/>
    <w:rsid w:val="00493606"/>
    <w:rsid w:val="00496B2A"/>
    <w:rsid w:val="004A2238"/>
    <w:rsid w:val="004A392D"/>
    <w:rsid w:val="004A3C8A"/>
    <w:rsid w:val="004A4D88"/>
    <w:rsid w:val="004B1D90"/>
    <w:rsid w:val="004B291B"/>
    <w:rsid w:val="004B347D"/>
    <w:rsid w:val="004B50E2"/>
    <w:rsid w:val="004B69F7"/>
    <w:rsid w:val="004B6AE2"/>
    <w:rsid w:val="004C2E21"/>
    <w:rsid w:val="004D236D"/>
    <w:rsid w:val="004D399A"/>
    <w:rsid w:val="004D664A"/>
    <w:rsid w:val="004D6D23"/>
    <w:rsid w:val="004D7BF6"/>
    <w:rsid w:val="004E096C"/>
    <w:rsid w:val="004E0ADD"/>
    <w:rsid w:val="004E7AAA"/>
    <w:rsid w:val="004F0DB8"/>
    <w:rsid w:val="004F1B03"/>
    <w:rsid w:val="004F20C3"/>
    <w:rsid w:val="004F328F"/>
    <w:rsid w:val="00500065"/>
    <w:rsid w:val="005000EE"/>
    <w:rsid w:val="00500232"/>
    <w:rsid w:val="005025B8"/>
    <w:rsid w:val="0050427C"/>
    <w:rsid w:val="005050B6"/>
    <w:rsid w:val="005061D3"/>
    <w:rsid w:val="0050676D"/>
    <w:rsid w:val="005103E9"/>
    <w:rsid w:val="00511E64"/>
    <w:rsid w:val="0051300F"/>
    <w:rsid w:val="00514391"/>
    <w:rsid w:val="00515AE5"/>
    <w:rsid w:val="00516F6F"/>
    <w:rsid w:val="00517528"/>
    <w:rsid w:val="005179DE"/>
    <w:rsid w:val="005209CC"/>
    <w:rsid w:val="00522A2E"/>
    <w:rsid w:val="00522BA0"/>
    <w:rsid w:val="0052338F"/>
    <w:rsid w:val="00523883"/>
    <w:rsid w:val="00525B69"/>
    <w:rsid w:val="00532AD0"/>
    <w:rsid w:val="005331D2"/>
    <w:rsid w:val="00535DF5"/>
    <w:rsid w:val="005364F1"/>
    <w:rsid w:val="005370F3"/>
    <w:rsid w:val="00550BC8"/>
    <w:rsid w:val="00550DBE"/>
    <w:rsid w:val="00553375"/>
    <w:rsid w:val="0055406A"/>
    <w:rsid w:val="005566BB"/>
    <w:rsid w:val="005568DF"/>
    <w:rsid w:val="00561DB4"/>
    <w:rsid w:val="00564F98"/>
    <w:rsid w:val="005707CD"/>
    <w:rsid w:val="00575851"/>
    <w:rsid w:val="0057719E"/>
    <w:rsid w:val="0057735C"/>
    <w:rsid w:val="00582866"/>
    <w:rsid w:val="00583EB5"/>
    <w:rsid w:val="00583F31"/>
    <w:rsid w:val="00585015"/>
    <w:rsid w:val="00587BE6"/>
    <w:rsid w:val="00587CC7"/>
    <w:rsid w:val="00590FDF"/>
    <w:rsid w:val="005916A6"/>
    <w:rsid w:val="00592018"/>
    <w:rsid w:val="00594CFD"/>
    <w:rsid w:val="005A1CA5"/>
    <w:rsid w:val="005A4A3E"/>
    <w:rsid w:val="005A671E"/>
    <w:rsid w:val="005A75DF"/>
    <w:rsid w:val="005C1BD4"/>
    <w:rsid w:val="005C2D98"/>
    <w:rsid w:val="005C2FAF"/>
    <w:rsid w:val="005C3981"/>
    <w:rsid w:val="005C6B4D"/>
    <w:rsid w:val="005C772C"/>
    <w:rsid w:val="005D0642"/>
    <w:rsid w:val="005D1231"/>
    <w:rsid w:val="005D2B0A"/>
    <w:rsid w:val="005D440E"/>
    <w:rsid w:val="005D46B2"/>
    <w:rsid w:val="005D5171"/>
    <w:rsid w:val="005D6C14"/>
    <w:rsid w:val="005E0C69"/>
    <w:rsid w:val="005F12A5"/>
    <w:rsid w:val="005F43E1"/>
    <w:rsid w:val="005F7C9F"/>
    <w:rsid w:val="006020BB"/>
    <w:rsid w:val="00602995"/>
    <w:rsid w:val="00605D99"/>
    <w:rsid w:val="00613F77"/>
    <w:rsid w:val="006147DC"/>
    <w:rsid w:val="00615AFE"/>
    <w:rsid w:val="006168AF"/>
    <w:rsid w:val="006175AD"/>
    <w:rsid w:val="00623DCC"/>
    <w:rsid w:val="00623F72"/>
    <w:rsid w:val="00624B02"/>
    <w:rsid w:val="00626470"/>
    <w:rsid w:val="00627922"/>
    <w:rsid w:val="00631047"/>
    <w:rsid w:val="00631166"/>
    <w:rsid w:val="00635961"/>
    <w:rsid w:val="00642CCA"/>
    <w:rsid w:val="006434F8"/>
    <w:rsid w:val="00644560"/>
    <w:rsid w:val="0064613E"/>
    <w:rsid w:val="00646331"/>
    <w:rsid w:val="006472D6"/>
    <w:rsid w:val="00651A5B"/>
    <w:rsid w:val="00651B1E"/>
    <w:rsid w:val="006565C1"/>
    <w:rsid w:val="006609C9"/>
    <w:rsid w:val="00666451"/>
    <w:rsid w:val="00666B1A"/>
    <w:rsid w:val="00670746"/>
    <w:rsid w:val="00670B70"/>
    <w:rsid w:val="00673B08"/>
    <w:rsid w:val="00675BD9"/>
    <w:rsid w:val="00677BF9"/>
    <w:rsid w:val="006818C0"/>
    <w:rsid w:val="0069293C"/>
    <w:rsid w:val="00695374"/>
    <w:rsid w:val="00695E04"/>
    <w:rsid w:val="006964C9"/>
    <w:rsid w:val="006A0164"/>
    <w:rsid w:val="006A03E6"/>
    <w:rsid w:val="006A1E39"/>
    <w:rsid w:val="006A42A2"/>
    <w:rsid w:val="006A5B59"/>
    <w:rsid w:val="006A65B7"/>
    <w:rsid w:val="006B03FB"/>
    <w:rsid w:val="006B2132"/>
    <w:rsid w:val="006B21A6"/>
    <w:rsid w:val="006B3F80"/>
    <w:rsid w:val="006B610F"/>
    <w:rsid w:val="006C0FBA"/>
    <w:rsid w:val="006C3C48"/>
    <w:rsid w:val="006C605F"/>
    <w:rsid w:val="006C7751"/>
    <w:rsid w:val="006D0DE8"/>
    <w:rsid w:val="006D1553"/>
    <w:rsid w:val="006D23A1"/>
    <w:rsid w:val="006D3E3B"/>
    <w:rsid w:val="006D5EF7"/>
    <w:rsid w:val="006D72AA"/>
    <w:rsid w:val="006E0FE6"/>
    <w:rsid w:val="006E14D0"/>
    <w:rsid w:val="006E186E"/>
    <w:rsid w:val="006E1877"/>
    <w:rsid w:val="006E3226"/>
    <w:rsid w:val="006E40DA"/>
    <w:rsid w:val="006F29E9"/>
    <w:rsid w:val="006F48AE"/>
    <w:rsid w:val="006F5B9E"/>
    <w:rsid w:val="006F71E7"/>
    <w:rsid w:val="00700BBE"/>
    <w:rsid w:val="00702265"/>
    <w:rsid w:val="007025C9"/>
    <w:rsid w:val="00705420"/>
    <w:rsid w:val="00711744"/>
    <w:rsid w:val="00712F74"/>
    <w:rsid w:val="00713072"/>
    <w:rsid w:val="00721762"/>
    <w:rsid w:val="007227F8"/>
    <w:rsid w:val="00725A66"/>
    <w:rsid w:val="00727698"/>
    <w:rsid w:val="00727C6C"/>
    <w:rsid w:val="00730E60"/>
    <w:rsid w:val="00731001"/>
    <w:rsid w:val="00731CC0"/>
    <w:rsid w:val="007328B8"/>
    <w:rsid w:val="00735078"/>
    <w:rsid w:val="00735581"/>
    <w:rsid w:val="00742C2C"/>
    <w:rsid w:val="00742F66"/>
    <w:rsid w:val="00743810"/>
    <w:rsid w:val="00745605"/>
    <w:rsid w:val="00747021"/>
    <w:rsid w:val="00751072"/>
    <w:rsid w:val="00754F4B"/>
    <w:rsid w:val="00757D5C"/>
    <w:rsid w:val="00764387"/>
    <w:rsid w:val="0076469E"/>
    <w:rsid w:val="00765B83"/>
    <w:rsid w:val="00767151"/>
    <w:rsid w:val="00767B69"/>
    <w:rsid w:val="00770639"/>
    <w:rsid w:val="007707B1"/>
    <w:rsid w:val="0077120E"/>
    <w:rsid w:val="0077261D"/>
    <w:rsid w:val="00773D29"/>
    <w:rsid w:val="007845AD"/>
    <w:rsid w:val="00786F10"/>
    <w:rsid w:val="00794C32"/>
    <w:rsid w:val="00795E85"/>
    <w:rsid w:val="007961D1"/>
    <w:rsid w:val="007A2624"/>
    <w:rsid w:val="007A4511"/>
    <w:rsid w:val="007A7151"/>
    <w:rsid w:val="007B141C"/>
    <w:rsid w:val="007B3E86"/>
    <w:rsid w:val="007B4545"/>
    <w:rsid w:val="007B5BA3"/>
    <w:rsid w:val="007B5F4A"/>
    <w:rsid w:val="007C196A"/>
    <w:rsid w:val="007C3616"/>
    <w:rsid w:val="007C49F2"/>
    <w:rsid w:val="007C6AC1"/>
    <w:rsid w:val="007C797D"/>
    <w:rsid w:val="007D27ED"/>
    <w:rsid w:val="007D539B"/>
    <w:rsid w:val="007D6751"/>
    <w:rsid w:val="007D6DDD"/>
    <w:rsid w:val="007D7D3F"/>
    <w:rsid w:val="007E3191"/>
    <w:rsid w:val="007F1346"/>
    <w:rsid w:val="007F1FDC"/>
    <w:rsid w:val="007F547B"/>
    <w:rsid w:val="007F54DC"/>
    <w:rsid w:val="0080261E"/>
    <w:rsid w:val="00803F6E"/>
    <w:rsid w:val="00805391"/>
    <w:rsid w:val="0080553E"/>
    <w:rsid w:val="0080648D"/>
    <w:rsid w:val="008074B9"/>
    <w:rsid w:val="008079E3"/>
    <w:rsid w:val="008101DB"/>
    <w:rsid w:val="00810A4B"/>
    <w:rsid w:val="008114E6"/>
    <w:rsid w:val="00812F64"/>
    <w:rsid w:val="0081353F"/>
    <w:rsid w:val="008145FD"/>
    <w:rsid w:val="00816236"/>
    <w:rsid w:val="008171C5"/>
    <w:rsid w:val="008206E7"/>
    <w:rsid w:val="00821220"/>
    <w:rsid w:val="00821622"/>
    <w:rsid w:val="00827661"/>
    <w:rsid w:val="008321F7"/>
    <w:rsid w:val="0083224A"/>
    <w:rsid w:val="00834B05"/>
    <w:rsid w:val="00834D8F"/>
    <w:rsid w:val="00834DDA"/>
    <w:rsid w:val="00835315"/>
    <w:rsid w:val="00841E3F"/>
    <w:rsid w:val="0084581F"/>
    <w:rsid w:val="00846D43"/>
    <w:rsid w:val="0085192A"/>
    <w:rsid w:val="00855C6D"/>
    <w:rsid w:val="008631C4"/>
    <w:rsid w:val="00864F9A"/>
    <w:rsid w:val="00865DCB"/>
    <w:rsid w:val="00866B92"/>
    <w:rsid w:val="0087096B"/>
    <w:rsid w:val="008764C8"/>
    <w:rsid w:val="008773F3"/>
    <w:rsid w:val="00877B59"/>
    <w:rsid w:val="00880F91"/>
    <w:rsid w:val="00881905"/>
    <w:rsid w:val="00883630"/>
    <w:rsid w:val="008842E7"/>
    <w:rsid w:val="00884864"/>
    <w:rsid w:val="0088508F"/>
    <w:rsid w:val="00887A04"/>
    <w:rsid w:val="008906EA"/>
    <w:rsid w:val="008912F3"/>
    <w:rsid w:val="00891FC9"/>
    <w:rsid w:val="0089279B"/>
    <w:rsid w:val="008934AE"/>
    <w:rsid w:val="00896C22"/>
    <w:rsid w:val="008A67CB"/>
    <w:rsid w:val="008A70FB"/>
    <w:rsid w:val="008A7662"/>
    <w:rsid w:val="008B1015"/>
    <w:rsid w:val="008B317F"/>
    <w:rsid w:val="008B450D"/>
    <w:rsid w:val="008B6AA6"/>
    <w:rsid w:val="008C09B7"/>
    <w:rsid w:val="008C14B4"/>
    <w:rsid w:val="008C6E72"/>
    <w:rsid w:val="008D08D4"/>
    <w:rsid w:val="008D2A13"/>
    <w:rsid w:val="008D38BD"/>
    <w:rsid w:val="008D7DA0"/>
    <w:rsid w:val="008E6083"/>
    <w:rsid w:val="008F1D38"/>
    <w:rsid w:val="008F1D86"/>
    <w:rsid w:val="008F227B"/>
    <w:rsid w:val="008F3F99"/>
    <w:rsid w:val="008F49E8"/>
    <w:rsid w:val="0090025B"/>
    <w:rsid w:val="009013A1"/>
    <w:rsid w:val="009043D6"/>
    <w:rsid w:val="00904BC4"/>
    <w:rsid w:val="00905930"/>
    <w:rsid w:val="0090748B"/>
    <w:rsid w:val="009121ED"/>
    <w:rsid w:val="00912F6D"/>
    <w:rsid w:val="00913C0D"/>
    <w:rsid w:val="00914D9C"/>
    <w:rsid w:val="009171AA"/>
    <w:rsid w:val="00917355"/>
    <w:rsid w:val="00917D5F"/>
    <w:rsid w:val="009211FB"/>
    <w:rsid w:val="00922134"/>
    <w:rsid w:val="00923FB0"/>
    <w:rsid w:val="009244D5"/>
    <w:rsid w:val="00934166"/>
    <w:rsid w:val="009352E9"/>
    <w:rsid w:val="00936805"/>
    <w:rsid w:val="009415A2"/>
    <w:rsid w:val="0094686C"/>
    <w:rsid w:val="00946BEC"/>
    <w:rsid w:val="009478E4"/>
    <w:rsid w:val="00951062"/>
    <w:rsid w:val="00951325"/>
    <w:rsid w:val="00951E15"/>
    <w:rsid w:val="00954A91"/>
    <w:rsid w:val="00960928"/>
    <w:rsid w:val="00963BD4"/>
    <w:rsid w:val="00963C71"/>
    <w:rsid w:val="00966544"/>
    <w:rsid w:val="00967346"/>
    <w:rsid w:val="009727AD"/>
    <w:rsid w:val="0097302F"/>
    <w:rsid w:val="00975101"/>
    <w:rsid w:val="00976596"/>
    <w:rsid w:val="00980FD5"/>
    <w:rsid w:val="00982447"/>
    <w:rsid w:val="0098282B"/>
    <w:rsid w:val="009839F2"/>
    <w:rsid w:val="00983B99"/>
    <w:rsid w:val="0098462D"/>
    <w:rsid w:val="00987324"/>
    <w:rsid w:val="009951CC"/>
    <w:rsid w:val="009965E7"/>
    <w:rsid w:val="0099751D"/>
    <w:rsid w:val="009A102C"/>
    <w:rsid w:val="009A20DB"/>
    <w:rsid w:val="009A2D44"/>
    <w:rsid w:val="009A7030"/>
    <w:rsid w:val="009B0147"/>
    <w:rsid w:val="009B1393"/>
    <w:rsid w:val="009B177E"/>
    <w:rsid w:val="009B1D63"/>
    <w:rsid w:val="009B209B"/>
    <w:rsid w:val="009B236A"/>
    <w:rsid w:val="009B5ED0"/>
    <w:rsid w:val="009B65DE"/>
    <w:rsid w:val="009B69B0"/>
    <w:rsid w:val="009B6AB4"/>
    <w:rsid w:val="009B6EE8"/>
    <w:rsid w:val="009B77F8"/>
    <w:rsid w:val="009C0B3B"/>
    <w:rsid w:val="009C27BE"/>
    <w:rsid w:val="009C56B0"/>
    <w:rsid w:val="009C621F"/>
    <w:rsid w:val="009C7339"/>
    <w:rsid w:val="009D0138"/>
    <w:rsid w:val="009D07F8"/>
    <w:rsid w:val="009D192A"/>
    <w:rsid w:val="009D2690"/>
    <w:rsid w:val="009D380E"/>
    <w:rsid w:val="009D57DE"/>
    <w:rsid w:val="009D73AB"/>
    <w:rsid w:val="009D7C3A"/>
    <w:rsid w:val="009E2AE4"/>
    <w:rsid w:val="009F12F0"/>
    <w:rsid w:val="009F13E7"/>
    <w:rsid w:val="009F13F4"/>
    <w:rsid w:val="009F1614"/>
    <w:rsid w:val="009F2261"/>
    <w:rsid w:val="009F35AD"/>
    <w:rsid w:val="009F3C6E"/>
    <w:rsid w:val="009F443E"/>
    <w:rsid w:val="009F55EA"/>
    <w:rsid w:val="009F5680"/>
    <w:rsid w:val="00A005EA"/>
    <w:rsid w:val="00A00E88"/>
    <w:rsid w:val="00A021FD"/>
    <w:rsid w:val="00A03D82"/>
    <w:rsid w:val="00A07242"/>
    <w:rsid w:val="00A10BE4"/>
    <w:rsid w:val="00A14879"/>
    <w:rsid w:val="00A1656B"/>
    <w:rsid w:val="00A16A45"/>
    <w:rsid w:val="00A22A99"/>
    <w:rsid w:val="00A25B55"/>
    <w:rsid w:val="00A31FCE"/>
    <w:rsid w:val="00A341DE"/>
    <w:rsid w:val="00A40F86"/>
    <w:rsid w:val="00A41408"/>
    <w:rsid w:val="00A42483"/>
    <w:rsid w:val="00A42C23"/>
    <w:rsid w:val="00A441D9"/>
    <w:rsid w:val="00A455B0"/>
    <w:rsid w:val="00A4582B"/>
    <w:rsid w:val="00A46D79"/>
    <w:rsid w:val="00A4736E"/>
    <w:rsid w:val="00A5012E"/>
    <w:rsid w:val="00A508DF"/>
    <w:rsid w:val="00A510E6"/>
    <w:rsid w:val="00A5201C"/>
    <w:rsid w:val="00A52B50"/>
    <w:rsid w:val="00A541C2"/>
    <w:rsid w:val="00A574C1"/>
    <w:rsid w:val="00A577F5"/>
    <w:rsid w:val="00A62588"/>
    <w:rsid w:val="00A626C7"/>
    <w:rsid w:val="00A6336D"/>
    <w:rsid w:val="00A63D26"/>
    <w:rsid w:val="00A66971"/>
    <w:rsid w:val="00A72E94"/>
    <w:rsid w:val="00A7456B"/>
    <w:rsid w:val="00A806F6"/>
    <w:rsid w:val="00A82556"/>
    <w:rsid w:val="00A83FB0"/>
    <w:rsid w:val="00A84BF7"/>
    <w:rsid w:val="00A87128"/>
    <w:rsid w:val="00A90AFE"/>
    <w:rsid w:val="00A91D40"/>
    <w:rsid w:val="00A92DA8"/>
    <w:rsid w:val="00A92E03"/>
    <w:rsid w:val="00A9309A"/>
    <w:rsid w:val="00A963FC"/>
    <w:rsid w:val="00A9728B"/>
    <w:rsid w:val="00AA0B6F"/>
    <w:rsid w:val="00AA1B70"/>
    <w:rsid w:val="00AA1C21"/>
    <w:rsid w:val="00AA2078"/>
    <w:rsid w:val="00AA27D8"/>
    <w:rsid w:val="00AA37A2"/>
    <w:rsid w:val="00AA3EC4"/>
    <w:rsid w:val="00AB0CB5"/>
    <w:rsid w:val="00AB45DE"/>
    <w:rsid w:val="00AB4FE5"/>
    <w:rsid w:val="00AB7F99"/>
    <w:rsid w:val="00AC3260"/>
    <w:rsid w:val="00AC3F1D"/>
    <w:rsid w:val="00AD1278"/>
    <w:rsid w:val="00AD219C"/>
    <w:rsid w:val="00AD59B5"/>
    <w:rsid w:val="00AD71CE"/>
    <w:rsid w:val="00AD77A4"/>
    <w:rsid w:val="00AE262D"/>
    <w:rsid w:val="00AE3A3C"/>
    <w:rsid w:val="00AE66BE"/>
    <w:rsid w:val="00AE7917"/>
    <w:rsid w:val="00AF1EB3"/>
    <w:rsid w:val="00AF2162"/>
    <w:rsid w:val="00AF2F2D"/>
    <w:rsid w:val="00AF5454"/>
    <w:rsid w:val="00AF5F8D"/>
    <w:rsid w:val="00AF6D44"/>
    <w:rsid w:val="00AF6F9A"/>
    <w:rsid w:val="00AF7454"/>
    <w:rsid w:val="00B006ED"/>
    <w:rsid w:val="00B007F8"/>
    <w:rsid w:val="00B02CE8"/>
    <w:rsid w:val="00B061D7"/>
    <w:rsid w:val="00B0770F"/>
    <w:rsid w:val="00B150DC"/>
    <w:rsid w:val="00B1632F"/>
    <w:rsid w:val="00B20FF9"/>
    <w:rsid w:val="00B25DC0"/>
    <w:rsid w:val="00B30D12"/>
    <w:rsid w:val="00B31140"/>
    <w:rsid w:val="00B33F1D"/>
    <w:rsid w:val="00B34F82"/>
    <w:rsid w:val="00B403B6"/>
    <w:rsid w:val="00B41018"/>
    <w:rsid w:val="00B41B00"/>
    <w:rsid w:val="00B41CEF"/>
    <w:rsid w:val="00B431C5"/>
    <w:rsid w:val="00B450FA"/>
    <w:rsid w:val="00B50363"/>
    <w:rsid w:val="00B539CD"/>
    <w:rsid w:val="00B5575A"/>
    <w:rsid w:val="00B62927"/>
    <w:rsid w:val="00B65E93"/>
    <w:rsid w:val="00B70671"/>
    <w:rsid w:val="00B73280"/>
    <w:rsid w:val="00B74AD2"/>
    <w:rsid w:val="00B74E82"/>
    <w:rsid w:val="00B80FBC"/>
    <w:rsid w:val="00B82614"/>
    <w:rsid w:val="00B82C01"/>
    <w:rsid w:val="00B82F5C"/>
    <w:rsid w:val="00B84A10"/>
    <w:rsid w:val="00B84D64"/>
    <w:rsid w:val="00B84E2D"/>
    <w:rsid w:val="00B87E9D"/>
    <w:rsid w:val="00B93223"/>
    <w:rsid w:val="00B936BC"/>
    <w:rsid w:val="00B951AF"/>
    <w:rsid w:val="00B9621A"/>
    <w:rsid w:val="00B976A0"/>
    <w:rsid w:val="00B97866"/>
    <w:rsid w:val="00BA0D83"/>
    <w:rsid w:val="00BA16F3"/>
    <w:rsid w:val="00BA1E84"/>
    <w:rsid w:val="00BA286D"/>
    <w:rsid w:val="00BA3B08"/>
    <w:rsid w:val="00BA3BC7"/>
    <w:rsid w:val="00BA3D72"/>
    <w:rsid w:val="00BA5BE8"/>
    <w:rsid w:val="00BA632A"/>
    <w:rsid w:val="00BA68C3"/>
    <w:rsid w:val="00BA6AB1"/>
    <w:rsid w:val="00BA6B1A"/>
    <w:rsid w:val="00BA6B98"/>
    <w:rsid w:val="00BA7675"/>
    <w:rsid w:val="00BB3759"/>
    <w:rsid w:val="00BB3992"/>
    <w:rsid w:val="00BC3CCC"/>
    <w:rsid w:val="00BC48AA"/>
    <w:rsid w:val="00BC7CD1"/>
    <w:rsid w:val="00BD0D3E"/>
    <w:rsid w:val="00BD224A"/>
    <w:rsid w:val="00BD3A64"/>
    <w:rsid w:val="00BD4088"/>
    <w:rsid w:val="00BD4BBD"/>
    <w:rsid w:val="00BD67BB"/>
    <w:rsid w:val="00BE09B7"/>
    <w:rsid w:val="00BE1627"/>
    <w:rsid w:val="00BE1D7F"/>
    <w:rsid w:val="00BE1F29"/>
    <w:rsid w:val="00BE4EF5"/>
    <w:rsid w:val="00BE5C07"/>
    <w:rsid w:val="00BE5CD7"/>
    <w:rsid w:val="00BE6B69"/>
    <w:rsid w:val="00BE7F89"/>
    <w:rsid w:val="00BF02E8"/>
    <w:rsid w:val="00BF1910"/>
    <w:rsid w:val="00BF1C85"/>
    <w:rsid w:val="00BF23DB"/>
    <w:rsid w:val="00BF6349"/>
    <w:rsid w:val="00BF7936"/>
    <w:rsid w:val="00C00317"/>
    <w:rsid w:val="00C009CF"/>
    <w:rsid w:val="00C029AC"/>
    <w:rsid w:val="00C057A1"/>
    <w:rsid w:val="00C06DDE"/>
    <w:rsid w:val="00C07382"/>
    <w:rsid w:val="00C07799"/>
    <w:rsid w:val="00C07822"/>
    <w:rsid w:val="00C11F33"/>
    <w:rsid w:val="00C1266B"/>
    <w:rsid w:val="00C12C80"/>
    <w:rsid w:val="00C15113"/>
    <w:rsid w:val="00C16247"/>
    <w:rsid w:val="00C206D6"/>
    <w:rsid w:val="00C228B6"/>
    <w:rsid w:val="00C231AB"/>
    <w:rsid w:val="00C23251"/>
    <w:rsid w:val="00C26625"/>
    <w:rsid w:val="00C267C7"/>
    <w:rsid w:val="00C273B1"/>
    <w:rsid w:val="00C30763"/>
    <w:rsid w:val="00C33103"/>
    <w:rsid w:val="00C341CF"/>
    <w:rsid w:val="00C370C7"/>
    <w:rsid w:val="00C376FB"/>
    <w:rsid w:val="00C442F5"/>
    <w:rsid w:val="00C45791"/>
    <w:rsid w:val="00C46227"/>
    <w:rsid w:val="00C47278"/>
    <w:rsid w:val="00C52D02"/>
    <w:rsid w:val="00C54CD1"/>
    <w:rsid w:val="00C55825"/>
    <w:rsid w:val="00C55FF3"/>
    <w:rsid w:val="00C56E18"/>
    <w:rsid w:val="00C607C8"/>
    <w:rsid w:val="00C60AC2"/>
    <w:rsid w:val="00C6228C"/>
    <w:rsid w:val="00C63CE2"/>
    <w:rsid w:val="00C66954"/>
    <w:rsid w:val="00C70965"/>
    <w:rsid w:val="00C75FE3"/>
    <w:rsid w:val="00C7657F"/>
    <w:rsid w:val="00C80DA1"/>
    <w:rsid w:val="00C8250E"/>
    <w:rsid w:val="00C91F6C"/>
    <w:rsid w:val="00C93AB7"/>
    <w:rsid w:val="00C9734D"/>
    <w:rsid w:val="00C97CA8"/>
    <w:rsid w:val="00CA0168"/>
    <w:rsid w:val="00CA115A"/>
    <w:rsid w:val="00CA2592"/>
    <w:rsid w:val="00CA2718"/>
    <w:rsid w:val="00CA273C"/>
    <w:rsid w:val="00CA38B0"/>
    <w:rsid w:val="00CA5484"/>
    <w:rsid w:val="00CA7A76"/>
    <w:rsid w:val="00CB0CD1"/>
    <w:rsid w:val="00CB2545"/>
    <w:rsid w:val="00CB72F4"/>
    <w:rsid w:val="00CC034D"/>
    <w:rsid w:val="00CC4075"/>
    <w:rsid w:val="00CC68A6"/>
    <w:rsid w:val="00CC72BA"/>
    <w:rsid w:val="00CD24E7"/>
    <w:rsid w:val="00CD342E"/>
    <w:rsid w:val="00CE3AE8"/>
    <w:rsid w:val="00CE6C77"/>
    <w:rsid w:val="00CE792C"/>
    <w:rsid w:val="00CE7FB4"/>
    <w:rsid w:val="00CF0AB0"/>
    <w:rsid w:val="00CF10BD"/>
    <w:rsid w:val="00CF20AE"/>
    <w:rsid w:val="00CF2130"/>
    <w:rsid w:val="00CF7829"/>
    <w:rsid w:val="00D00FFD"/>
    <w:rsid w:val="00D133E3"/>
    <w:rsid w:val="00D213CE"/>
    <w:rsid w:val="00D24636"/>
    <w:rsid w:val="00D25599"/>
    <w:rsid w:val="00D274FE"/>
    <w:rsid w:val="00D35108"/>
    <w:rsid w:val="00D3518D"/>
    <w:rsid w:val="00D44985"/>
    <w:rsid w:val="00D4605E"/>
    <w:rsid w:val="00D46950"/>
    <w:rsid w:val="00D50EB0"/>
    <w:rsid w:val="00D51469"/>
    <w:rsid w:val="00D5235C"/>
    <w:rsid w:val="00D5729F"/>
    <w:rsid w:val="00D60433"/>
    <w:rsid w:val="00D61A87"/>
    <w:rsid w:val="00D651C4"/>
    <w:rsid w:val="00D67216"/>
    <w:rsid w:val="00D67A55"/>
    <w:rsid w:val="00D67BC4"/>
    <w:rsid w:val="00D7521A"/>
    <w:rsid w:val="00D77F31"/>
    <w:rsid w:val="00D8207C"/>
    <w:rsid w:val="00D82425"/>
    <w:rsid w:val="00D825E1"/>
    <w:rsid w:val="00D83F89"/>
    <w:rsid w:val="00D856A1"/>
    <w:rsid w:val="00D85753"/>
    <w:rsid w:val="00D94583"/>
    <w:rsid w:val="00DA0308"/>
    <w:rsid w:val="00DA16E6"/>
    <w:rsid w:val="00DA4438"/>
    <w:rsid w:val="00DA44F7"/>
    <w:rsid w:val="00DA63DB"/>
    <w:rsid w:val="00DA6870"/>
    <w:rsid w:val="00DB0671"/>
    <w:rsid w:val="00DB14FF"/>
    <w:rsid w:val="00DC2C39"/>
    <w:rsid w:val="00DC2CEA"/>
    <w:rsid w:val="00DC2D6E"/>
    <w:rsid w:val="00DC48DF"/>
    <w:rsid w:val="00DD0F0E"/>
    <w:rsid w:val="00DD233D"/>
    <w:rsid w:val="00DD34E2"/>
    <w:rsid w:val="00DD4360"/>
    <w:rsid w:val="00DD53D3"/>
    <w:rsid w:val="00DE3E84"/>
    <w:rsid w:val="00DE4588"/>
    <w:rsid w:val="00DE6A7A"/>
    <w:rsid w:val="00DE6E03"/>
    <w:rsid w:val="00DF6F6B"/>
    <w:rsid w:val="00E027CD"/>
    <w:rsid w:val="00E02A6E"/>
    <w:rsid w:val="00E032D0"/>
    <w:rsid w:val="00E0451E"/>
    <w:rsid w:val="00E04839"/>
    <w:rsid w:val="00E05E03"/>
    <w:rsid w:val="00E078BE"/>
    <w:rsid w:val="00E12EA0"/>
    <w:rsid w:val="00E137C4"/>
    <w:rsid w:val="00E13D80"/>
    <w:rsid w:val="00E14788"/>
    <w:rsid w:val="00E161C6"/>
    <w:rsid w:val="00E169B8"/>
    <w:rsid w:val="00E25AA2"/>
    <w:rsid w:val="00E2666E"/>
    <w:rsid w:val="00E26BDE"/>
    <w:rsid w:val="00E329BF"/>
    <w:rsid w:val="00E3380F"/>
    <w:rsid w:val="00E34D48"/>
    <w:rsid w:val="00E4197A"/>
    <w:rsid w:val="00E452C3"/>
    <w:rsid w:val="00E45998"/>
    <w:rsid w:val="00E47667"/>
    <w:rsid w:val="00E550CE"/>
    <w:rsid w:val="00E607E6"/>
    <w:rsid w:val="00E64C30"/>
    <w:rsid w:val="00E65A27"/>
    <w:rsid w:val="00E665DB"/>
    <w:rsid w:val="00E700E9"/>
    <w:rsid w:val="00E73430"/>
    <w:rsid w:val="00E7554A"/>
    <w:rsid w:val="00E75D1E"/>
    <w:rsid w:val="00E84BF1"/>
    <w:rsid w:val="00E87A95"/>
    <w:rsid w:val="00E90475"/>
    <w:rsid w:val="00E90C45"/>
    <w:rsid w:val="00E90E55"/>
    <w:rsid w:val="00E90FBB"/>
    <w:rsid w:val="00E91708"/>
    <w:rsid w:val="00E91B79"/>
    <w:rsid w:val="00E924BA"/>
    <w:rsid w:val="00EA65D7"/>
    <w:rsid w:val="00EA72F5"/>
    <w:rsid w:val="00EA72F8"/>
    <w:rsid w:val="00EB0063"/>
    <w:rsid w:val="00EB2435"/>
    <w:rsid w:val="00EB2B66"/>
    <w:rsid w:val="00EB41F2"/>
    <w:rsid w:val="00EB4C41"/>
    <w:rsid w:val="00EB5023"/>
    <w:rsid w:val="00EC0417"/>
    <w:rsid w:val="00EC2543"/>
    <w:rsid w:val="00EC623D"/>
    <w:rsid w:val="00EC6E58"/>
    <w:rsid w:val="00ED0138"/>
    <w:rsid w:val="00ED59C4"/>
    <w:rsid w:val="00ED65E9"/>
    <w:rsid w:val="00EE0C4F"/>
    <w:rsid w:val="00EE2E12"/>
    <w:rsid w:val="00EE6E53"/>
    <w:rsid w:val="00EF0252"/>
    <w:rsid w:val="00EF4DB2"/>
    <w:rsid w:val="00F018DF"/>
    <w:rsid w:val="00F02082"/>
    <w:rsid w:val="00F03DE6"/>
    <w:rsid w:val="00F06BC8"/>
    <w:rsid w:val="00F07C97"/>
    <w:rsid w:val="00F15F22"/>
    <w:rsid w:val="00F16CCF"/>
    <w:rsid w:val="00F17B57"/>
    <w:rsid w:val="00F209E2"/>
    <w:rsid w:val="00F230E5"/>
    <w:rsid w:val="00F25128"/>
    <w:rsid w:val="00F252BC"/>
    <w:rsid w:val="00F27991"/>
    <w:rsid w:val="00F306BC"/>
    <w:rsid w:val="00F30EF1"/>
    <w:rsid w:val="00F31371"/>
    <w:rsid w:val="00F3207C"/>
    <w:rsid w:val="00F3453B"/>
    <w:rsid w:val="00F3770A"/>
    <w:rsid w:val="00F37E28"/>
    <w:rsid w:val="00F41577"/>
    <w:rsid w:val="00F4275C"/>
    <w:rsid w:val="00F46E87"/>
    <w:rsid w:val="00F56CD6"/>
    <w:rsid w:val="00F56FEC"/>
    <w:rsid w:val="00F61F85"/>
    <w:rsid w:val="00F6297C"/>
    <w:rsid w:val="00F6627A"/>
    <w:rsid w:val="00F67A70"/>
    <w:rsid w:val="00F702D1"/>
    <w:rsid w:val="00F70CF2"/>
    <w:rsid w:val="00F71378"/>
    <w:rsid w:val="00F71DE8"/>
    <w:rsid w:val="00F72078"/>
    <w:rsid w:val="00F723E2"/>
    <w:rsid w:val="00F72EB0"/>
    <w:rsid w:val="00F74242"/>
    <w:rsid w:val="00F75A3C"/>
    <w:rsid w:val="00F8149F"/>
    <w:rsid w:val="00F83DCD"/>
    <w:rsid w:val="00F84325"/>
    <w:rsid w:val="00F85186"/>
    <w:rsid w:val="00F8761F"/>
    <w:rsid w:val="00F91586"/>
    <w:rsid w:val="00F975DA"/>
    <w:rsid w:val="00FA2624"/>
    <w:rsid w:val="00FA3E73"/>
    <w:rsid w:val="00FA4670"/>
    <w:rsid w:val="00FA4FF1"/>
    <w:rsid w:val="00FA62DB"/>
    <w:rsid w:val="00FA788A"/>
    <w:rsid w:val="00FA7A02"/>
    <w:rsid w:val="00FB09A4"/>
    <w:rsid w:val="00FB11EB"/>
    <w:rsid w:val="00FB2A8C"/>
    <w:rsid w:val="00FB321D"/>
    <w:rsid w:val="00FB3B65"/>
    <w:rsid w:val="00FB6963"/>
    <w:rsid w:val="00FB6A9E"/>
    <w:rsid w:val="00FB6DC9"/>
    <w:rsid w:val="00FB74F6"/>
    <w:rsid w:val="00FC1F5B"/>
    <w:rsid w:val="00FC7002"/>
    <w:rsid w:val="00FC71BD"/>
    <w:rsid w:val="00FD037E"/>
    <w:rsid w:val="00FD3EE4"/>
    <w:rsid w:val="00FD53CF"/>
    <w:rsid w:val="00FD6B8A"/>
    <w:rsid w:val="00FE04EB"/>
    <w:rsid w:val="00FE1D7F"/>
    <w:rsid w:val="00FE363E"/>
    <w:rsid w:val="00FE510B"/>
    <w:rsid w:val="00FE58B4"/>
    <w:rsid w:val="00FF2E69"/>
    <w:rsid w:val="00FF2FB4"/>
    <w:rsid w:val="00FF3BA2"/>
    <w:rsid w:val="00FF7B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557F130"/>
  <w15:docId w15:val="{AC9E6252-F808-4605-B1FE-AB619904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61"/>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table" w:styleId="TableGrid">
    <w:name w:val="Table Grid"/>
    <w:basedOn w:val="TableNormal"/>
    <w:uiPriority w:val="59"/>
    <w:rsid w:val="00827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27661"/>
    <w:pPr>
      <w:spacing w:after="100"/>
    </w:pPr>
  </w:style>
  <w:style w:type="character" w:styleId="Hyperlink">
    <w:name w:val="Hyperlink"/>
    <w:basedOn w:val="DefaultParagraphFont"/>
    <w:uiPriority w:val="99"/>
    <w:unhideWhenUsed/>
    <w:rsid w:val="00827661"/>
    <w:rPr>
      <w:color w:val="5F5F5F" w:themeColor="hyperlink"/>
      <w:u w:val="single"/>
    </w:rPr>
  </w:style>
  <w:style w:type="paragraph" w:styleId="TOC2">
    <w:name w:val="toc 2"/>
    <w:basedOn w:val="Normal"/>
    <w:next w:val="Normal"/>
    <w:autoRedefine/>
    <w:uiPriority w:val="39"/>
    <w:unhideWhenUsed/>
    <w:rsid w:val="00827661"/>
    <w:pPr>
      <w:spacing w:after="100"/>
      <w:ind w:left="220"/>
    </w:pPr>
  </w:style>
  <w:style w:type="character" w:styleId="CommentReference">
    <w:name w:val="annotation reference"/>
    <w:basedOn w:val="DefaultParagraphFont"/>
    <w:uiPriority w:val="99"/>
    <w:semiHidden/>
    <w:unhideWhenUsed/>
    <w:rsid w:val="00827661"/>
    <w:rPr>
      <w:sz w:val="16"/>
      <w:szCs w:val="16"/>
    </w:rPr>
  </w:style>
  <w:style w:type="paragraph" w:styleId="CommentText">
    <w:name w:val="annotation text"/>
    <w:basedOn w:val="Normal"/>
    <w:link w:val="CommentTextChar"/>
    <w:uiPriority w:val="99"/>
    <w:unhideWhenUsed/>
    <w:rsid w:val="00827661"/>
    <w:pPr>
      <w:spacing w:line="240" w:lineRule="auto"/>
    </w:pPr>
    <w:rPr>
      <w:sz w:val="20"/>
      <w:szCs w:val="20"/>
    </w:rPr>
  </w:style>
  <w:style w:type="character" w:customStyle="1" w:styleId="CommentTextChar">
    <w:name w:val="Comment Text Char"/>
    <w:basedOn w:val="DefaultParagraphFont"/>
    <w:link w:val="CommentText"/>
    <w:uiPriority w:val="99"/>
    <w:rsid w:val="00827661"/>
    <w:rPr>
      <w:sz w:val="20"/>
      <w:szCs w:val="20"/>
    </w:rPr>
  </w:style>
  <w:style w:type="paragraph" w:styleId="CommentSubject">
    <w:name w:val="annotation subject"/>
    <w:basedOn w:val="CommentText"/>
    <w:next w:val="CommentText"/>
    <w:link w:val="CommentSubjectChar"/>
    <w:uiPriority w:val="99"/>
    <w:semiHidden/>
    <w:unhideWhenUsed/>
    <w:rsid w:val="00827661"/>
    <w:rPr>
      <w:b/>
      <w:bCs/>
    </w:rPr>
  </w:style>
  <w:style w:type="character" w:customStyle="1" w:styleId="CommentSubjectChar">
    <w:name w:val="Comment Subject Char"/>
    <w:basedOn w:val="CommentTextChar"/>
    <w:link w:val="CommentSubject"/>
    <w:uiPriority w:val="99"/>
    <w:semiHidden/>
    <w:rsid w:val="00827661"/>
    <w:rPr>
      <w:b/>
      <w:bCs/>
      <w:sz w:val="20"/>
      <w:szCs w:val="20"/>
    </w:rPr>
  </w:style>
  <w:style w:type="paragraph" w:customStyle="1" w:styleId="subsection-e">
    <w:name w:val="subsection-e"/>
    <w:basedOn w:val="Normal"/>
    <w:rsid w:val="00AE66B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aragraph-e">
    <w:name w:val="paragraph-e"/>
    <w:basedOn w:val="Normal"/>
    <w:rsid w:val="00AE66B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clause-e">
    <w:name w:val="clause-e"/>
    <w:basedOn w:val="Normal"/>
    <w:rsid w:val="00AE66B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ubclause-e">
    <w:name w:val="subclause-e"/>
    <w:basedOn w:val="Normal"/>
    <w:rsid w:val="00AE66B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Revision">
    <w:name w:val="Revision"/>
    <w:hidden/>
    <w:uiPriority w:val="99"/>
    <w:semiHidden/>
    <w:rsid w:val="00B976A0"/>
    <w:pPr>
      <w:spacing w:after="0" w:line="240" w:lineRule="auto"/>
    </w:pPr>
  </w:style>
  <w:style w:type="character" w:styleId="UnresolvedMention">
    <w:name w:val="Unresolved Mention"/>
    <w:basedOn w:val="DefaultParagraphFont"/>
    <w:uiPriority w:val="99"/>
    <w:semiHidden/>
    <w:unhideWhenUsed/>
    <w:rsid w:val="00C228B6"/>
    <w:rPr>
      <w:color w:val="808080"/>
      <w:shd w:val="clear" w:color="auto" w:fill="E6E6E6"/>
    </w:rPr>
  </w:style>
  <w:style w:type="character" w:styleId="PlaceholderText">
    <w:name w:val="Placeholder Text"/>
    <w:basedOn w:val="DefaultParagraphFont"/>
    <w:uiPriority w:val="99"/>
    <w:semiHidden/>
    <w:rsid w:val="00393CA2"/>
    <w:rPr>
      <w:color w:val="808080"/>
    </w:rPr>
  </w:style>
  <w:style w:type="character" w:styleId="FollowedHyperlink">
    <w:name w:val="FollowedHyperlink"/>
    <w:basedOn w:val="DefaultParagraphFont"/>
    <w:uiPriority w:val="99"/>
    <w:semiHidden/>
    <w:unhideWhenUsed/>
    <w:rsid w:val="008773F3"/>
    <w:rPr>
      <w:color w:val="919191" w:themeColor="followedHyperlink"/>
      <w:u w:val="single"/>
    </w:rPr>
  </w:style>
  <w:style w:type="paragraph" w:customStyle="1" w:styleId="definition">
    <w:name w:val="definition"/>
    <w:basedOn w:val="Normal"/>
    <w:rsid w:val="00C15113"/>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aragraph">
    <w:name w:val="paragraph"/>
    <w:basedOn w:val="Normal"/>
    <w:rsid w:val="00C15113"/>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ection-e">
    <w:name w:val="section-e"/>
    <w:basedOn w:val="Normal"/>
    <w:rsid w:val="00912F6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TOC3">
    <w:name w:val="toc 3"/>
    <w:basedOn w:val="Normal"/>
    <w:next w:val="Normal"/>
    <w:autoRedefine/>
    <w:uiPriority w:val="39"/>
    <w:unhideWhenUsed/>
    <w:rsid w:val="00BD224A"/>
    <w:pPr>
      <w:spacing w:after="100"/>
      <w:ind w:left="440"/>
    </w:pPr>
  </w:style>
  <w:style w:type="paragraph" w:styleId="FootnoteText">
    <w:name w:val="footnote text"/>
    <w:basedOn w:val="Normal"/>
    <w:link w:val="FootnoteTextChar"/>
    <w:uiPriority w:val="99"/>
    <w:semiHidden/>
    <w:unhideWhenUsed/>
    <w:rsid w:val="006B61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610F"/>
    <w:rPr>
      <w:sz w:val="20"/>
      <w:szCs w:val="20"/>
    </w:rPr>
  </w:style>
  <w:style w:type="character" w:styleId="FootnoteReference">
    <w:name w:val="footnote reference"/>
    <w:basedOn w:val="DefaultParagraphFont"/>
    <w:uiPriority w:val="99"/>
    <w:semiHidden/>
    <w:unhideWhenUsed/>
    <w:rsid w:val="006B61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42560">
      <w:bodyDiv w:val="1"/>
      <w:marLeft w:val="0"/>
      <w:marRight w:val="0"/>
      <w:marTop w:val="0"/>
      <w:marBottom w:val="0"/>
      <w:divBdr>
        <w:top w:val="none" w:sz="0" w:space="0" w:color="auto"/>
        <w:left w:val="none" w:sz="0" w:space="0" w:color="auto"/>
        <w:bottom w:val="none" w:sz="0" w:space="0" w:color="auto"/>
        <w:right w:val="none" w:sz="0" w:space="0" w:color="auto"/>
      </w:divBdr>
    </w:div>
    <w:div w:id="319312585">
      <w:bodyDiv w:val="1"/>
      <w:marLeft w:val="0"/>
      <w:marRight w:val="0"/>
      <w:marTop w:val="0"/>
      <w:marBottom w:val="0"/>
      <w:divBdr>
        <w:top w:val="none" w:sz="0" w:space="0" w:color="auto"/>
        <w:left w:val="none" w:sz="0" w:space="0" w:color="auto"/>
        <w:bottom w:val="none" w:sz="0" w:space="0" w:color="auto"/>
        <w:right w:val="none" w:sz="0" w:space="0" w:color="auto"/>
      </w:divBdr>
    </w:div>
    <w:div w:id="790510972">
      <w:bodyDiv w:val="1"/>
      <w:marLeft w:val="0"/>
      <w:marRight w:val="0"/>
      <w:marTop w:val="0"/>
      <w:marBottom w:val="0"/>
      <w:divBdr>
        <w:top w:val="none" w:sz="0" w:space="0" w:color="auto"/>
        <w:left w:val="none" w:sz="0" w:space="0" w:color="auto"/>
        <w:bottom w:val="none" w:sz="0" w:space="0" w:color="auto"/>
        <w:right w:val="none" w:sz="0" w:space="0" w:color="auto"/>
      </w:divBdr>
    </w:div>
    <w:div w:id="873999337">
      <w:bodyDiv w:val="1"/>
      <w:marLeft w:val="0"/>
      <w:marRight w:val="0"/>
      <w:marTop w:val="0"/>
      <w:marBottom w:val="0"/>
      <w:divBdr>
        <w:top w:val="none" w:sz="0" w:space="0" w:color="auto"/>
        <w:left w:val="none" w:sz="0" w:space="0" w:color="auto"/>
        <w:bottom w:val="none" w:sz="0" w:space="0" w:color="auto"/>
        <w:right w:val="none" w:sz="0" w:space="0" w:color="auto"/>
      </w:divBdr>
    </w:div>
    <w:div w:id="912278161">
      <w:bodyDiv w:val="1"/>
      <w:marLeft w:val="0"/>
      <w:marRight w:val="0"/>
      <w:marTop w:val="0"/>
      <w:marBottom w:val="0"/>
      <w:divBdr>
        <w:top w:val="none" w:sz="0" w:space="0" w:color="auto"/>
        <w:left w:val="none" w:sz="0" w:space="0" w:color="auto"/>
        <w:bottom w:val="none" w:sz="0" w:space="0" w:color="auto"/>
        <w:right w:val="none" w:sz="0" w:space="0" w:color="auto"/>
      </w:divBdr>
    </w:div>
    <w:div w:id="968323507">
      <w:bodyDiv w:val="1"/>
      <w:marLeft w:val="0"/>
      <w:marRight w:val="0"/>
      <w:marTop w:val="0"/>
      <w:marBottom w:val="0"/>
      <w:divBdr>
        <w:top w:val="none" w:sz="0" w:space="0" w:color="auto"/>
        <w:left w:val="none" w:sz="0" w:space="0" w:color="auto"/>
        <w:bottom w:val="none" w:sz="0" w:space="0" w:color="auto"/>
        <w:right w:val="none" w:sz="0" w:space="0" w:color="auto"/>
      </w:divBdr>
    </w:div>
    <w:div w:id="1070611790">
      <w:bodyDiv w:val="1"/>
      <w:marLeft w:val="0"/>
      <w:marRight w:val="0"/>
      <w:marTop w:val="0"/>
      <w:marBottom w:val="0"/>
      <w:divBdr>
        <w:top w:val="none" w:sz="0" w:space="0" w:color="auto"/>
        <w:left w:val="none" w:sz="0" w:space="0" w:color="auto"/>
        <w:bottom w:val="none" w:sz="0" w:space="0" w:color="auto"/>
        <w:right w:val="none" w:sz="0" w:space="0" w:color="auto"/>
      </w:divBdr>
    </w:div>
    <w:div w:id="1128820050">
      <w:bodyDiv w:val="1"/>
      <w:marLeft w:val="0"/>
      <w:marRight w:val="0"/>
      <w:marTop w:val="0"/>
      <w:marBottom w:val="0"/>
      <w:divBdr>
        <w:top w:val="none" w:sz="0" w:space="0" w:color="auto"/>
        <w:left w:val="none" w:sz="0" w:space="0" w:color="auto"/>
        <w:bottom w:val="none" w:sz="0" w:space="0" w:color="auto"/>
        <w:right w:val="none" w:sz="0" w:space="0" w:color="auto"/>
      </w:divBdr>
    </w:div>
    <w:div w:id="1150631615">
      <w:bodyDiv w:val="1"/>
      <w:marLeft w:val="0"/>
      <w:marRight w:val="0"/>
      <w:marTop w:val="0"/>
      <w:marBottom w:val="0"/>
      <w:divBdr>
        <w:top w:val="none" w:sz="0" w:space="0" w:color="auto"/>
        <w:left w:val="none" w:sz="0" w:space="0" w:color="auto"/>
        <w:bottom w:val="none" w:sz="0" w:space="0" w:color="auto"/>
        <w:right w:val="none" w:sz="0" w:space="0" w:color="auto"/>
      </w:divBdr>
    </w:div>
    <w:div w:id="1171599742">
      <w:bodyDiv w:val="1"/>
      <w:marLeft w:val="0"/>
      <w:marRight w:val="0"/>
      <w:marTop w:val="0"/>
      <w:marBottom w:val="0"/>
      <w:divBdr>
        <w:top w:val="none" w:sz="0" w:space="0" w:color="auto"/>
        <w:left w:val="none" w:sz="0" w:space="0" w:color="auto"/>
        <w:bottom w:val="none" w:sz="0" w:space="0" w:color="auto"/>
        <w:right w:val="none" w:sz="0" w:space="0" w:color="auto"/>
      </w:divBdr>
    </w:div>
    <w:div w:id="1260017333">
      <w:bodyDiv w:val="1"/>
      <w:marLeft w:val="0"/>
      <w:marRight w:val="0"/>
      <w:marTop w:val="0"/>
      <w:marBottom w:val="0"/>
      <w:divBdr>
        <w:top w:val="none" w:sz="0" w:space="0" w:color="auto"/>
        <w:left w:val="none" w:sz="0" w:space="0" w:color="auto"/>
        <w:bottom w:val="none" w:sz="0" w:space="0" w:color="auto"/>
        <w:right w:val="none" w:sz="0" w:space="0" w:color="auto"/>
      </w:divBdr>
    </w:div>
    <w:div w:id="1370759756">
      <w:bodyDiv w:val="1"/>
      <w:marLeft w:val="0"/>
      <w:marRight w:val="0"/>
      <w:marTop w:val="0"/>
      <w:marBottom w:val="0"/>
      <w:divBdr>
        <w:top w:val="none" w:sz="0" w:space="0" w:color="auto"/>
        <w:left w:val="none" w:sz="0" w:space="0" w:color="auto"/>
        <w:bottom w:val="none" w:sz="0" w:space="0" w:color="auto"/>
        <w:right w:val="none" w:sz="0" w:space="0" w:color="auto"/>
      </w:divBdr>
    </w:div>
    <w:div w:id="1384521921">
      <w:bodyDiv w:val="1"/>
      <w:marLeft w:val="0"/>
      <w:marRight w:val="0"/>
      <w:marTop w:val="0"/>
      <w:marBottom w:val="0"/>
      <w:divBdr>
        <w:top w:val="none" w:sz="0" w:space="0" w:color="auto"/>
        <w:left w:val="none" w:sz="0" w:space="0" w:color="auto"/>
        <w:bottom w:val="none" w:sz="0" w:space="0" w:color="auto"/>
        <w:right w:val="none" w:sz="0" w:space="0" w:color="auto"/>
      </w:divBdr>
    </w:div>
    <w:div w:id="1402361941">
      <w:bodyDiv w:val="1"/>
      <w:marLeft w:val="0"/>
      <w:marRight w:val="0"/>
      <w:marTop w:val="0"/>
      <w:marBottom w:val="0"/>
      <w:divBdr>
        <w:top w:val="none" w:sz="0" w:space="0" w:color="auto"/>
        <w:left w:val="none" w:sz="0" w:space="0" w:color="auto"/>
        <w:bottom w:val="none" w:sz="0" w:space="0" w:color="auto"/>
        <w:right w:val="none" w:sz="0" w:space="0" w:color="auto"/>
      </w:divBdr>
    </w:div>
    <w:div w:id="1781149223">
      <w:bodyDiv w:val="1"/>
      <w:marLeft w:val="0"/>
      <w:marRight w:val="0"/>
      <w:marTop w:val="0"/>
      <w:marBottom w:val="0"/>
      <w:divBdr>
        <w:top w:val="none" w:sz="0" w:space="0" w:color="auto"/>
        <w:left w:val="none" w:sz="0" w:space="0" w:color="auto"/>
        <w:bottom w:val="none" w:sz="0" w:space="0" w:color="auto"/>
        <w:right w:val="none" w:sz="0" w:space="0" w:color="auto"/>
      </w:divBdr>
    </w:div>
    <w:div w:id="1815679263">
      <w:bodyDiv w:val="1"/>
      <w:marLeft w:val="0"/>
      <w:marRight w:val="0"/>
      <w:marTop w:val="0"/>
      <w:marBottom w:val="0"/>
      <w:divBdr>
        <w:top w:val="none" w:sz="0" w:space="0" w:color="auto"/>
        <w:left w:val="none" w:sz="0" w:space="0" w:color="auto"/>
        <w:bottom w:val="none" w:sz="0" w:space="0" w:color="auto"/>
        <w:right w:val="none" w:sz="0" w:space="0" w:color="auto"/>
      </w:divBdr>
    </w:div>
    <w:div w:id="1834951051">
      <w:bodyDiv w:val="1"/>
      <w:marLeft w:val="0"/>
      <w:marRight w:val="0"/>
      <w:marTop w:val="0"/>
      <w:marBottom w:val="0"/>
      <w:divBdr>
        <w:top w:val="none" w:sz="0" w:space="0" w:color="auto"/>
        <w:left w:val="none" w:sz="0" w:space="0" w:color="auto"/>
        <w:bottom w:val="none" w:sz="0" w:space="0" w:color="auto"/>
        <w:right w:val="none" w:sz="0" w:space="0" w:color="auto"/>
      </w:divBdr>
    </w:div>
    <w:div w:id="2094741624">
      <w:bodyDiv w:val="1"/>
      <w:marLeft w:val="0"/>
      <w:marRight w:val="0"/>
      <w:marTop w:val="0"/>
      <w:marBottom w:val="0"/>
      <w:divBdr>
        <w:top w:val="none" w:sz="0" w:space="0" w:color="auto"/>
        <w:left w:val="none" w:sz="0" w:space="0" w:color="auto"/>
        <w:bottom w:val="none" w:sz="0" w:space="0" w:color="auto"/>
        <w:right w:val="none" w:sz="0" w:space="0" w:color="auto"/>
      </w:divBdr>
    </w:div>
    <w:div w:id="2138446971">
      <w:bodyDiv w:val="1"/>
      <w:marLeft w:val="0"/>
      <w:marRight w:val="0"/>
      <w:marTop w:val="0"/>
      <w:marBottom w:val="0"/>
      <w:divBdr>
        <w:top w:val="none" w:sz="0" w:space="0" w:color="auto"/>
        <w:left w:val="none" w:sz="0" w:space="0" w:color="auto"/>
        <w:bottom w:val="none" w:sz="0" w:space="0" w:color="auto"/>
        <w:right w:val="none" w:sz="0" w:space="0" w:color="auto"/>
      </w:divBdr>
    </w:div>
    <w:div w:id="214075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mndm.gov.on.ca/sites/default/files/technical_standards_for_reporting_assessment_work_en.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www.ontario.ca/laws/regulation/180065" TargetMode="External"/><Relationship Id="rId1" Type="http://schemas.openxmlformats.org/officeDocument/2006/relationships/hyperlink" Target="https://www.ontario.ca/laws/statute/90m14"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1983CFC757864AB3A211FD54C8D127" ma:contentTypeVersion="13" ma:contentTypeDescription="Create a new document." ma:contentTypeScope="" ma:versionID="f1f2509455802a0794df085f40090cee">
  <xsd:schema xmlns:xsd="http://www.w3.org/2001/XMLSchema" xmlns:xs="http://www.w3.org/2001/XMLSchema" xmlns:p="http://schemas.microsoft.com/office/2006/metadata/properties" xmlns:ns3="45aa67dd-e8a8-4f45-86d5-8f9f29db84c7" xmlns:ns4="7cff3f73-efa0-4882-bfda-6b2204adf6ef" targetNamespace="http://schemas.microsoft.com/office/2006/metadata/properties" ma:root="true" ma:fieldsID="01362d05b17fcff2ca8a2e2cda73d361" ns3:_="" ns4:_="">
    <xsd:import namespace="45aa67dd-e8a8-4f45-86d5-8f9f29db84c7"/>
    <xsd:import namespace="7cff3f73-efa0-4882-bfda-6b2204adf6e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a67dd-e8a8-4f45-86d5-8f9f29db8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ff3f73-efa0-4882-bfda-6b2204adf6e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46AD1-EFD8-41FA-BFFD-240355D1D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a67dd-e8a8-4f45-86d5-8f9f29db84c7"/>
    <ds:schemaRef ds:uri="7cff3f73-efa0-4882-bfda-6b2204adf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F0EAE0-5DEE-4859-AAEB-25A82FB13D30}">
  <ds:schemaRefs>
    <ds:schemaRef ds:uri="http://schemas.microsoft.com/sharepoint/v3/contenttype/forms"/>
  </ds:schemaRefs>
</ds:datastoreItem>
</file>

<file path=customXml/itemProps3.xml><?xml version="1.0" encoding="utf-8"?>
<ds:datastoreItem xmlns:ds="http://schemas.openxmlformats.org/officeDocument/2006/customXml" ds:itemID="{0673D5F9-A288-496F-9EAB-D424F15B82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972FBF-4D3A-4D11-8EF2-AEF5FA9BB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5380</Words>
  <Characters>30666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35975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Gordey, Erin (MNDM)</dc:creator>
  <cp:keywords/>
  <dc:description/>
  <cp:lastModifiedBy>Fortin, Sophie (ENDM)</cp:lastModifiedBy>
  <cp:revision>11</cp:revision>
  <cp:lastPrinted>2019-02-28T18:43:00Z</cp:lastPrinted>
  <dcterms:created xsi:type="dcterms:W3CDTF">2022-04-19T17:57:00Z</dcterms:created>
  <dcterms:modified xsi:type="dcterms:W3CDTF">2022-09-19T16:04:00Z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0x010100521983CFC757864AB3A211FD54C8D127</vt:lpwstr>
  </property>
  <property fmtid="{D5CDD505-2E9C-101B-9397-08002B2CF9AE}" pid="3" name="MSIP_Label_034a106e-6316-442c-ad35-738afd673d2b_Enabled">
    <vt:lpwstr>true</vt:lpwstr>
  </property>
  <property fmtid="{D5CDD505-2E9C-101B-9397-08002B2CF9AE}" pid="4" name="MSIP_Label_034a106e-6316-442c-ad35-738afd673d2b_SetDate">
    <vt:lpwstr>2021-08-17T18:53:50Z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