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840E" w14:textId="224AD75D" w:rsidR="00796C1C" w:rsidRPr="009A1351" w:rsidRDefault="00796C1C" w:rsidP="009A1351">
      <w:pPr>
        <w:jc w:val="center"/>
        <w:rPr>
          <w:b/>
          <w:bCs/>
          <w:sz w:val="22"/>
        </w:rPr>
      </w:pPr>
      <w:bookmarkStart w:id="0" w:name="_Hlk130462943"/>
      <w:r w:rsidRPr="009A1351">
        <w:rPr>
          <w:b/>
          <w:bCs/>
          <w:sz w:val="22"/>
        </w:rPr>
        <w:t>Draft Updated MTCS Statement of Environmental Values</w:t>
      </w:r>
    </w:p>
    <w:p w14:paraId="142EFDA2" w14:textId="77777777" w:rsidR="00796C1C" w:rsidRDefault="00796C1C" w:rsidP="00906DA9">
      <w:pPr>
        <w:spacing w:before="100" w:beforeAutospacing="1" w:after="120"/>
        <w:rPr>
          <w:rFonts w:eastAsia="Times New Roman" w:cstheme="minorHAnsi"/>
          <w:b/>
          <w:bCs/>
          <w:sz w:val="22"/>
          <w:lang w:eastAsia="en-CA"/>
        </w:rPr>
      </w:pPr>
      <w:r w:rsidRPr="009A1351">
        <w:rPr>
          <w:rFonts w:eastAsia="Times New Roman" w:cstheme="minorHAnsi"/>
          <w:b/>
          <w:bCs/>
          <w:sz w:val="22"/>
          <w:lang w:eastAsia="en-CA"/>
        </w:rPr>
        <w:t>1. Introduction</w:t>
      </w:r>
    </w:p>
    <w:p w14:paraId="4054EA92"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Ontario </w:t>
      </w:r>
      <w:r w:rsidRPr="00E92256">
        <w:rPr>
          <w:rFonts w:eastAsia="Times New Roman" w:cstheme="minorHAnsi"/>
          <w:i/>
          <w:iCs/>
          <w:sz w:val="22"/>
          <w:lang w:eastAsia="en-CA"/>
        </w:rPr>
        <w:t>Environmental Bill of Rights</w:t>
      </w:r>
      <w:r w:rsidRPr="00E92256">
        <w:rPr>
          <w:rFonts w:eastAsia="Times New Roman" w:cstheme="minorHAnsi"/>
          <w:sz w:val="22"/>
          <w:lang w:eastAsia="en-CA"/>
        </w:rPr>
        <w:t> (EBR) was proclaimed in February 1994. The founding principles of the EBR are stated in its Preamble:</w:t>
      </w:r>
    </w:p>
    <w:p w14:paraId="14B7A774" w14:textId="77777777" w:rsidR="00796C1C" w:rsidRPr="00E92256" w:rsidRDefault="00796C1C" w:rsidP="00DE21D7">
      <w:pPr>
        <w:numPr>
          <w:ilvl w:val="0"/>
          <w:numId w:val="2"/>
        </w:numPr>
        <w:rPr>
          <w:rFonts w:eastAsia="Times New Roman" w:cstheme="minorHAnsi"/>
          <w:sz w:val="22"/>
          <w:lang w:eastAsia="en-CA"/>
        </w:rPr>
      </w:pPr>
      <w:r w:rsidRPr="00E92256">
        <w:rPr>
          <w:rFonts w:eastAsia="Times New Roman" w:cstheme="minorHAnsi"/>
          <w:sz w:val="22"/>
          <w:lang w:eastAsia="en-CA"/>
        </w:rPr>
        <w:t>The people of Ontario recognize the inherent value of the natural environment.</w:t>
      </w:r>
    </w:p>
    <w:p w14:paraId="649FBA65" w14:textId="77777777" w:rsidR="00796C1C" w:rsidRPr="00E92256" w:rsidRDefault="00796C1C" w:rsidP="00DE21D7">
      <w:pPr>
        <w:numPr>
          <w:ilvl w:val="0"/>
          <w:numId w:val="2"/>
        </w:numPr>
        <w:rPr>
          <w:rFonts w:eastAsia="Times New Roman" w:cstheme="minorHAnsi"/>
          <w:sz w:val="22"/>
          <w:lang w:eastAsia="en-CA"/>
        </w:rPr>
      </w:pPr>
      <w:r w:rsidRPr="00E92256">
        <w:rPr>
          <w:rFonts w:eastAsia="Times New Roman" w:cstheme="minorHAnsi"/>
          <w:sz w:val="22"/>
          <w:lang w:eastAsia="en-CA"/>
        </w:rPr>
        <w:t>The people of Ontario have a right to a healthful environment.</w:t>
      </w:r>
    </w:p>
    <w:p w14:paraId="5EBEA9CE" w14:textId="77777777" w:rsidR="00796C1C" w:rsidRPr="00E92256" w:rsidRDefault="00796C1C" w:rsidP="00DE21D7">
      <w:pPr>
        <w:numPr>
          <w:ilvl w:val="0"/>
          <w:numId w:val="2"/>
        </w:numPr>
        <w:rPr>
          <w:rFonts w:eastAsia="Times New Roman" w:cstheme="minorHAnsi"/>
          <w:sz w:val="22"/>
          <w:lang w:eastAsia="en-CA"/>
        </w:rPr>
      </w:pPr>
      <w:r w:rsidRPr="00E92256">
        <w:rPr>
          <w:rFonts w:eastAsia="Times New Roman" w:cstheme="minorHAnsi"/>
          <w:sz w:val="22"/>
          <w:lang w:eastAsia="en-CA"/>
        </w:rPr>
        <w:t xml:space="preserve">The people of Ontario have as a common goal the protection, </w:t>
      </w:r>
      <w:proofErr w:type="gramStart"/>
      <w:r w:rsidRPr="00E92256">
        <w:rPr>
          <w:rFonts w:eastAsia="Times New Roman" w:cstheme="minorHAnsi"/>
          <w:sz w:val="22"/>
          <w:lang w:eastAsia="en-CA"/>
        </w:rPr>
        <w:t>conservation</w:t>
      </w:r>
      <w:proofErr w:type="gramEnd"/>
      <w:r w:rsidRPr="00E92256">
        <w:rPr>
          <w:rFonts w:eastAsia="Times New Roman" w:cstheme="minorHAnsi"/>
          <w:sz w:val="22"/>
          <w:lang w:eastAsia="en-CA"/>
        </w:rPr>
        <w:t xml:space="preserve"> and restoration of the natural environment for the benefit of present and future generations.</w:t>
      </w:r>
    </w:p>
    <w:p w14:paraId="53851A01"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 xml:space="preserve">While the government has the primary responsibility for achieving this goal, Ontarians should have the means to ensure that it is achieved in an effective, timely, </w:t>
      </w:r>
      <w:proofErr w:type="gramStart"/>
      <w:r w:rsidRPr="00E92256">
        <w:rPr>
          <w:rFonts w:eastAsia="Times New Roman" w:cstheme="minorHAnsi"/>
          <w:sz w:val="22"/>
          <w:lang w:eastAsia="en-CA"/>
        </w:rPr>
        <w:t>open</w:t>
      </w:r>
      <w:proofErr w:type="gramEnd"/>
      <w:r w:rsidRPr="00E92256">
        <w:rPr>
          <w:rFonts w:eastAsia="Times New Roman" w:cstheme="minorHAnsi"/>
          <w:sz w:val="22"/>
          <w:lang w:eastAsia="en-CA"/>
        </w:rPr>
        <w:t xml:space="preserve"> and fair manner.</w:t>
      </w:r>
    </w:p>
    <w:p w14:paraId="34436DDC"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purposes of the Act are:</w:t>
      </w:r>
    </w:p>
    <w:p w14:paraId="19DA4E11" w14:textId="77777777" w:rsidR="00796C1C" w:rsidRPr="00E92256" w:rsidRDefault="00796C1C" w:rsidP="00DE21D7">
      <w:pPr>
        <w:numPr>
          <w:ilvl w:val="0"/>
          <w:numId w:val="3"/>
        </w:numPr>
        <w:rPr>
          <w:rFonts w:eastAsia="Times New Roman" w:cstheme="minorHAnsi"/>
          <w:sz w:val="22"/>
          <w:lang w:eastAsia="en-CA"/>
        </w:rPr>
      </w:pPr>
      <w:r w:rsidRPr="00E92256">
        <w:rPr>
          <w:rFonts w:eastAsia="Times New Roman" w:cstheme="minorHAnsi"/>
          <w:sz w:val="22"/>
          <w:lang w:eastAsia="en-CA"/>
        </w:rPr>
        <w:t xml:space="preserve">To protect, conserve and, where reasonable, restore the integrity of the </w:t>
      </w:r>
      <w:proofErr w:type="gramStart"/>
      <w:r w:rsidRPr="00E92256">
        <w:rPr>
          <w:rFonts w:eastAsia="Times New Roman" w:cstheme="minorHAnsi"/>
          <w:sz w:val="22"/>
          <w:lang w:eastAsia="en-CA"/>
        </w:rPr>
        <w:t>environment;</w:t>
      </w:r>
      <w:proofErr w:type="gramEnd"/>
    </w:p>
    <w:p w14:paraId="66F19E0B" w14:textId="77777777" w:rsidR="00796C1C" w:rsidRPr="00E92256" w:rsidRDefault="00796C1C" w:rsidP="00DE21D7">
      <w:pPr>
        <w:numPr>
          <w:ilvl w:val="0"/>
          <w:numId w:val="3"/>
        </w:numPr>
        <w:rPr>
          <w:rFonts w:eastAsia="Times New Roman" w:cstheme="minorHAnsi"/>
          <w:sz w:val="22"/>
          <w:lang w:eastAsia="en-CA"/>
        </w:rPr>
      </w:pPr>
      <w:r w:rsidRPr="00E92256">
        <w:rPr>
          <w:rFonts w:eastAsia="Times New Roman" w:cstheme="minorHAnsi"/>
          <w:sz w:val="22"/>
          <w:lang w:eastAsia="en-CA"/>
        </w:rPr>
        <w:t>To provide sustainability of the environment by the means provided in the Act; and</w:t>
      </w:r>
    </w:p>
    <w:p w14:paraId="5E48EADB" w14:textId="77777777" w:rsidR="00796C1C" w:rsidRPr="00E92256" w:rsidRDefault="00796C1C" w:rsidP="00DE21D7">
      <w:pPr>
        <w:numPr>
          <w:ilvl w:val="0"/>
          <w:numId w:val="3"/>
        </w:numPr>
        <w:rPr>
          <w:rFonts w:eastAsia="Times New Roman" w:cstheme="minorHAnsi"/>
          <w:sz w:val="22"/>
          <w:lang w:eastAsia="en-CA"/>
        </w:rPr>
      </w:pPr>
      <w:r w:rsidRPr="00E92256">
        <w:rPr>
          <w:rFonts w:eastAsia="Times New Roman" w:cstheme="minorHAnsi"/>
          <w:sz w:val="22"/>
          <w:lang w:eastAsia="en-CA"/>
        </w:rPr>
        <w:t>To protect the right to a healthful environment by the means provided in the Act.</w:t>
      </w:r>
    </w:p>
    <w:p w14:paraId="2E66ABC0" w14:textId="77777777" w:rsidR="00796C1C" w:rsidRPr="00CE1368" w:rsidRDefault="00796C1C" w:rsidP="00D10D3B">
      <w:pPr>
        <w:spacing w:before="100" w:beforeAutospacing="1" w:after="120"/>
        <w:rPr>
          <w:rFonts w:ascii="Arial" w:eastAsia="Times New Roman" w:hAnsi="Arial" w:cs="Arial"/>
          <w:sz w:val="22"/>
          <w:lang w:eastAsia="en-CA"/>
        </w:rPr>
      </w:pPr>
      <w:r w:rsidRPr="00CE1368">
        <w:rPr>
          <w:rFonts w:ascii="Arial" w:eastAsia="Times New Roman" w:hAnsi="Arial" w:cs="Arial"/>
          <w:sz w:val="22"/>
          <w:lang w:eastAsia="en-CA"/>
        </w:rPr>
        <w:t>These purposes include the following:</w:t>
      </w:r>
    </w:p>
    <w:p w14:paraId="33D7B693" w14:textId="77777777" w:rsidR="00796C1C" w:rsidRPr="00E92256" w:rsidRDefault="00796C1C" w:rsidP="00DE21D7">
      <w:pPr>
        <w:numPr>
          <w:ilvl w:val="0"/>
          <w:numId w:val="4"/>
        </w:numPr>
        <w:rPr>
          <w:rFonts w:eastAsia="Times New Roman" w:cstheme="minorHAnsi"/>
          <w:sz w:val="22"/>
          <w:lang w:eastAsia="en-CA"/>
        </w:rPr>
      </w:pPr>
      <w:r w:rsidRPr="00E92256">
        <w:rPr>
          <w:rFonts w:eastAsia="Times New Roman" w:cstheme="minorHAnsi"/>
          <w:sz w:val="22"/>
          <w:lang w:eastAsia="en-CA"/>
        </w:rPr>
        <w:t>The prevention, reduction and elimination of the use, generation and release of pollutants that are an unreasonable threat to the integrity of the environment.</w:t>
      </w:r>
    </w:p>
    <w:p w14:paraId="7583E65D" w14:textId="77777777" w:rsidR="00796C1C" w:rsidRPr="00E92256" w:rsidRDefault="00796C1C" w:rsidP="00DE21D7">
      <w:pPr>
        <w:numPr>
          <w:ilvl w:val="0"/>
          <w:numId w:val="4"/>
        </w:numPr>
        <w:rPr>
          <w:rFonts w:eastAsia="Times New Roman" w:cstheme="minorHAnsi"/>
          <w:sz w:val="22"/>
          <w:lang w:eastAsia="en-CA"/>
        </w:rPr>
      </w:pPr>
      <w:r w:rsidRPr="00E92256">
        <w:rPr>
          <w:rFonts w:eastAsia="Times New Roman" w:cstheme="minorHAnsi"/>
          <w:sz w:val="22"/>
          <w:lang w:eastAsia="en-CA"/>
        </w:rPr>
        <w:t xml:space="preserve">The protection and conservation of biological, </w:t>
      </w:r>
      <w:proofErr w:type="gramStart"/>
      <w:r w:rsidRPr="00E92256">
        <w:rPr>
          <w:rFonts w:eastAsia="Times New Roman" w:cstheme="minorHAnsi"/>
          <w:sz w:val="22"/>
          <w:lang w:eastAsia="en-CA"/>
        </w:rPr>
        <w:t>ecological</w:t>
      </w:r>
      <w:proofErr w:type="gramEnd"/>
      <w:r w:rsidRPr="00E92256">
        <w:rPr>
          <w:rFonts w:eastAsia="Times New Roman" w:cstheme="minorHAnsi"/>
          <w:sz w:val="22"/>
          <w:lang w:eastAsia="en-CA"/>
        </w:rPr>
        <w:t xml:space="preserve"> and genetic diversity.</w:t>
      </w:r>
    </w:p>
    <w:p w14:paraId="60296A21" w14:textId="77777777" w:rsidR="00796C1C" w:rsidRPr="00E92256" w:rsidRDefault="00796C1C" w:rsidP="00DE21D7">
      <w:pPr>
        <w:numPr>
          <w:ilvl w:val="0"/>
          <w:numId w:val="4"/>
        </w:numPr>
        <w:rPr>
          <w:rFonts w:eastAsia="Times New Roman" w:cstheme="minorHAnsi"/>
          <w:sz w:val="22"/>
          <w:lang w:eastAsia="en-CA"/>
        </w:rPr>
      </w:pPr>
      <w:r w:rsidRPr="00E92256">
        <w:rPr>
          <w:rFonts w:eastAsia="Times New Roman" w:cstheme="minorHAnsi"/>
          <w:sz w:val="22"/>
          <w:lang w:eastAsia="en-CA"/>
        </w:rPr>
        <w:t>The protection and conservation of natural resources, including plant life, animal life and ecological systems.</w:t>
      </w:r>
    </w:p>
    <w:p w14:paraId="2FD96701" w14:textId="77777777" w:rsidR="00796C1C" w:rsidRPr="00E92256" w:rsidRDefault="00796C1C" w:rsidP="00DE21D7">
      <w:pPr>
        <w:numPr>
          <w:ilvl w:val="0"/>
          <w:numId w:val="4"/>
        </w:numPr>
        <w:rPr>
          <w:rFonts w:eastAsia="Times New Roman" w:cstheme="minorHAnsi"/>
          <w:sz w:val="22"/>
          <w:lang w:eastAsia="en-CA"/>
        </w:rPr>
      </w:pPr>
      <w:r w:rsidRPr="00E92256">
        <w:rPr>
          <w:rFonts w:eastAsia="Times New Roman" w:cstheme="minorHAnsi"/>
          <w:sz w:val="22"/>
          <w:lang w:eastAsia="en-CA"/>
        </w:rPr>
        <w:t>The encouragement of the wise management of our natural resources, including plant life, animal life and ecological systems.</w:t>
      </w:r>
    </w:p>
    <w:p w14:paraId="4251643C" w14:textId="77777777" w:rsidR="00796C1C" w:rsidRDefault="00796C1C" w:rsidP="00DE21D7">
      <w:pPr>
        <w:numPr>
          <w:ilvl w:val="0"/>
          <w:numId w:val="4"/>
        </w:numPr>
        <w:rPr>
          <w:rFonts w:eastAsia="Times New Roman" w:cstheme="minorHAnsi"/>
          <w:sz w:val="22"/>
          <w:lang w:eastAsia="en-CA"/>
        </w:rPr>
      </w:pPr>
      <w:r w:rsidRPr="00E92256">
        <w:rPr>
          <w:rFonts w:eastAsia="Times New Roman" w:cstheme="minorHAnsi"/>
          <w:sz w:val="22"/>
          <w:lang w:eastAsia="en-CA"/>
        </w:rPr>
        <w:t>The identification, protection and conservation of ecologically sensitive areas or processes.</w:t>
      </w:r>
    </w:p>
    <w:p w14:paraId="741EA4DE"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To assist in fulfilling these purposes, the Act provides:</w:t>
      </w:r>
    </w:p>
    <w:p w14:paraId="56A7D0C2" w14:textId="77777777" w:rsidR="00796C1C" w:rsidRPr="00E92256" w:rsidRDefault="00796C1C" w:rsidP="00DE21D7">
      <w:pPr>
        <w:numPr>
          <w:ilvl w:val="0"/>
          <w:numId w:val="5"/>
        </w:numPr>
        <w:rPr>
          <w:rFonts w:eastAsia="Times New Roman" w:cstheme="minorHAnsi"/>
          <w:sz w:val="22"/>
          <w:lang w:eastAsia="en-CA"/>
        </w:rPr>
      </w:pPr>
      <w:r w:rsidRPr="00E92256">
        <w:rPr>
          <w:rFonts w:eastAsia="Times New Roman" w:cstheme="minorHAnsi"/>
          <w:sz w:val="22"/>
          <w:lang w:eastAsia="en-CA"/>
        </w:rPr>
        <w:t xml:space="preserve">the means by which Ontarians may participate in the making of environmentally significant decisions by the Government of </w:t>
      </w:r>
      <w:proofErr w:type="gramStart"/>
      <w:r w:rsidRPr="00E92256">
        <w:rPr>
          <w:rFonts w:eastAsia="Times New Roman" w:cstheme="minorHAnsi"/>
          <w:sz w:val="22"/>
          <w:lang w:eastAsia="en-CA"/>
        </w:rPr>
        <w:t>Ontario;</w:t>
      </w:r>
      <w:proofErr w:type="gramEnd"/>
    </w:p>
    <w:p w14:paraId="7F0082E8" w14:textId="77777777" w:rsidR="00796C1C" w:rsidRPr="00E92256" w:rsidRDefault="00796C1C" w:rsidP="00DE21D7">
      <w:pPr>
        <w:numPr>
          <w:ilvl w:val="0"/>
          <w:numId w:val="5"/>
        </w:numPr>
        <w:rPr>
          <w:rFonts w:eastAsia="Times New Roman" w:cstheme="minorHAnsi"/>
          <w:sz w:val="22"/>
          <w:lang w:eastAsia="en-CA"/>
        </w:rPr>
      </w:pPr>
      <w:r w:rsidRPr="00E92256">
        <w:rPr>
          <w:rFonts w:eastAsia="Times New Roman" w:cstheme="minorHAnsi"/>
          <w:sz w:val="22"/>
          <w:lang w:eastAsia="en-CA"/>
        </w:rPr>
        <w:t xml:space="preserve">increased accountability of the Government of Ontario for its environmental </w:t>
      </w:r>
      <w:proofErr w:type="gramStart"/>
      <w:r w:rsidRPr="00E92256">
        <w:rPr>
          <w:rFonts w:eastAsia="Times New Roman" w:cstheme="minorHAnsi"/>
          <w:sz w:val="22"/>
          <w:lang w:eastAsia="en-CA"/>
        </w:rPr>
        <w:t>decision-making;</w:t>
      </w:r>
      <w:proofErr w:type="gramEnd"/>
    </w:p>
    <w:p w14:paraId="51AAF5B7" w14:textId="77777777" w:rsidR="00796C1C" w:rsidRPr="00E92256" w:rsidRDefault="00796C1C" w:rsidP="00DE21D7">
      <w:pPr>
        <w:numPr>
          <w:ilvl w:val="0"/>
          <w:numId w:val="5"/>
        </w:numPr>
        <w:rPr>
          <w:rFonts w:eastAsia="Times New Roman" w:cstheme="minorHAnsi"/>
          <w:sz w:val="22"/>
          <w:lang w:eastAsia="en-CA"/>
        </w:rPr>
      </w:pPr>
      <w:r w:rsidRPr="00E92256">
        <w:rPr>
          <w:rFonts w:eastAsia="Times New Roman" w:cstheme="minorHAnsi"/>
          <w:sz w:val="22"/>
          <w:lang w:eastAsia="en-CA"/>
        </w:rPr>
        <w:lastRenderedPageBreak/>
        <w:t>increased access to the courts by residents of Ontario for the protection of the environment; and</w:t>
      </w:r>
    </w:p>
    <w:p w14:paraId="26A15C00" w14:textId="77777777" w:rsidR="00796C1C" w:rsidRPr="00E92256" w:rsidRDefault="00796C1C" w:rsidP="00DE21D7">
      <w:pPr>
        <w:numPr>
          <w:ilvl w:val="0"/>
          <w:numId w:val="5"/>
        </w:numPr>
        <w:rPr>
          <w:rFonts w:eastAsia="Times New Roman" w:cstheme="minorHAnsi"/>
          <w:sz w:val="22"/>
          <w:lang w:eastAsia="en-CA"/>
        </w:rPr>
      </w:pPr>
      <w:r w:rsidRPr="00E92256">
        <w:rPr>
          <w:rFonts w:eastAsia="Times New Roman" w:cstheme="minorHAnsi"/>
          <w:sz w:val="22"/>
          <w:lang w:eastAsia="en-CA"/>
        </w:rPr>
        <w:t xml:space="preserve">enhanced protection for employees who </w:t>
      </w:r>
      <w:proofErr w:type="gramStart"/>
      <w:r w:rsidRPr="00E92256">
        <w:rPr>
          <w:rFonts w:eastAsia="Times New Roman" w:cstheme="minorHAnsi"/>
          <w:sz w:val="22"/>
          <w:lang w:eastAsia="en-CA"/>
        </w:rPr>
        <w:t>take action</w:t>
      </w:r>
      <w:proofErr w:type="gramEnd"/>
      <w:r w:rsidRPr="00E92256">
        <w:rPr>
          <w:rFonts w:eastAsia="Times New Roman" w:cstheme="minorHAnsi"/>
          <w:sz w:val="22"/>
          <w:lang w:eastAsia="en-CA"/>
        </w:rPr>
        <w:t xml:space="preserve"> in respect of environmental harm.</w:t>
      </w:r>
    </w:p>
    <w:p w14:paraId="175342C5" w14:textId="25C1160C"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 xml:space="preserve">The EBR requires a Statement of Environmental Values (SEV) from all designated ministries. </w:t>
      </w:r>
      <w:hyperlink r:id="rId8" w:history="1">
        <w:r w:rsidRPr="008E53D8">
          <w:rPr>
            <w:rStyle w:val="Hyperlink"/>
            <w:rFonts w:eastAsia="Times New Roman" w:cstheme="minorHAnsi"/>
            <w:b/>
            <w:bCs/>
            <w:color w:val="0070C0"/>
            <w:sz w:val="22"/>
            <w:lang w:eastAsia="en-CA"/>
          </w:rPr>
          <w:t>The designated ministries are listed here</w:t>
        </w:r>
      </w:hyperlink>
      <w:r w:rsidRPr="008E53D8">
        <w:rPr>
          <w:rFonts w:eastAsia="Times New Roman" w:cstheme="minorHAnsi"/>
          <w:b/>
          <w:bCs/>
          <w:color w:val="0070C0"/>
          <w:sz w:val="22"/>
          <w:lang w:eastAsia="en-CA"/>
        </w:rPr>
        <w:t>.</w:t>
      </w:r>
    </w:p>
    <w:p w14:paraId="70354014"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Statements of Environmental Values are a means for designated government ministries to record their commitment to the environment and be accountable for ensuring consideration of the environment in their decisions. A SEV explains:</w:t>
      </w:r>
    </w:p>
    <w:p w14:paraId="45E8282A" w14:textId="77777777" w:rsidR="00796C1C" w:rsidRPr="00E92256" w:rsidRDefault="00796C1C" w:rsidP="00DE21D7">
      <w:pPr>
        <w:numPr>
          <w:ilvl w:val="0"/>
          <w:numId w:val="6"/>
        </w:numPr>
        <w:rPr>
          <w:rFonts w:eastAsia="Times New Roman" w:cstheme="minorHAnsi"/>
          <w:sz w:val="22"/>
          <w:lang w:eastAsia="en-CA"/>
        </w:rPr>
      </w:pPr>
      <w:r w:rsidRPr="00E92256">
        <w:rPr>
          <w:rFonts w:eastAsia="Times New Roman" w:cstheme="minorHAnsi"/>
          <w:sz w:val="22"/>
          <w:lang w:eastAsia="en-CA"/>
        </w:rPr>
        <w:t>how the purposes of the EBR will be applied when decisions that might significantly affect the environment are made in the ministry; and</w:t>
      </w:r>
    </w:p>
    <w:p w14:paraId="7659B87C" w14:textId="77777777" w:rsidR="00796C1C" w:rsidRPr="00E92256" w:rsidRDefault="00796C1C" w:rsidP="00DE21D7">
      <w:pPr>
        <w:numPr>
          <w:ilvl w:val="0"/>
          <w:numId w:val="6"/>
        </w:numPr>
        <w:rPr>
          <w:rFonts w:eastAsia="Times New Roman" w:cstheme="minorHAnsi"/>
          <w:sz w:val="22"/>
          <w:lang w:eastAsia="en-CA"/>
        </w:rPr>
      </w:pPr>
      <w:r w:rsidRPr="00E92256">
        <w:rPr>
          <w:rFonts w:eastAsia="Times New Roman" w:cstheme="minorHAnsi"/>
          <w:sz w:val="22"/>
          <w:lang w:eastAsia="en-CA"/>
        </w:rPr>
        <w:t xml:space="preserve">how consideration of the purposes of the EBR will be integrated with other considerations, including social, </w:t>
      </w:r>
      <w:proofErr w:type="gramStart"/>
      <w:r w:rsidRPr="00E92256">
        <w:rPr>
          <w:rFonts w:eastAsia="Times New Roman" w:cstheme="minorHAnsi"/>
          <w:sz w:val="22"/>
          <w:lang w:eastAsia="en-CA"/>
        </w:rPr>
        <w:t>economic</w:t>
      </w:r>
      <w:proofErr w:type="gramEnd"/>
      <w:r w:rsidRPr="00E92256">
        <w:rPr>
          <w:rFonts w:eastAsia="Times New Roman" w:cstheme="minorHAnsi"/>
          <w:sz w:val="22"/>
          <w:lang w:eastAsia="en-CA"/>
        </w:rPr>
        <w:t xml:space="preserve"> and scientific considerations, that are part of decision-making in the ministry.</w:t>
      </w:r>
    </w:p>
    <w:p w14:paraId="6B075618"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It is each Minister's responsibility to take every reasonable step to ensure that the SEV is considered whenever decisions that might significantly affect the environment are made in the ministry.</w:t>
      </w:r>
    </w:p>
    <w:p w14:paraId="137ECA09" w14:textId="77777777" w:rsidR="00796C1C"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ministry will examine the SEV on a periodic basis to ensure the Stat</w:t>
      </w:r>
      <w:r w:rsidRPr="00550A5E">
        <w:rPr>
          <w:rFonts w:eastAsia="Times New Roman" w:cstheme="minorHAnsi"/>
          <w:sz w:val="22"/>
          <w:lang w:eastAsia="en-CA"/>
        </w:rPr>
        <w:t>ement is curre</w:t>
      </w:r>
      <w:r w:rsidRPr="00E92256">
        <w:rPr>
          <w:rFonts w:eastAsia="Times New Roman" w:cstheme="minorHAnsi"/>
          <w:sz w:val="22"/>
          <w:lang w:eastAsia="en-CA"/>
        </w:rPr>
        <w:t>nt.</w:t>
      </w:r>
    </w:p>
    <w:p w14:paraId="27DF42D9" w14:textId="77777777" w:rsidR="00796C1C" w:rsidRPr="009A1351" w:rsidRDefault="00796C1C" w:rsidP="00906DA9">
      <w:pPr>
        <w:spacing w:before="100" w:beforeAutospacing="1" w:after="120"/>
        <w:rPr>
          <w:b/>
          <w:bCs/>
          <w:sz w:val="22"/>
        </w:rPr>
      </w:pPr>
      <w:bookmarkStart w:id="1" w:name="_Hlk124169604"/>
      <w:r w:rsidRPr="009A1351">
        <w:rPr>
          <w:b/>
          <w:bCs/>
          <w:sz w:val="22"/>
        </w:rPr>
        <w:t>2. Ministry Vision, Mandate and Business</w:t>
      </w:r>
    </w:p>
    <w:p w14:paraId="3B14553A" w14:textId="77777777" w:rsidR="00796C1C" w:rsidRPr="00A36AC9" w:rsidRDefault="00796C1C" w:rsidP="00D10D3B">
      <w:pPr>
        <w:spacing w:before="100" w:beforeAutospacing="1" w:after="120"/>
        <w:rPr>
          <w:rFonts w:eastAsia="Times New Roman" w:cstheme="minorHAnsi"/>
          <w:sz w:val="22"/>
          <w:lang w:eastAsia="en-CA"/>
        </w:rPr>
      </w:pPr>
      <w:r w:rsidRPr="00B00146">
        <w:rPr>
          <w:rFonts w:eastAsia="Times New Roman" w:cstheme="minorHAnsi"/>
          <w:sz w:val="22"/>
          <w:lang w:eastAsia="en-CA"/>
        </w:rPr>
        <w:t>Th</w:t>
      </w:r>
      <w:r w:rsidRPr="00A36AC9">
        <w:rPr>
          <w:rFonts w:eastAsia="Times New Roman" w:cstheme="minorHAnsi"/>
          <w:sz w:val="22"/>
          <w:lang w:eastAsia="en-CA"/>
        </w:rPr>
        <w:t>e Ministry provides leadership and support for tourism, culture, and sport and recreation sectors which are fundamental to the prosperity and quality of life of Ontario citizens.</w:t>
      </w:r>
    </w:p>
    <w:p w14:paraId="16166D1C" w14:textId="77777777" w:rsidR="00796C1C" w:rsidRPr="00A36AC9" w:rsidRDefault="00796C1C" w:rsidP="00D10D3B">
      <w:pPr>
        <w:spacing w:before="100" w:beforeAutospacing="1" w:after="120"/>
        <w:rPr>
          <w:rFonts w:eastAsia="Times New Roman" w:cstheme="minorHAnsi"/>
          <w:sz w:val="22"/>
          <w:lang w:eastAsia="en-CA"/>
        </w:rPr>
      </w:pPr>
      <w:r w:rsidRPr="00A36AC9">
        <w:rPr>
          <w:rFonts w:eastAsia="Times New Roman" w:cstheme="minorHAnsi"/>
          <w:sz w:val="22"/>
          <w:lang w:eastAsia="en-CA"/>
        </w:rPr>
        <w:t xml:space="preserve">The Ministry works with the tourism industry to stimulate economic growth, </w:t>
      </w:r>
      <w:proofErr w:type="gramStart"/>
      <w:r w:rsidRPr="00A36AC9">
        <w:rPr>
          <w:rFonts w:eastAsia="Times New Roman" w:cstheme="minorHAnsi"/>
          <w:sz w:val="22"/>
          <w:lang w:eastAsia="en-CA"/>
        </w:rPr>
        <w:t>investment</w:t>
      </w:r>
      <w:proofErr w:type="gramEnd"/>
      <w:r w:rsidRPr="00A36AC9">
        <w:rPr>
          <w:rFonts w:eastAsia="Times New Roman" w:cstheme="minorHAnsi"/>
          <w:sz w:val="22"/>
          <w:lang w:eastAsia="en-CA"/>
        </w:rPr>
        <w:t xml:space="preserve"> and competitiveness in the rapidly changing world of travel and leisure.</w:t>
      </w:r>
    </w:p>
    <w:p w14:paraId="7564993F" w14:textId="77777777" w:rsidR="00796C1C" w:rsidRPr="00A36AC9" w:rsidRDefault="00796C1C" w:rsidP="00D10D3B">
      <w:pPr>
        <w:spacing w:before="100" w:beforeAutospacing="1" w:after="120"/>
        <w:rPr>
          <w:rFonts w:eastAsia="Times New Roman" w:cstheme="minorHAnsi"/>
          <w:sz w:val="22"/>
          <w:lang w:eastAsia="en-CA"/>
        </w:rPr>
      </w:pPr>
      <w:r w:rsidRPr="00A36AC9">
        <w:rPr>
          <w:rFonts w:eastAsia="Times New Roman" w:cstheme="minorHAnsi"/>
          <w:sz w:val="22"/>
          <w:lang w:eastAsia="en-CA"/>
        </w:rPr>
        <w:t>Through leadership within the arts and culture sector, the Ministry helps grow the creative economy, and build dynamic, livable communities with vibrant cultural activiti</w:t>
      </w:r>
      <w:r w:rsidRPr="00550A5E">
        <w:rPr>
          <w:rFonts w:eastAsia="Times New Roman" w:cstheme="minorHAnsi"/>
          <w:sz w:val="22"/>
          <w:lang w:eastAsia="en-CA"/>
        </w:rPr>
        <w:t>es and spaces.</w:t>
      </w:r>
    </w:p>
    <w:p w14:paraId="2F57EA11" w14:textId="77777777" w:rsidR="00796C1C" w:rsidRPr="00A36AC9" w:rsidRDefault="00796C1C" w:rsidP="00D10D3B">
      <w:pPr>
        <w:spacing w:before="100" w:beforeAutospacing="1" w:after="120"/>
        <w:rPr>
          <w:rFonts w:eastAsia="Times New Roman" w:cstheme="minorHAnsi"/>
          <w:sz w:val="22"/>
          <w:lang w:eastAsia="en-CA"/>
        </w:rPr>
      </w:pPr>
      <w:r w:rsidRPr="00A36AC9">
        <w:rPr>
          <w:rFonts w:eastAsia="Times New Roman" w:cstheme="minorHAnsi"/>
          <w:sz w:val="22"/>
          <w:lang w:eastAsia="en-CA"/>
        </w:rPr>
        <w:t>The Ministry helps broaden participation in sport and recreation to enable Ontarians to lead healthy, active lifestyles and enhances opportunities for athletes to achieve success. Hosting high-profile sport events increases job creation and encourages economic growth.</w:t>
      </w:r>
    </w:p>
    <w:p w14:paraId="5ABB6278" w14:textId="6857D681" w:rsidR="00796C1C" w:rsidRDefault="00796C1C" w:rsidP="00D10D3B">
      <w:pPr>
        <w:spacing w:before="100" w:beforeAutospacing="1" w:after="120"/>
        <w:rPr>
          <w:rFonts w:eastAsia="Times New Roman" w:cstheme="minorHAnsi"/>
          <w:sz w:val="22"/>
          <w:lang w:eastAsia="en-CA"/>
        </w:rPr>
      </w:pPr>
      <w:r w:rsidRPr="00A36AC9">
        <w:rPr>
          <w:rFonts w:eastAsia="Times New Roman" w:cstheme="minorHAnsi"/>
          <w:sz w:val="22"/>
          <w:lang w:eastAsia="en-CA"/>
        </w:rPr>
        <w:t>Specific details on the responsibilities of the Ministry can be found on the </w:t>
      </w:r>
      <w:hyperlink r:id="rId9" w:history="1">
        <w:r w:rsidRPr="00A36AC9">
          <w:rPr>
            <w:rFonts w:eastAsia="Times New Roman" w:cstheme="minorHAnsi"/>
            <w:b/>
            <w:bCs/>
            <w:color w:val="0066CC"/>
            <w:sz w:val="22"/>
            <w:u w:val="single"/>
            <w:lang w:eastAsia="en-CA"/>
          </w:rPr>
          <w:t>Ministry website</w:t>
        </w:r>
      </w:hyperlink>
      <w:r w:rsidRPr="00A36AC9">
        <w:rPr>
          <w:rFonts w:eastAsia="Times New Roman" w:cstheme="minorHAnsi"/>
          <w:sz w:val="22"/>
          <w:lang w:eastAsia="en-CA"/>
        </w:rPr>
        <w:t>.</w:t>
      </w:r>
      <w:bookmarkEnd w:id="1"/>
    </w:p>
    <w:p w14:paraId="0CCCF9BE" w14:textId="2E95B090" w:rsidR="00865CD5" w:rsidRDefault="00865CD5" w:rsidP="00D10D3B">
      <w:pPr>
        <w:spacing w:before="100" w:beforeAutospacing="1" w:after="120"/>
        <w:rPr>
          <w:rFonts w:eastAsia="Times New Roman" w:cstheme="minorHAnsi"/>
          <w:sz w:val="22"/>
          <w:lang w:eastAsia="en-CA"/>
        </w:rPr>
      </w:pPr>
    </w:p>
    <w:p w14:paraId="3FA3432D" w14:textId="77777777" w:rsidR="00865CD5" w:rsidRDefault="00865CD5" w:rsidP="00D10D3B">
      <w:pPr>
        <w:spacing w:before="100" w:beforeAutospacing="1" w:after="120"/>
        <w:rPr>
          <w:rFonts w:eastAsia="Times New Roman" w:cstheme="minorHAnsi"/>
          <w:sz w:val="22"/>
          <w:lang w:eastAsia="en-CA"/>
        </w:rPr>
      </w:pPr>
    </w:p>
    <w:p w14:paraId="3D65901B" w14:textId="488B2C72" w:rsidR="00796C1C" w:rsidRPr="009A1351" w:rsidRDefault="00796C1C" w:rsidP="00906DA9">
      <w:pPr>
        <w:spacing w:before="100" w:beforeAutospacing="1" w:after="120"/>
        <w:rPr>
          <w:rFonts w:eastAsia="Times New Roman" w:cstheme="minorHAnsi"/>
          <w:b/>
          <w:bCs/>
          <w:sz w:val="22"/>
          <w:lang w:eastAsia="en-CA"/>
        </w:rPr>
      </w:pPr>
      <w:r w:rsidRPr="009A1351">
        <w:rPr>
          <w:b/>
          <w:bCs/>
          <w:sz w:val="22"/>
        </w:rPr>
        <w:lastRenderedPageBreak/>
        <w:t>3. Application of the SEV</w:t>
      </w:r>
    </w:p>
    <w:p w14:paraId="7C5634AC" w14:textId="77777777" w:rsidR="00796C1C"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Ministry is committed to applying the purposes of the EBR when decisions that might significantly affect the environment need to be made in the ministry, and as it develops Acts, regulations and policies.</w:t>
      </w:r>
    </w:p>
    <w:p w14:paraId="4666D9B5" w14:textId="77777777" w:rsidR="00796C1C" w:rsidRDefault="00796C1C" w:rsidP="00906DA9">
      <w:pPr>
        <w:spacing w:before="100" w:beforeAutospacing="1" w:after="120"/>
        <w:rPr>
          <w:b/>
          <w:bCs/>
          <w:sz w:val="22"/>
        </w:rPr>
      </w:pPr>
      <w:r w:rsidRPr="009A1351">
        <w:rPr>
          <w:b/>
          <w:bCs/>
          <w:sz w:val="22"/>
        </w:rPr>
        <w:t>4. Integration with Other Considerations</w:t>
      </w:r>
    </w:p>
    <w:p w14:paraId="02275F52" w14:textId="77777777" w:rsidR="00796C1C"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Ministry will integrate the purposes of the EBR with other considerations including social, economic and scientific considerations when making decisions that might significantly affect the natural environment. The EBR purposes of conserving, protecting and, where feasible restoring the natural environment, providing for the sustainability of the natural environment and protecting the public's right to a healthful environment will be objectives of the Ministry when making decisions that might significantly affect the natural environment as well as other considerations. The Ministry will encourage energy and resource conservation in those sectors where it provides policy direction or programs.</w:t>
      </w:r>
    </w:p>
    <w:p w14:paraId="49A91AB1" w14:textId="77777777" w:rsidR="00796C1C"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natural environment is fundamental to the ministry’s key s</w:t>
      </w:r>
      <w:r w:rsidRPr="00550A5E">
        <w:rPr>
          <w:rFonts w:eastAsia="Times New Roman" w:cstheme="minorHAnsi"/>
          <w:sz w:val="22"/>
          <w:lang w:eastAsia="en-CA"/>
        </w:rPr>
        <w:t>ectors – tourism, culture and sport. T</w:t>
      </w:r>
      <w:r w:rsidRPr="00E92256">
        <w:rPr>
          <w:rFonts w:eastAsia="Times New Roman" w:cstheme="minorHAnsi"/>
          <w:sz w:val="22"/>
          <w:lang w:eastAsia="en-CA"/>
        </w:rPr>
        <w:t xml:space="preserve">he Ministry will promote the value of the natural and outdoor environment and actively protect, </w:t>
      </w:r>
      <w:proofErr w:type="gramStart"/>
      <w:r w:rsidRPr="00E92256">
        <w:rPr>
          <w:rFonts w:eastAsia="Times New Roman" w:cstheme="minorHAnsi"/>
          <w:sz w:val="22"/>
          <w:lang w:eastAsia="en-CA"/>
        </w:rPr>
        <w:t>support</w:t>
      </w:r>
      <w:proofErr w:type="gramEnd"/>
      <w:r w:rsidRPr="00E92256">
        <w:rPr>
          <w:rFonts w:eastAsia="Times New Roman" w:cstheme="minorHAnsi"/>
          <w:sz w:val="22"/>
          <w:lang w:eastAsia="en-CA"/>
        </w:rPr>
        <w:t xml:space="preserve"> and promote its sustainability to stakeholders, as well as other ministries and governments. Sustainable development and an adequate supply of recreational facilities, parkland, open </w:t>
      </w:r>
      <w:proofErr w:type="gramStart"/>
      <w:r w:rsidRPr="00E92256">
        <w:rPr>
          <w:rFonts w:eastAsia="Times New Roman" w:cstheme="minorHAnsi"/>
          <w:sz w:val="22"/>
          <w:lang w:eastAsia="en-CA"/>
        </w:rPr>
        <w:t>space</w:t>
      </w:r>
      <w:proofErr w:type="gramEnd"/>
      <w:r w:rsidRPr="00E92256">
        <w:rPr>
          <w:rFonts w:eastAsia="Times New Roman" w:cstheme="minorHAnsi"/>
          <w:sz w:val="22"/>
          <w:lang w:eastAsia="en-CA"/>
        </w:rPr>
        <w:t xml:space="preserve"> and trails for current and future populations is critical to the long-term health of communities, regions and the province.</w:t>
      </w:r>
    </w:p>
    <w:p w14:paraId="63586F1A" w14:textId="77777777" w:rsidR="00796C1C"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 xml:space="preserve">An important facet of Ontario’s appeal has always been its vast outdoor spaces which provide opportunities to fish, hunt, canoe, </w:t>
      </w:r>
      <w:proofErr w:type="gramStart"/>
      <w:r w:rsidRPr="00E92256">
        <w:rPr>
          <w:rFonts w:eastAsia="Times New Roman" w:cstheme="minorHAnsi"/>
          <w:sz w:val="22"/>
          <w:lang w:eastAsia="en-CA"/>
        </w:rPr>
        <w:t>hike</w:t>
      </w:r>
      <w:proofErr w:type="gramEnd"/>
      <w:r w:rsidRPr="00E92256">
        <w:rPr>
          <w:rFonts w:eastAsia="Times New Roman" w:cstheme="minorHAnsi"/>
          <w:sz w:val="22"/>
          <w:lang w:eastAsia="en-CA"/>
        </w:rPr>
        <w:t xml:space="preserve"> and camp. Ontario has an abundance of natural beauty that attracts tourists and outdoor enthusiasts to experience the province’s natural features, forests, waterways and wildlife. The Ministry will promote the value of outdoor experiences, parkland and open spaces, and will encourage sustainable eco-tourism and recreation activities.</w:t>
      </w:r>
    </w:p>
    <w:p w14:paraId="1F7B3DEC" w14:textId="77777777" w:rsidR="00796C1C" w:rsidRPr="009A1351" w:rsidRDefault="00796C1C" w:rsidP="00906DA9">
      <w:pPr>
        <w:spacing w:before="100" w:beforeAutospacing="1" w:after="120"/>
        <w:rPr>
          <w:b/>
          <w:bCs/>
          <w:sz w:val="22"/>
        </w:rPr>
      </w:pPr>
      <w:r w:rsidRPr="009A1351">
        <w:rPr>
          <w:b/>
          <w:bCs/>
          <w:sz w:val="22"/>
        </w:rPr>
        <w:t>5. Monitoring use of the SEV</w:t>
      </w:r>
    </w:p>
    <w:p w14:paraId="560353FC"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Ministry will document how the SEV was considered each time a decision is posted on the </w:t>
      </w:r>
      <w:r w:rsidRPr="00E92256">
        <w:rPr>
          <w:rFonts w:eastAsia="Times New Roman" w:cstheme="minorHAnsi"/>
          <w:i/>
          <w:iCs/>
          <w:sz w:val="22"/>
          <w:lang w:eastAsia="en-CA"/>
        </w:rPr>
        <w:t>Environmental Bill of Rights</w:t>
      </w:r>
      <w:r w:rsidRPr="00E92256">
        <w:rPr>
          <w:rFonts w:eastAsia="Times New Roman" w:cstheme="minorHAnsi"/>
          <w:sz w:val="22"/>
          <w:lang w:eastAsia="en-CA"/>
        </w:rPr>
        <w:t> Registry. The Ministry will ensure that staff involved in decisions that might significantly affect the environment, are aware of the Ministry’s </w:t>
      </w:r>
      <w:r w:rsidRPr="00E92256">
        <w:rPr>
          <w:rFonts w:eastAsia="Times New Roman" w:cstheme="minorHAnsi"/>
          <w:i/>
          <w:iCs/>
          <w:sz w:val="22"/>
          <w:lang w:eastAsia="en-CA"/>
        </w:rPr>
        <w:t>Environmental Bill of Rights</w:t>
      </w:r>
      <w:r w:rsidRPr="00E92256">
        <w:rPr>
          <w:rFonts w:eastAsia="Times New Roman" w:cstheme="minorHAnsi"/>
          <w:sz w:val="22"/>
          <w:lang w:eastAsia="en-CA"/>
        </w:rPr>
        <w:t> obligations.</w:t>
      </w:r>
    </w:p>
    <w:p w14:paraId="6B3F69A8" w14:textId="77777777" w:rsidR="00796C1C" w:rsidRPr="009A1351" w:rsidRDefault="00796C1C" w:rsidP="00906DA9">
      <w:pPr>
        <w:spacing w:before="100" w:beforeAutospacing="1" w:after="120"/>
        <w:rPr>
          <w:b/>
          <w:bCs/>
          <w:sz w:val="22"/>
        </w:rPr>
      </w:pPr>
      <w:r w:rsidRPr="009A1351">
        <w:rPr>
          <w:b/>
          <w:bCs/>
          <w:sz w:val="22"/>
        </w:rPr>
        <w:t>6. Consultation</w:t>
      </w:r>
    </w:p>
    <w:p w14:paraId="7AC55467" w14:textId="7554FE65" w:rsidR="00796C1C"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Ministry believes in being accountable for its environmental decision-making. The Ministry believes that consultation is vital to sound environmental decision-making. The Ministry will provide opportunities for an open and consultative process when making environmentally significant decisions.</w:t>
      </w:r>
    </w:p>
    <w:p w14:paraId="58B05BDB" w14:textId="77777777" w:rsidR="00865CD5" w:rsidRPr="00E92256" w:rsidRDefault="00865CD5" w:rsidP="00D10D3B">
      <w:pPr>
        <w:spacing w:before="100" w:beforeAutospacing="1" w:after="120"/>
        <w:rPr>
          <w:rFonts w:eastAsia="Times New Roman" w:cstheme="minorHAnsi"/>
          <w:sz w:val="22"/>
          <w:lang w:eastAsia="en-CA"/>
        </w:rPr>
      </w:pPr>
    </w:p>
    <w:p w14:paraId="6D3668E3" w14:textId="77777777" w:rsidR="00796C1C" w:rsidRPr="009A1351" w:rsidRDefault="00796C1C" w:rsidP="00906DA9">
      <w:pPr>
        <w:spacing w:before="100" w:beforeAutospacing="1" w:after="120"/>
        <w:rPr>
          <w:b/>
          <w:bCs/>
          <w:sz w:val="22"/>
        </w:rPr>
      </w:pPr>
      <w:r w:rsidRPr="009A1351">
        <w:rPr>
          <w:b/>
          <w:bCs/>
          <w:sz w:val="22"/>
        </w:rPr>
        <w:lastRenderedPageBreak/>
        <w:t>7. Consideration of Indigenous Peoples</w:t>
      </w:r>
    </w:p>
    <w:p w14:paraId="5B62AC99" w14:textId="77777777" w:rsidR="00796C1C" w:rsidRPr="00E92256" w:rsidRDefault="00796C1C" w:rsidP="00785D37">
      <w:pPr>
        <w:spacing w:before="100" w:beforeAutospacing="1" w:after="120"/>
        <w:rPr>
          <w:rFonts w:eastAsia="Times New Roman" w:cstheme="minorHAnsi"/>
          <w:sz w:val="22"/>
          <w:lang w:eastAsia="en-CA"/>
        </w:rPr>
      </w:pPr>
      <w:r w:rsidRPr="00E92256">
        <w:rPr>
          <w:rFonts w:eastAsia="Times New Roman" w:cstheme="minorHAnsi"/>
          <w:sz w:val="22"/>
          <w:lang w:eastAsia="en-CA"/>
        </w:rPr>
        <w:t xml:space="preserve">The Ministry recognizes the value that Indigenous peoples place on the environment. When making decisions that might significantly affect the environment, the Ministry will provide opportunities for involvement of Indigenous peoples whose interests may be affected by such decisions so that Indigenous interests can be appropriately considered. This commitment is not intended to alter or detract from any constitutional obligation the </w:t>
      </w:r>
      <w:proofErr w:type="gramStart"/>
      <w:r w:rsidRPr="00E92256">
        <w:rPr>
          <w:rFonts w:eastAsia="Times New Roman" w:cstheme="minorHAnsi"/>
          <w:sz w:val="22"/>
          <w:lang w:eastAsia="en-CA"/>
        </w:rPr>
        <w:t>Province</w:t>
      </w:r>
      <w:proofErr w:type="gramEnd"/>
      <w:r w:rsidRPr="00E92256">
        <w:rPr>
          <w:rFonts w:eastAsia="Times New Roman" w:cstheme="minorHAnsi"/>
          <w:sz w:val="22"/>
          <w:lang w:eastAsia="en-CA"/>
        </w:rPr>
        <w:t xml:space="preserve"> may have to consult with Indigenous peoples.</w:t>
      </w:r>
    </w:p>
    <w:p w14:paraId="346054CE" w14:textId="77777777" w:rsidR="00796C1C" w:rsidRPr="009A1351" w:rsidRDefault="00796C1C" w:rsidP="00095604">
      <w:pPr>
        <w:spacing w:before="100" w:beforeAutospacing="1" w:after="120"/>
        <w:rPr>
          <w:b/>
          <w:bCs/>
          <w:sz w:val="22"/>
        </w:rPr>
      </w:pPr>
      <w:r w:rsidRPr="009A1351">
        <w:rPr>
          <w:b/>
          <w:bCs/>
          <w:sz w:val="22"/>
        </w:rPr>
        <w:t>8. Climate Change</w:t>
      </w:r>
    </w:p>
    <w:p w14:paraId="6EA22632"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Ministry believes that the public interest requires a broad effort to reduce greenhouse gas emissions and to build a cleaner and more resilient province. The Ministry will continue to involve and engage individuals, businesses, communities, municipalities, non-governmental organizations and First Nation and Métis communities in the ultimate goal of fostering a high-productivity, resilient, low-carbon economy and society in Ontario.</w:t>
      </w:r>
    </w:p>
    <w:p w14:paraId="5DA03151"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Ministry will also work with partner ministries such as the Ministry of Environment, Conservation and Parks to consider climate change mitigation and adaptation.</w:t>
      </w:r>
    </w:p>
    <w:p w14:paraId="44048FF2" w14:textId="77777777" w:rsidR="00796C1C" w:rsidRPr="009A1351" w:rsidRDefault="00796C1C" w:rsidP="00095604">
      <w:pPr>
        <w:spacing w:before="100" w:beforeAutospacing="1" w:after="120"/>
        <w:rPr>
          <w:b/>
          <w:bCs/>
          <w:sz w:val="22"/>
        </w:rPr>
      </w:pPr>
      <w:r w:rsidRPr="009A1351">
        <w:rPr>
          <w:b/>
          <w:bCs/>
          <w:sz w:val="22"/>
        </w:rPr>
        <w:t>9. Greening of Internal Operations</w:t>
      </w:r>
    </w:p>
    <w:p w14:paraId="7E12FCD2"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Ministry believes in the wise use and conservation of natural resources. The Ministry will support Government of Ontario initiatives to conserve energy and water, and to wisely use our air and land resources in order to generate environmental, health and economic benefits for present and future generations.</w:t>
      </w:r>
    </w:p>
    <w:p w14:paraId="3979F030" w14:textId="77777777" w:rsidR="00796C1C" w:rsidRPr="00E92256" w:rsidRDefault="00796C1C" w:rsidP="00D10D3B">
      <w:pPr>
        <w:spacing w:before="100" w:beforeAutospacing="1" w:after="120"/>
        <w:rPr>
          <w:rFonts w:eastAsia="Times New Roman" w:cstheme="minorHAnsi"/>
          <w:sz w:val="22"/>
          <w:lang w:eastAsia="en-CA"/>
        </w:rPr>
      </w:pPr>
      <w:r w:rsidRPr="00E92256">
        <w:rPr>
          <w:rFonts w:eastAsia="Times New Roman" w:cstheme="minorHAnsi"/>
          <w:sz w:val="22"/>
          <w:lang w:eastAsia="en-CA"/>
        </w:rPr>
        <w:t>The Ministry recognizes the important role of energy conservation in its responsibility for stewardship and management of the environment. The Ministry will undertake activities to promote energy conservation in its operations. These include:</w:t>
      </w:r>
    </w:p>
    <w:p w14:paraId="16002A7F" w14:textId="77777777" w:rsidR="00796C1C" w:rsidRPr="00E92256" w:rsidRDefault="00796C1C" w:rsidP="00F95D1C">
      <w:pPr>
        <w:numPr>
          <w:ilvl w:val="0"/>
          <w:numId w:val="7"/>
        </w:numPr>
        <w:rPr>
          <w:rFonts w:eastAsia="Times New Roman" w:cstheme="minorHAnsi"/>
          <w:sz w:val="22"/>
          <w:lang w:eastAsia="en-CA"/>
        </w:rPr>
      </w:pPr>
      <w:r w:rsidRPr="00E92256">
        <w:rPr>
          <w:rFonts w:eastAsia="Times New Roman" w:cstheme="minorHAnsi"/>
          <w:sz w:val="22"/>
          <w:lang w:eastAsia="en-CA"/>
        </w:rPr>
        <w:t>Encouraging its landlords to promote energy conservation;</w:t>
      </w:r>
    </w:p>
    <w:p w14:paraId="1F6B0170" w14:textId="77777777" w:rsidR="00796C1C" w:rsidRPr="00E92256" w:rsidRDefault="00796C1C" w:rsidP="00F95D1C">
      <w:pPr>
        <w:numPr>
          <w:ilvl w:val="0"/>
          <w:numId w:val="7"/>
        </w:numPr>
        <w:rPr>
          <w:rFonts w:eastAsia="Times New Roman" w:cstheme="minorHAnsi"/>
          <w:sz w:val="22"/>
          <w:lang w:eastAsia="en-CA"/>
        </w:rPr>
      </w:pPr>
      <w:r w:rsidRPr="00E92256">
        <w:rPr>
          <w:rFonts w:eastAsia="Times New Roman" w:cstheme="minorHAnsi"/>
          <w:sz w:val="22"/>
          <w:lang w:eastAsia="en-CA"/>
        </w:rPr>
        <w:t>Finding ways to conserve energy in its internal operations.</w:t>
      </w:r>
    </w:p>
    <w:bookmarkEnd w:id="0"/>
    <w:p w14:paraId="30CFFFE4" w14:textId="77777777" w:rsidR="00DE21D7" w:rsidRPr="00F85186" w:rsidRDefault="00DE21D7" w:rsidP="00F61F85"/>
    <w:sectPr w:rsidR="00DE21D7" w:rsidRPr="00F85186" w:rsidSect="00FD4CA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12B3" w14:textId="77777777" w:rsidR="0069540B" w:rsidRDefault="0069540B" w:rsidP="00F72078">
      <w:pPr>
        <w:spacing w:after="0" w:line="240" w:lineRule="auto"/>
      </w:pPr>
      <w:r>
        <w:separator/>
      </w:r>
    </w:p>
  </w:endnote>
  <w:endnote w:type="continuationSeparator" w:id="0">
    <w:p w14:paraId="2C70952C" w14:textId="77777777" w:rsidR="0069540B" w:rsidRDefault="0069540B"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04D"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8E94"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6475"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1329" w14:textId="77777777" w:rsidR="0069540B" w:rsidRDefault="0069540B" w:rsidP="00F72078">
      <w:pPr>
        <w:spacing w:after="0" w:line="240" w:lineRule="auto"/>
      </w:pPr>
      <w:r>
        <w:separator/>
      </w:r>
    </w:p>
  </w:footnote>
  <w:footnote w:type="continuationSeparator" w:id="0">
    <w:p w14:paraId="4E421001" w14:textId="77777777" w:rsidR="0069540B" w:rsidRDefault="0069540B"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F34F"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F13D"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6E2F"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355"/>
    <w:multiLevelType w:val="multilevel"/>
    <w:tmpl w:val="024A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22B45"/>
    <w:multiLevelType w:val="multilevel"/>
    <w:tmpl w:val="3C68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144FC"/>
    <w:multiLevelType w:val="multilevel"/>
    <w:tmpl w:val="94E2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462C0"/>
    <w:multiLevelType w:val="multilevel"/>
    <w:tmpl w:val="41FE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EA3198"/>
    <w:multiLevelType w:val="hybridMultilevel"/>
    <w:tmpl w:val="86E48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A15EEA"/>
    <w:multiLevelType w:val="multilevel"/>
    <w:tmpl w:val="E256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787546"/>
    <w:multiLevelType w:val="multilevel"/>
    <w:tmpl w:val="8BB4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6B1A09"/>
    <w:multiLevelType w:val="hybridMultilevel"/>
    <w:tmpl w:val="04EAE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62209376">
    <w:abstractNumId w:val="4"/>
  </w:num>
  <w:num w:numId="2" w16cid:durableId="1875458761">
    <w:abstractNumId w:val="5"/>
  </w:num>
  <w:num w:numId="3" w16cid:durableId="387998241">
    <w:abstractNumId w:val="1"/>
  </w:num>
  <w:num w:numId="4" w16cid:durableId="2136675927">
    <w:abstractNumId w:val="2"/>
  </w:num>
  <w:num w:numId="5" w16cid:durableId="20784068">
    <w:abstractNumId w:val="0"/>
  </w:num>
  <w:num w:numId="6" w16cid:durableId="851645594">
    <w:abstractNumId w:val="6"/>
  </w:num>
  <w:num w:numId="7" w16cid:durableId="2018729832">
    <w:abstractNumId w:val="3"/>
  </w:num>
  <w:num w:numId="8" w16cid:durableId="25378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6D"/>
    <w:rsid w:val="0009546B"/>
    <w:rsid w:val="00095604"/>
    <w:rsid w:val="0009700A"/>
    <w:rsid w:val="000A0119"/>
    <w:rsid w:val="00165975"/>
    <w:rsid w:val="00172199"/>
    <w:rsid w:val="0017753B"/>
    <w:rsid w:val="001A00BB"/>
    <w:rsid w:val="001C37B4"/>
    <w:rsid w:val="001F129E"/>
    <w:rsid w:val="001F1763"/>
    <w:rsid w:val="00225BE4"/>
    <w:rsid w:val="002E6FF6"/>
    <w:rsid w:val="00317F1F"/>
    <w:rsid w:val="003600A8"/>
    <w:rsid w:val="0036413B"/>
    <w:rsid w:val="00371AFE"/>
    <w:rsid w:val="003C4E41"/>
    <w:rsid w:val="00404C1A"/>
    <w:rsid w:val="00487378"/>
    <w:rsid w:val="004A2238"/>
    <w:rsid w:val="004A392D"/>
    <w:rsid w:val="004A47F6"/>
    <w:rsid w:val="004B347D"/>
    <w:rsid w:val="004B69F7"/>
    <w:rsid w:val="004C0D2A"/>
    <w:rsid w:val="004F009A"/>
    <w:rsid w:val="004F1B03"/>
    <w:rsid w:val="004F20C3"/>
    <w:rsid w:val="00550A5E"/>
    <w:rsid w:val="0057735C"/>
    <w:rsid w:val="00624B02"/>
    <w:rsid w:val="00630D5C"/>
    <w:rsid w:val="0065082D"/>
    <w:rsid w:val="0069540B"/>
    <w:rsid w:val="00695E04"/>
    <w:rsid w:val="006C1E19"/>
    <w:rsid w:val="006C7751"/>
    <w:rsid w:val="006D72AA"/>
    <w:rsid w:val="00722E64"/>
    <w:rsid w:val="00744D6D"/>
    <w:rsid w:val="00767151"/>
    <w:rsid w:val="00770174"/>
    <w:rsid w:val="007707B1"/>
    <w:rsid w:val="00782936"/>
    <w:rsid w:val="00785D37"/>
    <w:rsid w:val="00794C32"/>
    <w:rsid w:val="00796C1C"/>
    <w:rsid w:val="007D6DDD"/>
    <w:rsid w:val="00826583"/>
    <w:rsid w:val="00865CD5"/>
    <w:rsid w:val="00887F8A"/>
    <w:rsid w:val="008E53D8"/>
    <w:rsid w:val="00906DA9"/>
    <w:rsid w:val="009A1351"/>
    <w:rsid w:val="009B1D63"/>
    <w:rsid w:val="009B65DE"/>
    <w:rsid w:val="00A36AC9"/>
    <w:rsid w:val="00A4736E"/>
    <w:rsid w:val="00A963FC"/>
    <w:rsid w:val="00AD71CE"/>
    <w:rsid w:val="00B00146"/>
    <w:rsid w:val="00B93223"/>
    <w:rsid w:val="00BB0B8E"/>
    <w:rsid w:val="00BE7A96"/>
    <w:rsid w:val="00C029AC"/>
    <w:rsid w:val="00C155B7"/>
    <w:rsid w:val="00C442F5"/>
    <w:rsid w:val="00C93AB7"/>
    <w:rsid w:val="00CC034D"/>
    <w:rsid w:val="00CE1368"/>
    <w:rsid w:val="00D10D3B"/>
    <w:rsid w:val="00D83F89"/>
    <w:rsid w:val="00D858D0"/>
    <w:rsid w:val="00DE21D7"/>
    <w:rsid w:val="00E12FBD"/>
    <w:rsid w:val="00E26F62"/>
    <w:rsid w:val="00E87F67"/>
    <w:rsid w:val="00F17B57"/>
    <w:rsid w:val="00F61F85"/>
    <w:rsid w:val="00F72078"/>
    <w:rsid w:val="00F85186"/>
    <w:rsid w:val="00F95D1C"/>
    <w:rsid w:val="00FA62DB"/>
    <w:rsid w:val="00FB11EB"/>
    <w:rsid w:val="00FD4CA2"/>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3950E"/>
  <w15:chartTrackingRefBased/>
  <w15:docId w15:val="{0A458E52-1988-49A7-9009-38202960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DE2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3D8"/>
    <w:rPr>
      <w:color w:val="5F5F5F" w:themeColor="hyperlink"/>
      <w:u w:val="single"/>
    </w:rPr>
  </w:style>
  <w:style w:type="character" w:styleId="UnresolvedMention">
    <w:name w:val="Unresolved Mention"/>
    <w:basedOn w:val="DefaultParagraphFont"/>
    <w:uiPriority w:val="99"/>
    <w:semiHidden/>
    <w:unhideWhenUsed/>
    <w:rsid w:val="008E5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o.ontario.ca/page/sev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tario.ca/page/ministry-heritage-sport-tourism-culture-industr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7A6D-836D-4CC5-BC43-961051B2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 Wendy (MTCS)</dc:creator>
  <cp:keywords/>
  <dc:description/>
  <cp:lastModifiedBy>Chris Kilbride</cp:lastModifiedBy>
  <cp:revision>2</cp:revision>
  <dcterms:created xsi:type="dcterms:W3CDTF">2023-03-24T16:32:00Z</dcterms:created>
  <dcterms:modified xsi:type="dcterms:W3CDTF">2023-03-24T16:32:00Z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2023-01-09T19:20:01Z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092bcaa0-7b5d-4628-a172-64d994823523</vt:lpwstr>
  </property>
  <property fmtid="{D5CDD505-2E9C-101B-9397-08002B2CF9AE}" pid="8" name="MSIP_Label_034a106e-6316-442c-ad35-738afd673d2b_ContentBits">
    <vt:lpwstr>0</vt:lpwstr>
  </property>
</Properties>
</file>