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512" w:rsidRDefault="00456512" w:rsidP="00456512">
      <w:pPr>
        <w:jc w:val="center"/>
      </w:pPr>
      <w:r>
        <w:t>KFN LOGO</w:t>
      </w:r>
    </w:p>
    <w:p w:rsidR="00456512" w:rsidRDefault="00456512"/>
    <w:p w:rsidR="004B44AE" w:rsidRPr="00456512" w:rsidRDefault="00456512">
      <w:pPr>
        <w:rPr>
          <w:b/>
          <w:i/>
        </w:rPr>
      </w:pPr>
      <w:r w:rsidRPr="00456512">
        <w:rPr>
          <w:b/>
          <w:i/>
        </w:rPr>
        <w:t>CONFIDENTIAL DRAFT</w:t>
      </w:r>
    </w:p>
    <w:p w:rsidR="00456512" w:rsidRDefault="00456512">
      <w:pPr>
        <w:rPr>
          <w:b/>
          <w:i/>
        </w:rPr>
      </w:pPr>
      <w:r w:rsidRPr="00456512">
        <w:rPr>
          <w:b/>
          <w:i/>
        </w:rPr>
        <w:t>FOR DISCUSSION</w:t>
      </w:r>
    </w:p>
    <w:p w:rsidR="00456512" w:rsidRDefault="00456512">
      <w:pPr>
        <w:rPr>
          <w:b/>
          <w:i/>
        </w:rPr>
      </w:pPr>
    </w:p>
    <w:p w:rsidR="00456512" w:rsidRDefault="00456512">
      <w:pPr>
        <w:rPr>
          <w:b/>
          <w:i/>
        </w:rPr>
      </w:pPr>
    </w:p>
    <w:p w:rsidR="00456512" w:rsidRDefault="00456512">
      <w:r>
        <w:t>The Honourable Rod Phillips</w:t>
      </w:r>
    </w:p>
    <w:p w:rsidR="00456512" w:rsidRDefault="00456512">
      <w:r>
        <w:t>Minister of the Environment,</w:t>
      </w:r>
    </w:p>
    <w:p w:rsidR="00456512" w:rsidRDefault="00456512">
      <w:r>
        <w:t>Conservation and Parks</w:t>
      </w:r>
    </w:p>
    <w:p w:rsidR="00456512" w:rsidRDefault="00456512">
      <w:r>
        <w:t>Government of Ontario</w:t>
      </w:r>
    </w:p>
    <w:p w:rsidR="00456512" w:rsidRDefault="00456512">
      <w:r>
        <w:t>Toronto, Ontario</w:t>
      </w:r>
    </w:p>
    <w:p w:rsidR="00456512" w:rsidRDefault="00456512"/>
    <w:p w:rsidR="00456512" w:rsidRDefault="00456512">
      <w:r>
        <w:t>Dear Minister Phillips:</w:t>
      </w:r>
    </w:p>
    <w:p w:rsidR="00456512" w:rsidRDefault="00456512"/>
    <w:p w:rsidR="00456512" w:rsidRDefault="00456512">
      <w:pPr>
        <w:rPr>
          <w:b/>
        </w:rPr>
      </w:pPr>
      <w:r>
        <w:rPr>
          <w:b/>
        </w:rPr>
        <w:t xml:space="preserve">RE: </w:t>
      </w:r>
      <w:r w:rsidR="009B4F58">
        <w:rPr>
          <w:b/>
        </w:rPr>
        <w:tab/>
        <w:t>10</w:t>
      </w:r>
      <w:r w:rsidR="009B4F58" w:rsidRPr="009B4F58">
        <w:rPr>
          <w:b/>
          <w:vertAlign w:val="superscript"/>
        </w:rPr>
        <w:t>th</w:t>
      </w:r>
      <w:r w:rsidR="009B4F58">
        <w:rPr>
          <w:b/>
        </w:rPr>
        <w:t xml:space="preserve"> Year Review </w:t>
      </w:r>
      <w:r w:rsidRPr="00456512">
        <w:rPr>
          <w:b/>
        </w:rPr>
        <w:t xml:space="preserve">of Ontario’s </w:t>
      </w:r>
      <w:r w:rsidRPr="00456512">
        <w:rPr>
          <w:b/>
          <w:i/>
        </w:rPr>
        <w:t>Endangered Species Act</w:t>
      </w:r>
      <w:r w:rsidRPr="00456512">
        <w:rPr>
          <w:b/>
        </w:rPr>
        <w:t xml:space="preserve"> </w:t>
      </w:r>
      <w:r w:rsidR="009B4F58">
        <w:rPr>
          <w:b/>
        </w:rPr>
        <w:t>-- ERO 013-4143</w:t>
      </w:r>
    </w:p>
    <w:p w:rsidR="009B4F58" w:rsidRDefault="009B4F58">
      <w:pPr>
        <w:rPr>
          <w:b/>
        </w:rPr>
      </w:pPr>
      <w:r>
        <w:rPr>
          <w:b/>
        </w:rPr>
        <w:tab/>
      </w:r>
      <w:r w:rsidRPr="00456512">
        <w:rPr>
          <w:b/>
        </w:rPr>
        <w:t>Kingston Field Naturalists Submission</w:t>
      </w:r>
    </w:p>
    <w:p w:rsidR="009B4F58" w:rsidRDefault="009B4F58">
      <w:pPr>
        <w:rPr>
          <w:b/>
        </w:rPr>
      </w:pPr>
    </w:p>
    <w:p w:rsidR="00CE4CBE" w:rsidRDefault="00CE4CBE"/>
    <w:p w:rsidR="009B4F58" w:rsidRDefault="009B4F58">
      <w:r>
        <w:t xml:space="preserve">The Kingston Field Naturalists (KFN) has been active in conservation, education and citizen science for over 70 years. Our membership includes over 500 residents and families actively involved in </w:t>
      </w:r>
      <w:r w:rsidR="009C511F">
        <w:t xml:space="preserve">protecting </w:t>
      </w:r>
      <w:r>
        <w:t xml:space="preserve">the environment and quality of life </w:t>
      </w:r>
      <w:r w:rsidR="009C511F">
        <w:t>in the Kingston area.</w:t>
      </w:r>
      <w:r>
        <w:t xml:space="preserve">  </w:t>
      </w:r>
      <w:r w:rsidR="009C511F">
        <w:t xml:space="preserve">The KFN </w:t>
      </w:r>
      <w:r w:rsidR="00705192">
        <w:t xml:space="preserve">also </w:t>
      </w:r>
      <w:r w:rsidR="009C511F">
        <w:t xml:space="preserve">owns </w:t>
      </w:r>
      <w:r w:rsidR="007671EF">
        <w:t xml:space="preserve">and manages </w:t>
      </w:r>
      <w:r w:rsidR="009C511F">
        <w:t>a number of properties selected for their conservation value and to provide habitat and protection for species at risk. For 70 years our members have monitored plants and wildlife and contributed to environmental stewardship in the Kingston area.</w:t>
      </w:r>
    </w:p>
    <w:p w:rsidR="009C511F" w:rsidRDefault="009C511F"/>
    <w:p w:rsidR="00CE4CBE" w:rsidRPr="00CE4CBE" w:rsidRDefault="00CE4CBE">
      <w:pPr>
        <w:rPr>
          <w:b/>
        </w:rPr>
      </w:pPr>
      <w:r w:rsidRPr="00CE4CBE">
        <w:rPr>
          <w:b/>
        </w:rPr>
        <w:t>Comments on the Discussion Paper:</w:t>
      </w:r>
    </w:p>
    <w:p w:rsidR="00CE4CBE" w:rsidRDefault="00CE4CBE"/>
    <w:p w:rsidR="009C511F" w:rsidRDefault="009C511F">
      <w:r>
        <w:t xml:space="preserve">The KFN is pleased to have the opportunity to comment on the Minister of Environment, Conservation and Parks (MECP) Discussion Paper: </w:t>
      </w:r>
      <w:r w:rsidR="007671EF">
        <w:t>“</w:t>
      </w:r>
      <w:r>
        <w:t>10</w:t>
      </w:r>
      <w:r w:rsidRPr="009C511F">
        <w:rPr>
          <w:vertAlign w:val="superscript"/>
        </w:rPr>
        <w:t>th</w:t>
      </w:r>
      <w:r>
        <w:t xml:space="preserve"> Year Review of Ontario’s Endangered Species Act</w:t>
      </w:r>
      <w:r w:rsidR="007671EF">
        <w:t>”</w:t>
      </w:r>
      <w:r>
        <w:t xml:space="preserve"> (the “Discussion Paper”). We are encouraged by the Ontario Government’s indication that it wishes to “consider modern and innovative approaches to achieving positive outcomes for species at risk.”</w:t>
      </w:r>
      <w:r>
        <w:rPr>
          <w:rStyle w:val="FootnoteReference"/>
        </w:rPr>
        <w:footnoteReference w:id="1"/>
      </w:r>
      <w:r w:rsidR="007671EF">
        <w:t xml:space="preserve"> There is compelling evidence of increasing threats to biodiversity in Canada and a clear need for enhanced and more effective protection of species at risk.</w:t>
      </w:r>
      <w:r w:rsidR="00C926E2">
        <w:rPr>
          <w:rStyle w:val="FootnoteReference"/>
        </w:rPr>
        <w:footnoteReference w:id="2"/>
      </w:r>
      <w:r w:rsidR="00CE4CBE">
        <w:t xml:space="preserve"> Improvements to species at risk protection in Ontario are an important step towards addressing these challenges.</w:t>
      </w:r>
    </w:p>
    <w:p w:rsidR="009C511F" w:rsidRDefault="009C511F"/>
    <w:p w:rsidR="00DA1E0D" w:rsidRDefault="00705192">
      <w:r>
        <w:t>The Discussion Paper identifies a list of desired outcomes</w:t>
      </w:r>
      <w:r w:rsidR="00DA1E0D">
        <w:t xml:space="preserve"> which are expressed at a high and very general level.</w:t>
      </w:r>
      <w:r w:rsidR="00DA1E0D">
        <w:rPr>
          <w:rStyle w:val="FootnoteReference"/>
        </w:rPr>
        <w:footnoteReference w:id="3"/>
      </w:r>
      <w:r w:rsidR="00DA1E0D">
        <w:t xml:space="preserve"> The KFN supports the general objectives for th</w:t>
      </w:r>
      <w:r w:rsidR="00CE4CBE">
        <w:t>is</w:t>
      </w:r>
      <w:r w:rsidR="00DA1E0D">
        <w:t xml:space="preserve"> Review. </w:t>
      </w:r>
    </w:p>
    <w:p w:rsidR="00DA1E0D" w:rsidRDefault="00DA1E0D"/>
    <w:p w:rsidR="00D63474" w:rsidRDefault="00D63474">
      <w:r>
        <w:lastRenderedPageBreak/>
        <w:t>N</w:t>
      </w:r>
      <w:r w:rsidR="00DA1E0D">
        <w:t>either the Discussion Paper nor the supporting documents made available on the Environment Registry of Ontario (ERO)</w:t>
      </w:r>
      <w:r w:rsidR="00BB0483">
        <w:t>, however,</w:t>
      </w:r>
      <w:r w:rsidR="00DA1E0D">
        <w:t xml:space="preserve"> provide any clear linkage between these desired outcomes and the “Areas of Focus” set out for the Review. </w:t>
      </w:r>
      <w:r>
        <w:t xml:space="preserve">The unfortunate result is that KFN is left with no </w:t>
      </w:r>
      <w:r w:rsidR="00CE4CBE">
        <w:t xml:space="preserve">framework to </w:t>
      </w:r>
      <w:r>
        <w:t>evaluat</w:t>
      </w:r>
      <w:r w:rsidR="00CE4CBE">
        <w:t>e</w:t>
      </w:r>
      <w:r>
        <w:t xml:space="preserve"> and respond to the Challenges set out in the Discussion Paper. This leaves KFN unable to </w:t>
      </w:r>
      <w:r w:rsidR="004A1D27">
        <w:t xml:space="preserve">systematically </w:t>
      </w:r>
      <w:r>
        <w:t xml:space="preserve">correlate its experience with </w:t>
      </w:r>
      <w:r w:rsidRPr="00D63474">
        <w:rPr>
          <w:i/>
        </w:rPr>
        <w:t>Endangered Species Act</w:t>
      </w:r>
      <w:r>
        <w:t xml:space="preserve"> (ESA) implementation </w:t>
      </w:r>
      <w:r w:rsidR="00CE4CBE">
        <w:t xml:space="preserve">in the Kingston area </w:t>
      </w:r>
      <w:r>
        <w:t>with either the Challenges or Discussion Questions.</w:t>
      </w:r>
    </w:p>
    <w:p w:rsidR="00D63474" w:rsidRDefault="00D63474"/>
    <w:p w:rsidR="007671EF" w:rsidRDefault="00CE4CBE" w:rsidP="007671EF">
      <w:r>
        <w:t>R</w:t>
      </w:r>
      <w:r w:rsidR="00D63474">
        <w:t xml:space="preserve">eviews of ESA implementation </w:t>
      </w:r>
      <w:r w:rsidR="004A1D27">
        <w:t>are, however, available</w:t>
      </w:r>
      <w:r>
        <w:t xml:space="preserve"> as a backdrop to the Discussion Paper</w:t>
      </w:r>
      <w:r w:rsidR="004A1D27">
        <w:t xml:space="preserve">. </w:t>
      </w:r>
      <w:r w:rsidR="007671EF">
        <w:t>The Environment Commissioner of Ontario (ECO) conducted extensive reviews of changes to and the implementation of the ESA in 2013</w:t>
      </w:r>
      <w:r w:rsidR="007671EF">
        <w:rPr>
          <w:rStyle w:val="FootnoteReference"/>
        </w:rPr>
        <w:footnoteReference w:id="4"/>
      </w:r>
      <w:r w:rsidR="007671EF">
        <w:t xml:space="preserve"> and 2017.</w:t>
      </w:r>
      <w:r w:rsidR="007671EF">
        <w:rPr>
          <w:rStyle w:val="FootnoteReference"/>
        </w:rPr>
        <w:footnoteReference w:id="5"/>
      </w:r>
      <w:r w:rsidR="007671EF">
        <w:t xml:space="preserve"> An independent 2017 analysis of the first 10 years of ESA implementation conducted by Ontario Nature, Ecojustice and the David Suzuki Foundation concluded:</w:t>
      </w:r>
    </w:p>
    <w:p w:rsidR="007671EF" w:rsidRDefault="007671EF" w:rsidP="007671EF"/>
    <w:p w:rsidR="007671EF" w:rsidRDefault="007671EF" w:rsidP="007671EF">
      <w:pPr>
        <w:pStyle w:val="Default"/>
        <w:rPr>
          <w:sz w:val="18"/>
          <w:szCs w:val="18"/>
        </w:rPr>
      </w:pPr>
      <w:r>
        <w:t xml:space="preserve"> </w:t>
      </w:r>
      <w:r>
        <w:tab/>
        <w:t>“</w:t>
      </w:r>
      <w:r>
        <w:rPr>
          <w:sz w:val="18"/>
          <w:szCs w:val="18"/>
        </w:rPr>
        <w:t xml:space="preserve">The current lack of transparency, exemptions, and delays in recovery strategies are indicative of a grossly </w:t>
      </w:r>
      <w:r>
        <w:rPr>
          <w:sz w:val="18"/>
          <w:szCs w:val="18"/>
        </w:rPr>
        <w:tab/>
        <w:t xml:space="preserve">inadequate approach to recovering Ontario’s at-risk species. It’s time to prioritize the protection and recovery of </w:t>
      </w:r>
      <w:r>
        <w:rPr>
          <w:sz w:val="18"/>
          <w:szCs w:val="18"/>
        </w:rPr>
        <w:tab/>
        <w:t>species at risk in Ontario.”</w:t>
      </w:r>
      <w:r>
        <w:rPr>
          <w:rStyle w:val="FootnoteReference"/>
          <w:sz w:val="18"/>
          <w:szCs w:val="18"/>
        </w:rPr>
        <w:footnoteReference w:id="6"/>
      </w:r>
    </w:p>
    <w:p w:rsidR="007671EF" w:rsidRDefault="007671EF" w:rsidP="007671EF">
      <w:pPr>
        <w:pStyle w:val="ListParagraph"/>
        <w:ind w:left="0"/>
      </w:pPr>
    </w:p>
    <w:p w:rsidR="00A17EDD" w:rsidRDefault="00BB0483">
      <w:r>
        <w:t xml:space="preserve">In light of this evidence, it is clear that ESA implementation </w:t>
      </w:r>
      <w:r w:rsidR="004A1D27">
        <w:t>must</w:t>
      </w:r>
      <w:r>
        <w:t xml:space="preserve"> be improved. The KFN supports </w:t>
      </w:r>
      <w:r w:rsidR="004A1D27">
        <w:t xml:space="preserve">those </w:t>
      </w:r>
      <w:r>
        <w:t>changes which w</w:t>
      </w:r>
      <w:r w:rsidR="00CE4CBE">
        <w:t>ill</w:t>
      </w:r>
      <w:r>
        <w:t xml:space="preserve"> enhance protection for species at risk, result in clarity for all parties affected by ESA implementation and ensure timely decision-making </w:t>
      </w:r>
      <w:r w:rsidR="00E3457A">
        <w:t>by government</w:t>
      </w:r>
      <w:r w:rsidR="00CE4CBE">
        <w:t xml:space="preserve">. Such changes should </w:t>
      </w:r>
      <w:r>
        <w:t xml:space="preserve">reduce </w:t>
      </w:r>
      <w:r w:rsidR="00E3457A">
        <w:t xml:space="preserve">uncertainty and establish protection for species at risk as soon as possible after listing. </w:t>
      </w:r>
      <w:r w:rsidR="004A1D27">
        <w:t xml:space="preserve">The current system </w:t>
      </w:r>
      <w:r w:rsidR="00CE4CBE">
        <w:t xml:space="preserve">has become extremely </w:t>
      </w:r>
      <w:r w:rsidR="004A1D27">
        <w:t xml:space="preserve">complicated and </w:t>
      </w:r>
      <w:r w:rsidR="00CE4CBE">
        <w:t xml:space="preserve">is </w:t>
      </w:r>
      <w:r w:rsidR="004A1D27">
        <w:t>characterized by delays in species at risk protection. It is not transparent and detracts from the potential for sustainable development in Ontario.</w:t>
      </w:r>
    </w:p>
    <w:p w:rsidR="00A17EDD" w:rsidRDefault="00A17EDD"/>
    <w:p w:rsidR="009C511F" w:rsidRDefault="00A17EDD">
      <w:r>
        <w:t>Below we set out KFN comments in relation to the Challenges and Discussion Questions set out in the Discussion Paper.</w:t>
      </w:r>
      <w:r w:rsidR="004A1D27">
        <w:t xml:space="preserve"> </w:t>
      </w:r>
    </w:p>
    <w:p w:rsidR="00E3457A" w:rsidRDefault="00E3457A"/>
    <w:p w:rsidR="00E3457A" w:rsidRDefault="00BC206A">
      <w:pPr>
        <w:rPr>
          <w:b/>
        </w:rPr>
      </w:pPr>
      <w:r w:rsidRPr="00BC206A">
        <w:rPr>
          <w:b/>
        </w:rPr>
        <w:t>Areas of Focus and Discussion Questions:</w:t>
      </w:r>
    </w:p>
    <w:p w:rsidR="00BC206A" w:rsidRDefault="00BC206A">
      <w:pPr>
        <w:rPr>
          <w:b/>
        </w:rPr>
      </w:pPr>
    </w:p>
    <w:p w:rsidR="00271F18" w:rsidRDefault="00BC206A">
      <w:r w:rsidRPr="00A17EDD">
        <w:rPr>
          <w:u w:val="single"/>
        </w:rPr>
        <w:t>Landscape Approaches</w:t>
      </w:r>
      <w:r>
        <w:t xml:space="preserve"> - </w:t>
      </w:r>
      <w:r w:rsidR="00A17EDD">
        <w:t xml:space="preserve">Assessment and listing can only be done species by species. It is not clear </w:t>
      </w:r>
      <w:r w:rsidR="00B60D71">
        <w:t xml:space="preserve">to KFN that </w:t>
      </w:r>
      <w:r w:rsidR="00A17EDD">
        <w:t xml:space="preserve">a “landscape approach” can </w:t>
      </w:r>
      <w:r w:rsidR="00CE4CBE">
        <w:t xml:space="preserve">or should </w:t>
      </w:r>
      <w:r w:rsidR="00A17EDD">
        <w:t>play any role in th</w:t>
      </w:r>
      <w:r w:rsidR="00271F18">
        <w:t>at</w:t>
      </w:r>
      <w:r w:rsidR="00A17EDD">
        <w:t xml:space="preserve"> process. The basic protections </w:t>
      </w:r>
      <w:r w:rsidR="00271F18">
        <w:t xml:space="preserve">provided by the legislation </w:t>
      </w:r>
      <w:r w:rsidR="00A17EDD">
        <w:t xml:space="preserve">for listed species must continue to include protection of </w:t>
      </w:r>
      <w:r w:rsidR="00271F18">
        <w:t xml:space="preserve">both </w:t>
      </w:r>
      <w:r w:rsidR="00A17EDD">
        <w:t xml:space="preserve">the members of the species and important habitats. </w:t>
      </w:r>
      <w:r w:rsidR="00CE4CBE">
        <w:t>Recovery of listed species is not otherwise possible.</w:t>
      </w:r>
    </w:p>
    <w:p w:rsidR="00271F18" w:rsidRDefault="00271F18"/>
    <w:p w:rsidR="00A17EDD" w:rsidRDefault="00271F18">
      <w:r>
        <w:lastRenderedPageBreak/>
        <w:t>The exemptions provided for in regulation</w:t>
      </w:r>
      <w:r>
        <w:rPr>
          <w:rStyle w:val="FootnoteReference"/>
        </w:rPr>
        <w:footnoteReference w:id="7"/>
      </w:r>
      <w:r>
        <w:t xml:space="preserve"> are already </w:t>
      </w:r>
      <w:r w:rsidR="00CE4CBE">
        <w:t xml:space="preserve">complex and </w:t>
      </w:r>
      <w:r>
        <w:t xml:space="preserve">overbroad. Moving from exemptions based on activity </w:t>
      </w:r>
      <w:r w:rsidR="00EB6E96">
        <w:t xml:space="preserve">type </w:t>
      </w:r>
      <w:r>
        <w:t xml:space="preserve">– </w:t>
      </w:r>
      <w:r w:rsidR="00EB6E96">
        <w:t xml:space="preserve">for example </w:t>
      </w:r>
      <w:r>
        <w:t>forestry or aggregate extraction etc.</w:t>
      </w:r>
      <w:r w:rsidR="004D6185">
        <w:t>,</w:t>
      </w:r>
      <w:r>
        <w:t xml:space="preserve"> to authorizations based on a landscape approach – presumably based on species ranges or habitats</w:t>
      </w:r>
      <w:r w:rsidR="004D6185">
        <w:t>,</w:t>
      </w:r>
      <w:r>
        <w:t xml:space="preserve"> could be equally if not more confusing</w:t>
      </w:r>
      <w:r w:rsidR="004D6185">
        <w:t xml:space="preserve"> to affected parties</w:t>
      </w:r>
      <w:r>
        <w:t>. The</w:t>
      </w:r>
      <w:r w:rsidR="00EB6E96">
        <w:t xml:space="preserve"> Discussion Paper </w:t>
      </w:r>
      <w:r>
        <w:t>beg</w:t>
      </w:r>
      <w:r w:rsidR="00EB6E96">
        <w:t>s</w:t>
      </w:r>
      <w:r>
        <w:t xml:space="preserve"> the question of whether </w:t>
      </w:r>
      <w:r w:rsidR="004D6185">
        <w:t xml:space="preserve">a </w:t>
      </w:r>
      <w:r>
        <w:t xml:space="preserve">landscape authorization </w:t>
      </w:r>
      <w:r w:rsidR="00EB6E96">
        <w:t xml:space="preserve">system </w:t>
      </w:r>
      <w:r>
        <w:t>is going to replace the current exemption system or represent a new level of approvals for activities which might adversely affect listed species and habitats</w:t>
      </w:r>
      <w:r w:rsidR="004D6185">
        <w:t>?</w:t>
      </w:r>
    </w:p>
    <w:p w:rsidR="00EB6E96" w:rsidRDefault="00EB6E96"/>
    <w:p w:rsidR="00271F18" w:rsidRDefault="00271F18">
      <w:r>
        <w:t>There is simply not enough detail in the Discussion Paper for KFN to understand the mechanisms contemplated by MECP for use as part of a landscape approach. It is thus not possible for us to comment on whether this approach would improve the effectiveness of the legislation.</w:t>
      </w:r>
      <w:r w:rsidR="004D6185">
        <w:t xml:space="preserve"> KFN </w:t>
      </w:r>
      <w:r w:rsidR="00EB6E96">
        <w:t xml:space="preserve">does </w:t>
      </w:r>
      <w:r w:rsidR="004D6185">
        <w:t>not support further weakening of species or habitat protections.</w:t>
      </w:r>
    </w:p>
    <w:p w:rsidR="004D6185" w:rsidRDefault="004D6185"/>
    <w:p w:rsidR="004D6185" w:rsidRDefault="004D6185">
      <w:r>
        <w:t xml:space="preserve">MECP should provide a better description of its proposed landscape approach and how it might be implemented for public comment. </w:t>
      </w:r>
    </w:p>
    <w:p w:rsidR="00B60D71" w:rsidRDefault="00B60D71"/>
    <w:p w:rsidR="00271F18" w:rsidRDefault="00B60D71" w:rsidP="00271F18">
      <w:r w:rsidRPr="00B60D71">
        <w:rPr>
          <w:u w:val="single"/>
        </w:rPr>
        <w:t>Listing Process and Protections for Species at Risk</w:t>
      </w:r>
      <w:r>
        <w:t xml:space="preserve"> - </w:t>
      </w:r>
      <w:r w:rsidR="00271F18">
        <w:t>I</w:t>
      </w:r>
      <w:r w:rsidR="00271F18">
        <w:t xml:space="preserve">mproved notice periods and greater transparency in relation to the evidence used for assessment and listing </w:t>
      </w:r>
      <w:r w:rsidR="00EB6E96">
        <w:t xml:space="preserve">decisions </w:t>
      </w:r>
      <w:r w:rsidR="00271F18">
        <w:t xml:space="preserve">would benefit both proponents of species protection and those affected by </w:t>
      </w:r>
      <w:r w:rsidR="00EB6E96">
        <w:t xml:space="preserve">such </w:t>
      </w:r>
      <w:r w:rsidR="00271F18">
        <w:t>listing</w:t>
      </w:r>
      <w:r w:rsidR="004D6185">
        <w:t>s</w:t>
      </w:r>
      <w:r w:rsidR="00271F18">
        <w:t xml:space="preserve">. In </w:t>
      </w:r>
      <w:r w:rsidR="00EB6E96">
        <w:t xml:space="preserve">the KFN </w:t>
      </w:r>
      <w:r w:rsidR="00271F18">
        <w:t>view, however, these improvements should not require extensions of the timelines for government decisions already set out in legislation. Considerable delays in ESA implementation already take place in relation to both species and habitat protection.</w:t>
      </w:r>
      <w:r w:rsidR="00271F18">
        <w:rPr>
          <w:rStyle w:val="FootnoteReference"/>
        </w:rPr>
        <w:footnoteReference w:id="8"/>
      </w:r>
      <w:r w:rsidR="00271F18">
        <w:t xml:space="preserve"> In a number of instances, the Ontario government has not met its obligations to produce recovery strategies and response strategies</w:t>
      </w:r>
      <w:r w:rsidR="00EB6E96">
        <w:t xml:space="preserve"> within legislated timelines</w:t>
      </w:r>
      <w:r w:rsidR="00271F18">
        <w:t>.</w:t>
      </w:r>
      <w:r w:rsidR="00271F18">
        <w:rPr>
          <w:rStyle w:val="FootnoteReference"/>
        </w:rPr>
        <w:footnoteReference w:id="9"/>
      </w:r>
      <w:r w:rsidR="00271F18">
        <w:t xml:space="preserve">  </w:t>
      </w:r>
    </w:p>
    <w:p w:rsidR="004D6185" w:rsidRDefault="004D6185" w:rsidP="00271F18"/>
    <w:p w:rsidR="004D6185" w:rsidRDefault="004D6185" w:rsidP="00271F18">
      <w:r>
        <w:t xml:space="preserve">KFN supports improvements to notice provisions which will give </w:t>
      </w:r>
      <w:r w:rsidR="00EB6E96">
        <w:t xml:space="preserve">all </w:t>
      </w:r>
      <w:r>
        <w:t>parties affected by listing better information sooner</w:t>
      </w:r>
      <w:r w:rsidR="00EB6E96">
        <w:t>,</w:t>
      </w:r>
      <w:r>
        <w:t xml:space="preserve"> so that they can plan their activities in a way that is consistent with protection of listed species and habitats. These improvements do not, however, require extension of government decision-making timelines.</w:t>
      </w:r>
    </w:p>
    <w:p w:rsidR="004D6185" w:rsidRDefault="004D6185" w:rsidP="00271F18"/>
    <w:p w:rsidR="00EB6E96" w:rsidRDefault="004D6185" w:rsidP="00271F18">
      <w:r w:rsidRPr="00015A8E">
        <w:rPr>
          <w:u w:val="single"/>
        </w:rPr>
        <w:t>Species Recovery Policies and Habitat Regulations</w:t>
      </w:r>
      <w:r>
        <w:t xml:space="preserve"> – The </w:t>
      </w:r>
      <w:r w:rsidR="00015A8E">
        <w:t>ESA</w:t>
      </w:r>
      <w:r>
        <w:t xml:space="preserve"> </w:t>
      </w:r>
      <w:r w:rsidR="00015A8E">
        <w:t>makes provision for specific regulations</w:t>
      </w:r>
      <w:r w:rsidR="00263ECC">
        <w:t>,</w:t>
      </w:r>
      <w:r w:rsidR="00015A8E">
        <w:rPr>
          <w:rStyle w:val="FootnoteReference"/>
        </w:rPr>
        <w:footnoteReference w:id="10"/>
      </w:r>
      <w:r w:rsidR="00015A8E">
        <w:t xml:space="preserve"> </w:t>
      </w:r>
      <w:r w:rsidR="00EB6E96">
        <w:t xml:space="preserve">which </w:t>
      </w:r>
      <w:r w:rsidR="00015A8E">
        <w:t>among other things, defin</w:t>
      </w:r>
      <w:r w:rsidR="00EB6E96">
        <w:t>e</w:t>
      </w:r>
      <w:r w:rsidR="00015A8E">
        <w:t xml:space="preserve"> </w:t>
      </w:r>
      <w:r w:rsidR="00263ECC">
        <w:t xml:space="preserve">listed species’ specific </w:t>
      </w:r>
      <w:r w:rsidR="00015A8E">
        <w:t>habitat</w:t>
      </w:r>
      <w:r w:rsidR="00263ECC">
        <w:t>s,</w:t>
      </w:r>
      <w:r w:rsidR="00015A8E">
        <w:t xml:space="preserve"> including its location and such matters as, protections </w:t>
      </w:r>
      <w:r w:rsidR="005827D7">
        <w:t>for</w:t>
      </w:r>
      <w:r w:rsidR="00015A8E">
        <w:t xml:space="preserve"> this habitat</w:t>
      </w:r>
      <w:r w:rsidR="00263ECC">
        <w:t>,</w:t>
      </w:r>
      <w:r w:rsidR="00015A8E">
        <w:t xml:space="preserve"> recovery strategy preparation</w:t>
      </w:r>
      <w:r w:rsidR="00263ECC" w:rsidRPr="00263ECC">
        <w:t xml:space="preserve"> </w:t>
      </w:r>
      <w:r w:rsidR="00263ECC">
        <w:t xml:space="preserve">and </w:t>
      </w:r>
      <w:r w:rsidR="00263ECC">
        <w:t>exemptions for activities in these areas</w:t>
      </w:r>
      <w:r w:rsidR="00015A8E">
        <w:t xml:space="preserve">. These regulations are not mandatory. </w:t>
      </w:r>
    </w:p>
    <w:p w:rsidR="00EB6E96" w:rsidRDefault="00EB6E96" w:rsidP="00271F18"/>
    <w:p w:rsidR="004D6185" w:rsidRDefault="00263ECC" w:rsidP="00271F18">
      <w:r>
        <w:t xml:space="preserve">Where the development of a </w:t>
      </w:r>
      <w:r w:rsidR="00EB6E96">
        <w:t xml:space="preserve">specific </w:t>
      </w:r>
      <w:r>
        <w:t>regulation would benefit a listed species and provide greater certainty about the management of its habitat in relation to a recovery strategy -- KFN suggests that the regulation w</w:t>
      </w:r>
      <w:r w:rsidR="005827D7">
        <w:t>ill</w:t>
      </w:r>
      <w:r>
        <w:t xml:space="preserve"> benefit all affected parties. Generic protections found in the </w:t>
      </w:r>
      <w:r>
        <w:lastRenderedPageBreak/>
        <w:t xml:space="preserve">ESA may not ensure </w:t>
      </w:r>
      <w:r w:rsidR="005827D7">
        <w:t xml:space="preserve">listed species </w:t>
      </w:r>
      <w:r>
        <w:t xml:space="preserve">recovery or provide the detail needed to clearly indicate what other activities are permitted in these areas. </w:t>
      </w:r>
    </w:p>
    <w:p w:rsidR="00263ECC" w:rsidRDefault="00263ECC" w:rsidP="00271F18"/>
    <w:p w:rsidR="00263ECC" w:rsidRDefault="00263ECC" w:rsidP="00271F18">
      <w:r>
        <w:t xml:space="preserve">If timing for delivery of Government Response Statements is too short in some instances, then KFN agrees that an extension could be </w:t>
      </w:r>
      <w:r w:rsidR="005827D7">
        <w:t>provided for in legislation</w:t>
      </w:r>
      <w:r>
        <w:t xml:space="preserve">. Such extensions should not, however, become the rule. </w:t>
      </w:r>
      <w:r w:rsidR="005827D7">
        <w:t>Ministerial permission should be required for an extension and the reasons why the extension is requested and the Minister’s reasons for granting one should be made public. In addition, such an extension should not be an occasion for delay of either a Response Strategy or habitat protection regulations. Government delays have characterized ESA implementation and affected listed species protections.</w:t>
      </w:r>
      <w:r w:rsidR="005827D7">
        <w:rPr>
          <w:rStyle w:val="FootnoteReference"/>
        </w:rPr>
        <w:footnoteReference w:id="11"/>
      </w:r>
      <w:r w:rsidR="001057B0">
        <w:t xml:space="preserve"> Consideration should be given to committing additional time and </w:t>
      </w:r>
      <w:r w:rsidR="00EB6E96">
        <w:t xml:space="preserve">government </w:t>
      </w:r>
      <w:r w:rsidR="001057B0">
        <w:t>resources to this work.</w:t>
      </w:r>
    </w:p>
    <w:p w:rsidR="00EB6E96" w:rsidRDefault="00EB6E96" w:rsidP="00271F18">
      <w:pPr>
        <w:rPr>
          <w:u w:val="single"/>
        </w:rPr>
      </w:pPr>
    </w:p>
    <w:p w:rsidR="001057B0" w:rsidRDefault="001057B0" w:rsidP="00271F18">
      <w:r w:rsidRPr="00DD0FB0">
        <w:rPr>
          <w:u w:val="single"/>
        </w:rPr>
        <w:t>Authorization Process</w:t>
      </w:r>
      <w:r>
        <w:t xml:space="preserve"> –</w:t>
      </w:r>
      <w:r w:rsidR="00DD0FB0">
        <w:t>The rules in regulation system created in 2013 was layered on to provisions in the statute</w:t>
      </w:r>
      <w:r w:rsidR="00DD0FB0">
        <w:rPr>
          <w:rStyle w:val="FootnoteReference"/>
        </w:rPr>
        <w:footnoteReference w:id="12"/>
      </w:r>
      <w:r w:rsidR="00DD0FB0">
        <w:t xml:space="preserve"> which already provided for flexibility in the application of the Act. The result is a complex system of rules, exemptions, authorizations and regulations. A comprehensive review and rationalization of this framework could reduce administrative burdens, delays and costs for all affected parties.</w:t>
      </w:r>
    </w:p>
    <w:p w:rsidR="00B60D71" w:rsidRDefault="00B60D71"/>
    <w:p w:rsidR="00DD0FB0" w:rsidRDefault="00DD0FB0">
      <w:r>
        <w:t xml:space="preserve">The touchstone </w:t>
      </w:r>
      <w:r>
        <w:t xml:space="preserve">for </w:t>
      </w:r>
      <w:r>
        <w:t>any review of the authorization process</w:t>
      </w:r>
      <w:r>
        <w:t>, however,</w:t>
      </w:r>
      <w:r>
        <w:t xml:space="preserve"> must be the purposes set out in section 1 of the ESA.</w:t>
      </w:r>
      <w:r>
        <w:t xml:space="preserve"> </w:t>
      </w:r>
    </w:p>
    <w:p w:rsidR="00A356FB" w:rsidRDefault="00A356FB"/>
    <w:p w:rsidR="00A356FB" w:rsidRPr="00EB6E96" w:rsidRDefault="00EB6E96">
      <w:pPr>
        <w:rPr>
          <w:b/>
        </w:rPr>
      </w:pPr>
      <w:r w:rsidRPr="00EB6E96">
        <w:rPr>
          <w:b/>
        </w:rPr>
        <w:t>Conclusion:</w:t>
      </w:r>
    </w:p>
    <w:p w:rsidR="00456512" w:rsidRDefault="00456512">
      <w:pPr>
        <w:rPr>
          <w:b/>
        </w:rPr>
      </w:pPr>
    </w:p>
    <w:p w:rsidR="00EB6E96" w:rsidRDefault="00EB6E96">
      <w:r w:rsidRPr="00EB6E96">
        <w:t xml:space="preserve">KFN appreciates </w:t>
      </w:r>
      <w:r>
        <w:t xml:space="preserve">the opportunity to set out its views in relation to the Discussion Paper. Once the MECP has a clearer plan for changes to </w:t>
      </w:r>
      <w:r w:rsidR="00665FC4">
        <w:t>the ESA or regulations we suggest that specific proposals be set out for comment on the ERO. The ESA is the last line of defence for a number of species which are of central importance to our heritage. Any changes made to this legislation should ensure that this rich ecological endowment is passed on to future generations unimpaired.</w:t>
      </w:r>
    </w:p>
    <w:p w:rsidR="00665FC4" w:rsidRDefault="00665FC4"/>
    <w:p w:rsidR="00665FC4" w:rsidRDefault="00665FC4"/>
    <w:p w:rsidR="00665FC4" w:rsidRDefault="00665FC4">
      <w:r>
        <w:t>Yours truly,</w:t>
      </w:r>
    </w:p>
    <w:p w:rsidR="00665FC4" w:rsidRDefault="00665FC4"/>
    <w:p w:rsidR="00665FC4" w:rsidRDefault="00665FC4"/>
    <w:p w:rsidR="00A270AB" w:rsidRDefault="00A270AB"/>
    <w:p w:rsidR="00665FC4" w:rsidRDefault="00665FC4">
      <w:bookmarkStart w:id="0" w:name="_GoBack"/>
      <w:bookmarkEnd w:id="0"/>
      <w:r>
        <w:t xml:space="preserve">Anthony </w:t>
      </w:r>
      <w:proofErr w:type="spellStart"/>
      <w:r>
        <w:t>Kaduck</w:t>
      </w:r>
      <w:proofErr w:type="spellEnd"/>
    </w:p>
    <w:p w:rsidR="00665FC4" w:rsidRDefault="00665FC4">
      <w:r>
        <w:t>President, Kingston Field Naturalists</w:t>
      </w:r>
    </w:p>
    <w:p w:rsidR="00665FC4" w:rsidRDefault="00665FC4"/>
    <w:p w:rsidR="00665FC4" w:rsidRDefault="00665FC4"/>
    <w:p w:rsidR="00665FC4" w:rsidRPr="00EB6E96" w:rsidRDefault="00665FC4">
      <w:r>
        <w:t xml:space="preserve">Copy to: </w:t>
      </w:r>
      <w:r w:rsidR="00A270AB">
        <w:t>Ian Arthur, MPP Kingston and the Islands</w:t>
      </w:r>
    </w:p>
    <w:p w:rsidR="00456512" w:rsidRPr="00456512" w:rsidRDefault="00456512">
      <w:pPr>
        <w:rPr>
          <w:b/>
        </w:rPr>
      </w:pPr>
    </w:p>
    <w:sectPr w:rsidR="00456512" w:rsidRPr="00456512" w:rsidSect="001A742A">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69F" w:rsidRDefault="00BA569F" w:rsidP="009C511F">
      <w:r>
        <w:separator/>
      </w:r>
    </w:p>
  </w:endnote>
  <w:endnote w:type="continuationSeparator" w:id="0">
    <w:p w:rsidR="00BA569F" w:rsidRDefault="00BA569F" w:rsidP="009C5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561313"/>
      <w:docPartObj>
        <w:docPartGallery w:val="Page Numbers (Bottom of Page)"/>
        <w:docPartUnique/>
      </w:docPartObj>
    </w:sdtPr>
    <w:sdtContent>
      <w:p w:rsidR="00E3457A" w:rsidRDefault="00E3457A" w:rsidP="00632B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3457A" w:rsidRDefault="00E3457A" w:rsidP="00E345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68761884"/>
      <w:docPartObj>
        <w:docPartGallery w:val="Page Numbers (Bottom of Page)"/>
        <w:docPartUnique/>
      </w:docPartObj>
    </w:sdtPr>
    <w:sdtContent>
      <w:p w:rsidR="00E3457A" w:rsidRDefault="00E3457A" w:rsidP="00632B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E3457A" w:rsidRDefault="00E3457A" w:rsidP="00E3457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69F" w:rsidRDefault="00BA569F" w:rsidP="009C511F">
      <w:r>
        <w:separator/>
      </w:r>
    </w:p>
  </w:footnote>
  <w:footnote w:type="continuationSeparator" w:id="0">
    <w:p w:rsidR="00BA569F" w:rsidRDefault="00BA569F" w:rsidP="009C511F">
      <w:r>
        <w:continuationSeparator/>
      </w:r>
    </w:p>
  </w:footnote>
  <w:footnote w:id="1">
    <w:p w:rsidR="009C511F" w:rsidRPr="009C511F" w:rsidRDefault="009C511F">
      <w:pPr>
        <w:pStyle w:val="FootnoteText"/>
        <w:rPr>
          <w:lang w:val="en-US"/>
        </w:rPr>
      </w:pPr>
      <w:r>
        <w:rPr>
          <w:rStyle w:val="FootnoteReference"/>
        </w:rPr>
        <w:footnoteRef/>
      </w:r>
      <w:r>
        <w:t xml:space="preserve"> </w:t>
      </w:r>
      <w:r w:rsidR="00705192">
        <w:rPr>
          <w:lang w:val="en-US"/>
        </w:rPr>
        <w:t>ERO 013-4143 Proposal Summary.</w:t>
      </w:r>
    </w:p>
  </w:footnote>
  <w:footnote w:id="2">
    <w:p w:rsidR="00C926E2" w:rsidRPr="00C926E2" w:rsidRDefault="00C926E2">
      <w:pPr>
        <w:pStyle w:val="FootnoteText"/>
        <w:rPr>
          <w:lang w:val="en-US"/>
        </w:rPr>
      </w:pPr>
      <w:r>
        <w:rPr>
          <w:rStyle w:val="FootnoteReference"/>
        </w:rPr>
        <w:footnoteRef/>
      </w:r>
      <w:r>
        <w:t xml:space="preserve"> </w:t>
      </w:r>
      <w:r w:rsidR="00BB0483">
        <w:t>“</w:t>
      </w:r>
      <w:r w:rsidR="00BB0483">
        <w:rPr>
          <w:lang w:val="en-US"/>
        </w:rPr>
        <w:t>Living Planet Report Canada: A national look at wildlife loss” World Wildlife Fund Canada 2017. This report found that half of monitored species in Canada (491 of 903) declined by an average of 83 percent between 1970 and 2014.</w:t>
      </w:r>
    </w:p>
  </w:footnote>
  <w:footnote w:id="3">
    <w:p w:rsidR="00DA1E0D" w:rsidRPr="00DA1E0D" w:rsidRDefault="00DA1E0D">
      <w:pPr>
        <w:pStyle w:val="FootnoteText"/>
        <w:rPr>
          <w:lang w:val="en-US"/>
        </w:rPr>
      </w:pPr>
      <w:r>
        <w:rPr>
          <w:rStyle w:val="FootnoteReference"/>
        </w:rPr>
        <w:footnoteRef/>
      </w:r>
      <w:r>
        <w:t xml:space="preserve"> </w:t>
      </w:r>
      <w:r>
        <w:rPr>
          <w:lang w:val="en-US"/>
        </w:rPr>
        <w:t>Page 2 of the Discussion Paper – bulleted list.</w:t>
      </w:r>
    </w:p>
  </w:footnote>
  <w:footnote w:id="4">
    <w:p w:rsidR="007671EF" w:rsidRPr="000774AB" w:rsidRDefault="007671EF" w:rsidP="007671EF">
      <w:pPr>
        <w:pStyle w:val="FootnoteText"/>
        <w:rPr>
          <w:lang w:val="en-US"/>
        </w:rPr>
      </w:pPr>
      <w:r>
        <w:rPr>
          <w:rStyle w:val="FootnoteReference"/>
        </w:rPr>
        <w:footnoteRef/>
      </w:r>
      <w:r>
        <w:t xml:space="preserve"> Environment Commissioner of Ontario 2013. </w:t>
      </w:r>
      <w:r>
        <w:rPr>
          <w:lang w:val="en-US"/>
        </w:rPr>
        <w:t xml:space="preserve">“Laying Siege to the Last Line of </w:t>
      </w:r>
      <w:proofErr w:type="spellStart"/>
      <w:r>
        <w:rPr>
          <w:lang w:val="en-US"/>
        </w:rPr>
        <w:t>Defence</w:t>
      </w:r>
      <w:proofErr w:type="spellEnd"/>
      <w:r>
        <w:rPr>
          <w:lang w:val="en-US"/>
        </w:rPr>
        <w:t xml:space="preserve"> – A Review of Ontario’s Weakened Protections for Species at Risk”.</w:t>
      </w:r>
    </w:p>
  </w:footnote>
  <w:footnote w:id="5">
    <w:p w:rsidR="007671EF" w:rsidRPr="00826257" w:rsidRDefault="007671EF" w:rsidP="007671EF">
      <w:pPr>
        <w:pStyle w:val="FootnoteText"/>
        <w:rPr>
          <w:lang w:val="en-US"/>
        </w:rPr>
      </w:pPr>
      <w:r>
        <w:rPr>
          <w:rStyle w:val="FootnoteReference"/>
        </w:rPr>
        <w:footnoteRef/>
      </w:r>
      <w:r>
        <w:t xml:space="preserve"> </w:t>
      </w:r>
      <w:r>
        <w:rPr>
          <w:lang w:val="en-US"/>
        </w:rPr>
        <w:t xml:space="preserve">Environment Commissioner of Ontario, 2017. “Good Choices, Bad Choices, Environmental Rights and Environmental Protection in Ontario”- Chapter 7 p.216 – Getting Approvals Wrong: The MNRF’s Risk-Based Approach to Protecting Species at Risk. </w:t>
      </w:r>
    </w:p>
  </w:footnote>
  <w:footnote w:id="6">
    <w:p w:rsidR="007671EF" w:rsidRPr="005D4823" w:rsidRDefault="007671EF" w:rsidP="007671EF">
      <w:pPr>
        <w:pStyle w:val="FootnoteText"/>
        <w:rPr>
          <w:lang w:val="en-US"/>
        </w:rPr>
      </w:pPr>
      <w:r>
        <w:rPr>
          <w:rStyle w:val="FootnoteReference"/>
        </w:rPr>
        <w:footnoteRef/>
      </w:r>
      <w:r>
        <w:t xml:space="preserve"> </w:t>
      </w:r>
      <w:r>
        <w:rPr>
          <w:lang w:val="en-US"/>
        </w:rPr>
        <w:t>“WITHOUT A TRACE? – Reflection on the 10</w:t>
      </w:r>
      <w:r w:rsidRPr="005D4823">
        <w:rPr>
          <w:vertAlign w:val="superscript"/>
          <w:lang w:val="en-US"/>
        </w:rPr>
        <w:t>th</w:t>
      </w:r>
      <w:r>
        <w:rPr>
          <w:lang w:val="en-US"/>
        </w:rPr>
        <w:t xml:space="preserve"> anniversary of Ontario’s Endangered Species Act, 2007” by Ecojustice, David Suzuki Foundation and Ontario Nature</w:t>
      </w:r>
      <w:r>
        <w:rPr>
          <w:lang w:val="en-US"/>
        </w:rPr>
        <w:t>, p</w:t>
      </w:r>
      <w:r>
        <w:rPr>
          <w:lang w:val="en-US"/>
        </w:rPr>
        <w:t>aragraph 6 page 21</w:t>
      </w:r>
      <w:r>
        <w:rPr>
          <w:lang w:val="en-US"/>
        </w:rPr>
        <w:t>.</w:t>
      </w:r>
    </w:p>
  </w:footnote>
  <w:footnote w:id="7">
    <w:p w:rsidR="00271F18" w:rsidRPr="00271F18" w:rsidRDefault="00271F18">
      <w:pPr>
        <w:pStyle w:val="FootnoteText"/>
        <w:rPr>
          <w:lang w:val="en-US"/>
        </w:rPr>
      </w:pPr>
      <w:r>
        <w:rPr>
          <w:rStyle w:val="FootnoteReference"/>
        </w:rPr>
        <w:footnoteRef/>
      </w:r>
      <w:r>
        <w:t xml:space="preserve"> </w:t>
      </w:r>
      <w:r>
        <w:rPr>
          <w:lang w:val="en-US"/>
        </w:rPr>
        <w:t>Ontario Regulation 242/08.</w:t>
      </w:r>
    </w:p>
  </w:footnote>
  <w:footnote w:id="8">
    <w:p w:rsidR="00271F18" w:rsidRPr="00B60D71" w:rsidRDefault="00271F18" w:rsidP="00271F18">
      <w:pPr>
        <w:pStyle w:val="FootnoteText"/>
        <w:rPr>
          <w:lang w:val="en-US"/>
        </w:rPr>
      </w:pPr>
      <w:r>
        <w:rPr>
          <w:rStyle w:val="FootnoteReference"/>
        </w:rPr>
        <w:footnoteRef/>
      </w:r>
      <w:r>
        <w:t xml:space="preserve"> </w:t>
      </w:r>
      <w:r w:rsidRPr="00B60D71">
        <w:rPr>
          <w:i/>
          <w:lang w:val="en-US"/>
        </w:rPr>
        <w:t>Supra</w:t>
      </w:r>
      <w:r>
        <w:rPr>
          <w:lang w:val="en-US"/>
        </w:rPr>
        <w:t>, note 4 at pages 17 to 19.</w:t>
      </w:r>
    </w:p>
  </w:footnote>
  <w:footnote w:id="9">
    <w:p w:rsidR="00271F18" w:rsidRPr="00B60D71" w:rsidRDefault="00271F18" w:rsidP="00271F18">
      <w:pPr>
        <w:pStyle w:val="FootnoteText"/>
        <w:rPr>
          <w:lang w:val="en-US"/>
        </w:rPr>
      </w:pPr>
      <w:r>
        <w:rPr>
          <w:rStyle w:val="FootnoteReference"/>
        </w:rPr>
        <w:footnoteRef/>
      </w:r>
      <w:r>
        <w:t xml:space="preserve"> </w:t>
      </w:r>
      <w:r w:rsidRPr="00B60D71">
        <w:rPr>
          <w:i/>
          <w:lang w:val="en-US"/>
        </w:rPr>
        <w:t>Supra,</w:t>
      </w:r>
      <w:r>
        <w:rPr>
          <w:lang w:val="en-US"/>
        </w:rPr>
        <w:t xml:space="preserve"> note 4 at pages 38 and 39.</w:t>
      </w:r>
    </w:p>
  </w:footnote>
  <w:footnote w:id="10">
    <w:p w:rsidR="00015A8E" w:rsidRPr="00015A8E" w:rsidRDefault="00015A8E">
      <w:pPr>
        <w:pStyle w:val="FootnoteText"/>
        <w:rPr>
          <w:lang w:val="en-US"/>
        </w:rPr>
      </w:pPr>
      <w:r>
        <w:rPr>
          <w:rStyle w:val="FootnoteReference"/>
        </w:rPr>
        <w:footnoteRef/>
      </w:r>
      <w:r>
        <w:t xml:space="preserve"> </w:t>
      </w:r>
      <w:r>
        <w:rPr>
          <w:lang w:val="en-US"/>
        </w:rPr>
        <w:t xml:space="preserve">Section 55 of the </w:t>
      </w:r>
      <w:r w:rsidRPr="00015A8E">
        <w:rPr>
          <w:i/>
          <w:lang w:val="en-US"/>
        </w:rPr>
        <w:t>Endangered Species Act</w:t>
      </w:r>
      <w:r>
        <w:rPr>
          <w:lang w:val="en-US"/>
        </w:rPr>
        <w:t>, S.O. 2007, Chapter 6.</w:t>
      </w:r>
    </w:p>
  </w:footnote>
  <w:footnote w:id="11">
    <w:p w:rsidR="005827D7" w:rsidRPr="005827D7" w:rsidRDefault="005827D7">
      <w:pPr>
        <w:pStyle w:val="FootnoteText"/>
        <w:rPr>
          <w:lang w:val="en-US"/>
        </w:rPr>
      </w:pPr>
      <w:r>
        <w:rPr>
          <w:rStyle w:val="FootnoteReference"/>
        </w:rPr>
        <w:footnoteRef/>
      </w:r>
      <w:r>
        <w:t xml:space="preserve"> </w:t>
      </w:r>
      <w:r w:rsidRPr="005827D7">
        <w:rPr>
          <w:i/>
          <w:lang w:val="en-US"/>
        </w:rPr>
        <w:t xml:space="preserve">Supra, </w:t>
      </w:r>
      <w:r>
        <w:rPr>
          <w:lang w:val="en-US"/>
        </w:rPr>
        <w:t>note 4.</w:t>
      </w:r>
    </w:p>
  </w:footnote>
  <w:footnote w:id="12">
    <w:p w:rsidR="00DD0FB0" w:rsidRPr="00DD0FB0" w:rsidRDefault="00DD0FB0">
      <w:pPr>
        <w:pStyle w:val="FootnoteText"/>
        <w:rPr>
          <w:lang w:val="en-US"/>
        </w:rPr>
      </w:pPr>
      <w:r>
        <w:rPr>
          <w:rStyle w:val="FootnoteReference"/>
        </w:rPr>
        <w:footnoteRef/>
      </w:r>
      <w:r>
        <w:t xml:space="preserve"> </w:t>
      </w:r>
      <w:r>
        <w:rPr>
          <w:lang w:val="en-US"/>
        </w:rPr>
        <w:t>See sections 16 to 19 for example.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512"/>
    <w:rsid w:val="00015A8E"/>
    <w:rsid w:val="001057B0"/>
    <w:rsid w:val="001A742A"/>
    <w:rsid w:val="00263ECC"/>
    <w:rsid w:val="00271F18"/>
    <w:rsid w:val="002F5B5E"/>
    <w:rsid w:val="00456512"/>
    <w:rsid w:val="004A1D27"/>
    <w:rsid w:val="004D6185"/>
    <w:rsid w:val="005827D7"/>
    <w:rsid w:val="00665FC4"/>
    <w:rsid w:val="00705192"/>
    <w:rsid w:val="007671EF"/>
    <w:rsid w:val="007C20DA"/>
    <w:rsid w:val="009B4F58"/>
    <w:rsid w:val="009C511F"/>
    <w:rsid w:val="00A17EDD"/>
    <w:rsid w:val="00A270AB"/>
    <w:rsid w:val="00A356FB"/>
    <w:rsid w:val="00B60D71"/>
    <w:rsid w:val="00BA569F"/>
    <w:rsid w:val="00BB0483"/>
    <w:rsid w:val="00BC206A"/>
    <w:rsid w:val="00C926E2"/>
    <w:rsid w:val="00CE4CBE"/>
    <w:rsid w:val="00D63474"/>
    <w:rsid w:val="00DA1E0D"/>
    <w:rsid w:val="00DD0FB0"/>
    <w:rsid w:val="00E3457A"/>
    <w:rsid w:val="00EB6E96"/>
    <w:rsid w:val="00F143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FC07D88"/>
  <w15:chartTrackingRefBased/>
  <w15:docId w15:val="{2F7DF093-1FB4-A745-944B-8EEBF03B4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C511F"/>
    <w:rPr>
      <w:sz w:val="20"/>
      <w:szCs w:val="20"/>
    </w:rPr>
  </w:style>
  <w:style w:type="character" w:customStyle="1" w:styleId="FootnoteTextChar">
    <w:name w:val="Footnote Text Char"/>
    <w:basedOn w:val="DefaultParagraphFont"/>
    <w:link w:val="FootnoteText"/>
    <w:uiPriority w:val="99"/>
    <w:semiHidden/>
    <w:rsid w:val="009C511F"/>
    <w:rPr>
      <w:sz w:val="20"/>
      <w:szCs w:val="20"/>
    </w:rPr>
  </w:style>
  <w:style w:type="character" w:styleId="FootnoteReference">
    <w:name w:val="footnote reference"/>
    <w:basedOn w:val="DefaultParagraphFont"/>
    <w:uiPriority w:val="99"/>
    <w:semiHidden/>
    <w:unhideWhenUsed/>
    <w:rsid w:val="009C511F"/>
    <w:rPr>
      <w:vertAlign w:val="superscript"/>
    </w:rPr>
  </w:style>
  <w:style w:type="paragraph" w:customStyle="1" w:styleId="Default">
    <w:name w:val="Default"/>
    <w:rsid w:val="007671EF"/>
    <w:pPr>
      <w:autoSpaceDE w:val="0"/>
      <w:autoSpaceDN w:val="0"/>
      <w:adjustRightInd w:val="0"/>
    </w:pPr>
    <w:rPr>
      <w:rFonts w:ascii="Calibri Light" w:hAnsi="Calibri Light" w:cs="Calibri Light"/>
      <w:color w:val="000000"/>
      <w:lang w:val="en-US"/>
    </w:rPr>
  </w:style>
  <w:style w:type="paragraph" w:styleId="ListParagraph">
    <w:name w:val="List Paragraph"/>
    <w:basedOn w:val="Normal"/>
    <w:uiPriority w:val="34"/>
    <w:qFormat/>
    <w:rsid w:val="007671EF"/>
    <w:pPr>
      <w:ind w:left="720"/>
      <w:contextualSpacing/>
    </w:pPr>
  </w:style>
  <w:style w:type="paragraph" w:styleId="Footer">
    <w:name w:val="footer"/>
    <w:basedOn w:val="Normal"/>
    <w:link w:val="FooterChar"/>
    <w:uiPriority w:val="99"/>
    <w:unhideWhenUsed/>
    <w:rsid w:val="00E3457A"/>
    <w:pPr>
      <w:tabs>
        <w:tab w:val="center" w:pos="4680"/>
        <w:tab w:val="right" w:pos="9360"/>
      </w:tabs>
    </w:pPr>
  </w:style>
  <w:style w:type="character" w:customStyle="1" w:styleId="FooterChar">
    <w:name w:val="Footer Char"/>
    <w:basedOn w:val="DefaultParagraphFont"/>
    <w:link w:val="Footer"/>
    <w:uiPriority w:val="99"/>
    <w:rsid w:val="00E3457A"/>
  </w:style>
  <w:style w:type="character" w:styleId="PageNumber">
    <w:name w:val="page number"/>
    <w:basedOn w:val="DefaultParagraphFont"/>
    <w:uiPriority w:val="99"/>
    <w:semiHidden/>
    <w:unhideWhenUsed/>
    <w:rsid w:val="00E34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C29DB-1C5E-5B4D-A703-58538B8DC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4</Pages>
  <Words>1318</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Donihee</dc:creator>
  <cp:keywords/>
  <dc:description/>
  <cp:lastModifiedBy>John Donihee</cp:lastModifiedBy>
  <cp:revision>3</cp:revision>
  <dcterms:created xsi:type="dcterms:W3CDTF">2019-02-16T16:18:00Z</dcterms:created>
  <dcterms:modified xsi:type="dcterms:W3CDTF">2019-02-16T21:17:00Z</dcterms:modified>
</cp:coreProperties>
</file>