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91C60" w14:textId="3BE480A7" w:rsidR="00A32BED" w:rsidRDefault="00A32BED" w:rsidP="00A32BED">
      <w:pPr>
        <w:pStyle w:val="Heading1"/>
        <w:jc w:val="center"/>
      </w:pPr>
      <w:r>
        <w:t>Endangered Species Act Review Comments</w:t>
      </w:r>
    </w:p>
    <w:p w14:paraId="27755924" w14:textId="77777777" w:rsidR="00A32BED" w:rsidRDefault="00A32BED">
      <w:pPr>
        <w:rPr>
          <w:b/>
        </w:rPr>
      </w:pPr>
    </w:p>
    <w:p w14:paraId="330D3965" w14:textId="4574A89D" w:rsidR="00CC625E" w:rsidRPr="00A02316" w:rsidRDefault="00CC625E">
      <w:pPr>
        <w:rPr>
          <w:b/>
        </w:rPr>
      </w:pPr>
      <w:bookmarkStart w:id="0" w:name="_GoBack"/>
      <w:bookmarkEnd w:id="0"/>
      <w:r w:rsidRPr="00A02316">
        <w:rPr>
          <w:b/>
        </w:rPr>
        <w:t>Area of Focus 1 – Landscape Approaches</w:t>
      </w:r>
    </w:p>
    <w:p w14:paraId="1D5FB73A" w14:textId="20BA126F" w:rsidR="00A02316" w:rsidRPr="00BF3AEC" w:rsidRDefault="00A02316">
      <w:pPr>
        <w:rPr>
          <w:color w:val="1A5378"/>
          <w:sz w:val="23"/>
          <w:szCs w:val="23"/>
        </w:rPr>
      </w:pPr>
    </w:p>
    <w:tbl>
      <w:tblPr>
        <w:tblStyle w:val="TableGrid"/>
        <w:tblW w:w="10564" w:type="dxa"/>
        <w:tblLook w:val="04A0" w:firstRow="1" w:lastRow="0" w:firstColumn="1" w:lastColumn="0" w:noHBand="0" w:noVBand="1"/>
      </w:tblPr>
      <w:tblGrid>
        <w:gridCol w:w="3521"/>
        <w:gridCol w:w="3521"/>
        <w:gridCol w:w="3522"/>
      </w:tblGrid>
      <w:tr w:rsidR="00A02316" w14:paraId="48A4C6A5" w14:textId="77777777" w:rsidTr="00A02316">
        <w:trPr>
          <w:trHeight w:val="210"/>
        </w:trPr>
        <w:tc>
          <w:tcPr>
            <w:tcW w:w="3521" w:type="dxa"/>
          </w:tcPr>
          <w:p w14:paraId="7C04F63F" w14:textId="77777777" w:rsidR="00A02316" w:rsidRPr="00231E15" w:rsidRDefault="00A02316" w:rsidP="00933F2B">
            <w:pPr>
              <w:rPr>
                <w:b/>
              </w:rPr>
            </w:pPr>
            <w:r w:rsidRPr="00231E15">
              <w:rPr>
                <w:b/>
              </w:rPr>
              <w:t>Challenges</w:t>
            </w:r>
          </w:p>
        </w:tc>
        <w:tc>
          <w:tcPr>
            <w:tcW w:w="3521" w:type="dxa"/>
          </w:tcPr>
          <w:p w14:paraId="6567C858" w14:textId="77777777" w:rsidR="00A02316" w:rsidRPr="00231E15" w:rsidRDefault="00A02316" w:rsidP="00933F2B">
            <w:pPr>
              <w:rPr>
                <w:b/>
              </w:rPr>
            </w:pPr>
            <w:r w:rsidRPr="00231E15">
              <w:rPr>
                <w:b/>
              </w:rPr>
              <w:t>Discussion Questions</w:t>
            </w:r>
          </w:p>
        </w:tc>
        <w:tc>
          <w:tcPr>
            <w:tcW w:w="3522" w:type="dxa"/>
          </w:tcPr>
          <w:p w14:paraId="597DC2BE" w14:textId="77777777" w:rsidR="00A02316" w:rsidRPr="00231E15" w:rsidRDefault="00A02316" w:rsidP="00933F2B">
            <w:pPr>
              <w:rPr>
                <w:b/>
              </w:rPr>
            </w:pPr>
            <w:r w:rsidRPr="00231E15">
              <w:rPr>
                <w:b/>
              </w:rPr>
              <w:t>Stantec Input</w:t>
            </w:r>
          </w:p>
        </w:tc>
      </w:tr>
      <w:tr w:rsidR="00A02316" w14:paraId="00A2E880" w14:textId="77777777" w:rsidTr="00A02316">
        <w:trPr>
          <w:trHeight w:val="1083"/>
        </w:trPr>
        <w:tc>
          <w:tcPr>
            <w:tcW w:w="3521" w:type="dxa"/>
          </w:tcPr>
          <w:p w14:paraId="746576B0" w14:textId="77777777" w:rsidR="00A02316" w:rsidRPr="00BC306E" w:rsidRDefault="00A02316" w:rsidP="00A02316">
            <w:pPr>
              <w:pStyle w:val="Default"/>
              <w:rPr>
                <w:sz w:val="20"/>
                <w:szCs w:val="20"/>
              </w:rPr>
            </w:pPr>
          </w:p>
          <w:p w14:paraId="73873A77" w14:textId="77777777" w:rsidR="00A02316" w:rsidRPr="00BC306E" w:rsidRDefault="00A02316" w:rsidP="00A02316">
            <w:pPr>
              <w:pStyle w:val="Default"/>
              <w:rPr>
                <w:sz w:val="20"/>
                <w:szCs w:val="20"/>
              </w:rPr>
            </w:pPr>
            <w:r w:rsidRPr="00BC306E">
              <w:rPr>
                <w:sz w:val="20"/>
                <w:szCs w:val="20"/>
              </w:rPr>
              <w:t>The case-by-case and species-specific policy approach to implementing the Endangered Species Act can sometimes limit the ability to achieve positive outcomes for species at risk. More broadly, protection and recovery approaches for individual species can limit or conflict with one another. For certain species or habitats, the ability to take a more strategic approach maybe preferred.</w:t>
            </w:r>
          </w:p>
          <w:p w14:paraId="25DAE33D" w14:textId="77777777" w:rsidR="00A02316" w:rsidRPr="00BC306E" w:rsidRDefault="00A02316" w:rsidP="00933F2B">
            <w:pPr>
              <w:rPr>
                <w:sz w:val="20"/>
                <w:szCs w:val="20"/>
              </w:rPr>
            </w:pPr>
          </w:p>
        </w:tc>
        <w:tc>
          <w:tcPr>
            <w:tcW w:w="3521" w:type="dxa"/>
          </w:tcPr>
          <w:p w14:paraId="594C6650" w14:textId="77777777" w:rsidR="00A02316" w:rsidRPr="00BC306E" w:rsidRDefault="00A02316" w:rsidP="00A02316">
            <w:pPr>
              <w:pStyle w:val="Default"/>
              <w:rPr>
                <w:sz w:val="20"/>
                <w:szCs w:val="20"/>
              </w:rPr>
            </w:pPr>
          </w:p>
          <w:p w14:paraId="62FDEC05" w14:textId="77777777" w:rsidR="00A02316" w:rsidRPr="00BC306E" w:rsidRDefault="00A02316" w:rsidP="00A02316">
            <w:pPr>
              <w:pStyle w:val="Default"/>
              <w:rPr>
                <w:sz w:val="20"/>
                <w:szCs w:val="20"/>
              </w:rPr>
            </w:pPr>
            <w:r w:rsidRPr="00BC306E">
              <w:rPr>
                <w:sz w:val="20"/>
                <w:szCs w:val="20"/>
              </w:rPr>
              <w:t>In what circumstances would a more strategic approach support a proposed activity while also ensuring or improving outcomes for species at risk? (e.g., by using a landscape approach instead of a case-by-case approach, which tends to be species and/or site-specific.)</w:t>
            </w:r>
          </w:p>
          <w:p w14:paraId="4254574E" w14:textId="77777777" w:rsidR="00A02316" w:rsidRPr="00BC306E" w:rsidRDefault="00A02316" w:rsidP="00933F2B">
            <w:pPr>
              <w:rPr>
                <w:sz w:val="20"/>
                <w:szCs w:val="20"/>
              </w:rPr>
            </w:pPr>
          </w:p>
        </w:tc>
        <w:tc>
          <w:tcPr>
            <w:tcW w:w="3522" w:type="dxa"/>
          </w:tcPr>
          <w:p w14:paraId="7CDEA125" w14:textId="216B51D0" w:rsidR="00DC63EA" w:rsidRPr="001A0D78" w:rsidRDefault="00753BA3" w:rsidP="005F022C">
            <w:pPr>
              <w:rPr>
                <w:sz w:val="20"/>
                <w:szCs w:val="20"/>
              </w:rPr>
            </w:pPr>
            <w:r w:rsidRPr="001A0D78">
              <w:rPr>
                <w:sz w:val="20"/>
                <w:szCs w:val="20"/>
              </w:rPr>
              <w:t>The current Endangered Species</w:t>
            </w:r>
            <w:r w:rsidR="00DC63EA" w:rsidRPr="001A0D78">
              <w:rPr>
                <w:sz w:val="20"/>
                <w:szCs w:val="20"/>
              </w:rPr>
              <w:t xml:space="preserve"> Act legislation allows for a multi-species or </w:t>
            </w:r>
            <w:r w:rsidR="00A44713">
              <w:rPr>
                <w:sz w:val="20"/>
                <w:szCs w:val="20"/>
              </w:rPr>
              <w:t>ecosystem/</w:t>
            </w:r>
            <w:r w:rsidR="00DC63EA" w:rsidRPr="001A0D78">
              <w:rPr>
                <w:sz w:val="20"/>
                <w:szCs w:val="20"/>
              </w:rPr>
              <w:t>landscape approach. For example, the caribou recovery documents take a landscape approach to assessing cumulative impacts. However, there appear to be very few other examples of the MNRF using a multi-species or landscape approach.</w:t>
            </w:r>
          </w:p>
          <w:p w14:paraId="34E059B6" w14:textId="77777777" w:rsidR="00DC63EA" w:rsidRPr="001A0D78" w:rsidRDefault="00DC63EA" w:rsidP="005F022C">
            <w:pPr>
              <w:rPr>
                <w:sz w:val="20"/>
                <w:szCs w:val="20"/>
              </w:rPr>
            </w:pPr>
          </w:p>
          <w:p w14:paraId="38A61CDC" w14:textId="280C6D79" w:rsidR="005F022C" w:rsidRPr="001A0D78" w:rsidRDefault="005F022C" w:rsidP="005F022C">
            <w:pPr>
              <w:rPr>
                <w:sz w:val="20"/>
                <w:szCs w:val="20"/>
              </w:rPr>
            </w:pPr>
            <w:r w:rsidRPr="001A0D78">
              <w:rPr>
                <w:sz w:val="20"/>
                <w:szCs w:val="20"/>
              </w:rPr>
              <w:t xml:space="preserve">A landscape approach </w:t>
            </w:r>
            <w:r w:rsidR="00DC63EA" w:rsidRPr="001A0D78">
              <w:rPr>
                <w:sz w:val="20"/>
                <w:szCs w:val="20"/>
              </w:rPr>
              <w:t>could be beneficial for s</w:t>
            </w:r>
            <w:r w:rsidRPr="001A0D78">
              <w:rPr>
                <w:sz w:val="20"/>
                <w:szCs w:val="20"/>
              </w:rPr>
              <w:t>pecies where habitat is limiting</w:t>
            </w:r>
            <w:r w:rsidR="00DC63EA" w:rsidRPr="001A0D78">
              <w:rPr>
                <w:sz w:val="20"/>
                <w:szCs w:val="20"/>
              </w:rPr>
              <w:t>;</w:t>
            </w:r>
            <w:r w:rsidRPr="001A0D78">
              <w:rPr>
                <w:sz w:val="20"/>
                <w:szCs w:val="20"/>
              </w:rPr>
              <w:t xml:space="preserve"> multiple habitat types are required </w:t>
            </w:r>
            <w:r w:rsidR="00DC63EA" w:rsidRPr="001A0D78">
              <w:rPr>
                <w:sz w:val="20"/>
                <w:szCs w:val="20"/>
              </w:rPr>
              <w:t xml:space="preserve">at different </w:t>
            </w:r>
            <w:r w:rsidRPr="001A0D78">
              <w:rPr>
                <w:sz w:val="20"/>
                <w:szCs w:val="20"/>
              </w:rPr>
              <w:t>life phase</w:t>
            </w:r>
            <w:r w:rsidR="00DC63EA" w:rsidRPr="001A0D78">
              <w:rPr>
                <w:sz w:val="20"/>
                <w:szCs w:val="20"/>
              </w:rPr>
              <w:t xml:space="preserve">s (e.g., </w:t>
            </w:r>
            <w:r w:rsidRPr="001A0D78">
              <w:rPr>
                <w:sz w:val="20"/>
                <w:szCs w:val="20"/>
              </w:rPr>
              <w:t>migration</w:t>
            </w:r>
            <w:r w:rsidR="00DC63EA" w:rsidRPr="001A0D78">
              <w:rPr>
                <w:sz w:val="20"/>
                <w:szCs w:val="20"/>
              </w:rPr>
              <w:t>/</w:t>
            </w:r>
            <w:r w:rsidRPr="001A0D78">
              <w:rPr>
                <w:sz w:val="20"/>
                <w:szCs w:val="20"/>
              </w:rPr>
              <w:t>dispersal routes</w:t>
            </w:r>
            <w:r w:rsidR="00DC63EA" w:rsidRPr="001A0D78">
              <w:rPr>
                <w:sz w:val="20"/>
                <w:szCs w:val="20"/>
              </w:rPr>
              <w:t>)</w:t>
            </w:r>
            <w:r w:rsidRPr="001A0D78">
              <w:rPr>
                <w:sz w:val="20"/>
                <w:szCs w:val="20"/>
              </w:rPr>
              <w:t xml:space="preserve">, and/or </w:t>
            </w:r>
            <w:r w:rsidR="00DC63EA" w:rsidRPr="001A0D78">
              <w:rPr>
                <w:sz w:val="20"/>
                <w:szCs w:val="20"/>
              </w:rPr>
              <w:t xml:space="preserve">for </w:t>
            </w:r>
            <w:r w:rsidRPr="001A0D78">
              <w:rPr>
                <w:sz w:val="20"/>
                <w:szCs w:val="20"/>
              </w:rPr>
              <w:t xml:space="preserve">species </w:t>
            </w:r>
            <w:r w:rsidR="00DC63EA" w:rsidRPr="001A0D78">
              <w:rPr>
                <w:sz w:val="20"/>
                <w:szCs w:val="20"/>
              </w:rPr>
              <w:t xml:space="preserve">that have </w:t>
            </w:r>
            <w:r w:rsidRPr="001A0D78">
              <w:rPr>
                <w:sz w:val="20"/>
                <w:szCs w:val="20"/>
              </w:rPr>
              <w:t>low site fidelity and high annual fluctuations in population numbers</w:t>
            </w:r>
            <w:r w:rsidR="00DC63EA" w:rsidRPr="001A0D78">
              <w:rPr>
                <w:sz w:val="20"/>
                <w:szCs w:val="20"/>
              </w:rPr>
              <w:t>.</w:t>
            </w:r>
            <w:r w:rsidRPr="001A0D78">
              <w:rPr>
                <w:sz w:val="20"/>
                <w:szCs w:val="20"/>
              </w:rPr>
              <w:t xml:space="preserve"> For example, </w:t>
            </w:r>
            <w:r w:rsidR="00DC63EA" w:rsidRPr="001A0D78">
              <w:rPr>
                <w:sz w:val="20"/>
                <w:szCs w:val="20"/>
              </w:rPr>
              <w:t>multiple grassland species at risk may be present within a region (e.g.</w:t>
            </w:r>
            <w:r w:rsidR="00A44713">
              <w:rPr>
                <w:sz w:val="20"/>
                <w:szCs w:val="20"/>
              </w:rPr>
              <w:t xml:space="preserve"> </w:t>
            </w:r>
            <w:r w:rsidRPr="001A0D78">
              <w:rPr>
                <w:sz w:val="20"/>
                <w:szCs w:val="20"/>
              </w:rPr>
              <w:t xml:space="preserve">bobolink, </w:t>
            </w:r>
            <w:r w:rsidR="00DC63EA" w:rsidRPr="001A0D78">
              <w:rPr>
                <w:sz w:val="20"/>
                <w:szCs w:val="20"/>
              </w:rPr>
              <w:t xml:space="preserve">meadowlark, </w:t>
            </w:r>
            <w:r w:rsidRPr="001A0D78">
              <w:rPr>
                <w:sz w:val="20"/>
                <w:szCs w:val="20"/>
              </w:rPr>
              <w:t xml:space="preserve">short-eared owl, etc.) </w:t>
            </w:r>
            <w:r w:rsidR="00DC63EA" w:rsidRPr="001A0D78">
              <w:rPr>
                <w:sz w:val="20"/>
                <w:szCs w:val="20"/>
              </w:rPr>
              <w:t xml:space="preserve">and </w:t>
            </w:r>
            <w:r w:rsidRPr="001A0D78">
              <w:rPr>
                <w:sz w:val="20"/>
                <w:szCs w:val="20"/>
              </w:rPr>
              <w:t>may be dependent on the amount of habitat available</w:t>
            </w:r>
            <w:r w:rsidR="00DC63EA" w:rsidRPr="001A0D78">
              <w:rPr>
                <w:sz w:val="20"/>
                <w:szCs w:val="20"/>
              </w:rPr>
              <w:t>. Direct habitat compensation to areas</w:t>
            </w:r>
            <w:r w:rsidRPr="001A0D78">
              <w:rPr>
                <w:sz w:val="20"/>
                <w:szCs w:val="20"/>
              </w:rPr>
              <w:t xml:space="preserve"> elsewhere in the region </w:t>
            </w:r>
            <w:r w:rsidR="00DC63EA" w:rsidRPr="001A0D78">
              <w:rPr>
                <w:sz w:val="20"/>
                <w:szCs w:val="20"/>
              </w:rPr>
              <w:t xml:space="preserve">could result in the creation of larger patches of grassland habitat, which </w:t>
            </w:r>
            <w:r w:rsidRPr="001A0D78">
              <w:rPr>
                <w:sz w:val="20"/>
                <w:szCs w:val="20"/>
              </w:rPr>
              <w:t>would be</w:t>
            </w:r>
            <w:r w:rsidR="00DC63EA" w:rsidRPr="001A0D78">
              <w:rPr>
                <w:sz w:val="20"/>
                <w:szCs w:val="20"/>
              </w:rPr>
              <w:t>nefit multiple species and likely support larger populations.</w:t>
            </w:r>
            <w:r w:rsidRPr="001A0D78">
              <w:rPr>
                <w:sz w:val="20"/>
                <w:szCs w:val="20"/>
              </w:rPr>
              <w:t xml:space="preserve"> </w:t>
            </w:r>
            <w:r w:rsidR="00DC63EA" w:rsidRPr="001A0D78">
              <w:rPr>
                <w:sz w:val="20"/>
                <w:szCs w:val="20"/>
              </w:rPr>
              <w:t>Habitat t</w:t>
            </w:r>
            <w:r w:rsidRPr="001A0D78">
              <w:rPr>
                <w:sz w:val="20"/>
                <w:szCs w:val="20"/>
              </w:rPr>
              <w:t>argets</w:t>
            </w:r>
            <w:r w:rsidR="00DC63EA" w:rsidRPr="001A0D78">
              <w:rPr>
                <w:sz w:val="20"/>
                <w:szCs w:val="20"/>
              </w:rPr>
              <w:t xml:space="preserve"> (size, location, configuration)</w:t>
            </w:r>
            <w:r w:rsidRPr="001A0D78">
              <w:rPr>
                <w:sz w:val="20"/>
                <w:szCs w:val="20"/>
              </w:rPr>
              <w:t xml:space="preserve"> could </w:t>
            </w:r>
            <w:r w:rsidR="00DC63EA" w:rsidRPr="001A0D78">
              <w:rPr>
                <w:sz w:val="20"/>
                <w:szCs w:val="20"/>
              </w:rPr>
              <w:t xml:space="preserve">be set </w:t>
            </w:r>
            <w:r w:rsidRPr="001A0D78">
              <w:rPr>
                <w:sz w:val="20"/>
                <w:szCs w:val="20"/>
              </w:rPr>
              <w:t xml:space="preserve">at a landscape scale (Site Region, planning area or watershed). </w:t>
            </w:r>
            <w:r w:rsidR="00DC63EA" w:rsidRPr="001A0D78">
              <w:rPr>
                <w:sz w:val="20"/>
                <w:szCs w:val="20"/>
              </w:rPr>
              <w:t>Pr</w:t>
            </w:r>
            <w:r w:rsidRPr="001A0D78">
              <w:rPr>
                <w:sz w:val="20"/>
                <w:szCs w:val="20"/>
              </w:rPr>
              <w:t xml:space="preserve">oponents of site-specific applications </w:t>
            </w:r>
            <w:r w:rsidR="00DC63EA" w:rsidRPr="001A0D78">
              <w:rPr>
                <w:sz w:val="20"/>
                <w:szCs w:val="20"/>
              </w:rPr>
              <w:t xml:space="preserve">would not have the capacity </w:t>
            </w:r>
            <w:r w:rsidR="008C6C97" w:rsidRPr="001A0D78">
              <w:rPr>
                <w:sz w:val="20"/>
                <w:szCs w:val="20"/>
              </w:rPr>
              <w:t>to conduct these analyses and could not bear</w:t>
            </w:r>
            <w:r w:rsidRPr="001A0D78">
              <w:rPr>
                <w:sz w:val="20"/>
                <w:szCs w:val="20"/>
              </w:rPr>
              <w:t xml:space="preserve"> the costs of landscape analysis, so the responsibility would fall to the Ministry or </w:t>
            </w:r>
            <w:r w:rsidR="008C6C97" w:rsidRPr="001A0D78">
              <w:rPr>
                <w:sz w:val="20"/>
                <w:szCs w:val="20"/>
              </w:rPr>
              <w:t xml:space="preserve">to the </w:t>
            </w:r>
            <w:r w:rsidRPr="001A0D78">
              <w:rPr>
                <w:sz w:val="20"/>
                <w:szCs w:val="20"/>
              </w:rPr>
              <w:t>scientific community.</w:t>
            </w:r>
            <w:r w:rsidR="008C6C97" w:rsidRPr="001A0D78">
              <w:rPr>
                <w:sz w:val="20"/>
                <w:szCs w:val="20"/>
              </w:rPr>
              <w:t xml:space="preserve"> (</w:t>
            </w:r>
            <w:proofErr w:type="spellStart"/>
            <w:r w:rsidR="008C6C97" w:rsidRPr="001A0D78">
              <w:rPr>
                <w:sz w:val="20"/>
                <w:szCs w:val="20"/>
              </w:rPr>
              <w:t>e.g</w:t>
            </w:r>
            <w:proofErr w:type="spellEnd"/>
            <w:r w:rsidR="008C6C97" w:rsidRPr="001A0D78">
              <w:rPr>
                <w:sz w:val="20"/>
                <w:szCs w:val="20"/>
              </w:rPr>
              <w:t>, NCC)</w:t>
            </w:r>
            <w:r w:rsidRPr="001A0D78">
              <w:rPr>
                <w:sz w:val="20"/>
                <w:szCs w:val="20"/>
              </w:rPr>
              <w:t xml:space="preserve"> </w:t>
            </w:r>
          </w:p>
          <w:p w14:paraId="57ADEF60" w14:textId="77777777" w:rsidR="005F022C" w:rsidRPr="001A0D78" w:rsidRDefault="005F022C" w:rsidP="005F022C">
            <w:pPr>
              <w:rPr>
                <w:sz w:val="20"/>
                <w:szCs w:val="20"/>
              </w:rPr>
            </w:pPr>
          </w:p>
          <w:p w14:paraId="3B815A30" w14:textId="77777777" w:rsidR="00C31824" w:rsidRDefault="005F022C" w:rsidP="00933F2B">
            <w:pPr>
              <w:rPr>
                <w:sz w:val="20"/>
                <w:szCs w:val="20"/>
              </w:rPr>
            </w:pPr>
            <w:r w:rsidRPr="001A0D78">
              <w:rPr>
                <w:sz w:val="20"/>
                <w:szCs w:val="20"/>
              </w:rPr>
              <w:t xml:space="preserve">Conversely, </w:t>
            </w:r>
            <w:r w:rsidR="001068F7">
              <w:rPr>
                <w:sz w:val="20"/>
                <w:szCs w:val="20"/>
              </w:rPr>
              <w:t xml:space="preserve">destruction of habitat should not be allowed for </w:t>
            </w:r>
            <w:r w:rsidRPr="001A0D78">
              <w:rPr>
                <w:sz w:val="20"/>
                <w:szCs w:val="20"/>
              </w:rPr>
              <w:t xml:space="preserve">species with small home ranges, specific habitat requirements, and high site fidelity (e.g. </w:t>
            </w:r>
            <w:proofErr w:type="spellStart"/>
            <w:r w:rsidR="002F4309">
              <w:rPr>
                <w:sz w:val="20"/>
                <w:szCs w:val="20"/>
              </w:rPr>
              <w:lastRenderedPageBreak/>
              <w:t>herptile</w:t>
            </w:r>
            <w:proofErr w:type="spellEnd"/>
            <w:r w:rsidR="002F4309">
              <w:rPr>
                <w:sz w:val="20"/>
                <w:szCs w:val="20"/>
              </w:rPr>
              <w:t xml:space="preserve"> SAR</w:t>
            </w:r>
            <w:r w:rsidRPr="001A0D78">
              <w:rPr>
                <w:sz w:val="20"/>
                <w:szCs w:val="20"/>
              </w:rPr>
              <w:t>)</w:t>
            </w:r>
            <w:r w:rsidR="001068F7">
              <w:rPr>
                <w:sz w:val="20"/>
                <w:szCs w:val="20"/>
              </w:rPr>
              <w:t xml:space="preserve"> where they </w:t>
            </w:r>
            <w:r w:rsidRPr="001A0D78">
              <w:rPr>
                <w:sz w:val="20"/>
                <w:szCs w:val="20"/>
              </w:rPr>
              <w:t>would not benefit</w:t>
            </w:r>
            <w:r w:rsidRPr="00F86BDD">
              <w:rPr>
                <w:sz w:val="20"/>
                <w:szCs w:val="20"/>
              </w:rPr>
              <w:t xml:space="preserve"> from habitat compensation</w:t>
            </w:r>
            <w:r w:rsidR="001068F7">
              <w:rPr>
                <w:sz w:val="20"/>
                <w:szCs w:val="20"/>
              </w:rPr>
              <w:t xml:space="preserve"> and overall benefit is not possible</w:t>
            </w:r>
            <w:r w:rsidRPr="00F86BDD">
              <w:rPr>
                <w:sz w:val="20"/>
                <w:szCs w:val="20"/>
              </w:rPr>
              <w:t xml:space="preserve">. </w:t>
            </w:r>
            <w:r w:rsidR="005273CD" w:rsidRPr="00F86BDD">
              <w:rPr>
                <w:sz w:val="20"/>
                <w:szCs w:val="20"/>
              </w:rPr>
              <w:t>It may benefit conservation of ESA protected species to have a habitat category that indicates overall benefit is not possible</w:t>
            </w:r>
            <w:r w:rsidR="00103883" w:rsidRPr="00F86BDD">
              <w:rPr>
                <w:sz w:val="20"/>
                <w:szCs w:val="20"/>
              </w:rPr>
              <w:t xml:space="preserve"> to protect the most sensitive habitats</w:t>
            </w:r>
            <w:r w:rsidR="005273CD" w:rsidRPr="00F86BDD">
              <w:rPr>
                <w:sz w:val="20"/>
                <w:szCs w:val="20"/>
              </w:rPr>
              <w:t xml:space="preserve">. For example, </w:t>
            </w:r>
            <w:r w:rsidR="00103883" w:rsidRPr="00F86BDD">
              <w:rPr>
                <w:sz w:val="20"/>
                <w:szCs w:val="20"/>
              </w:rPr>
              <w:t xml:space="preserve">if </w:t>
            </w:r>
            <w:r w:rsidR="0092798D" w:rsidRPr="00F86BDD">
              <w:rPr>
                <w:sz w:val="20"/>
                <w:szCs w:val="20"/>
              </w:rPr>
              <w:t xml:space="preserve">a relatively large portion of </w:t>
            </w:r>
            <w:r w:rsidR="00103883" w:rsidRPr="00F86BDD">
              <w:rPr>
                <w:sz w:val="20"/>
                <w:szCs w:val="20"/>
              </w:rPr>
              <w:t xml:space="preserve">the provincial </w:t>
            </w:r>
            <w:r w:rsidR="0092798D" w:rsidRPr="00F86BDD">
              <w:rPr>
                <w:sz w:val="20"/>
                <w:szCs w:val="20"/>
              </w:rPr>
              <w:t>population of a species at risk is concentrat</w:t>
            </w:r>
            <w:r w:rsidR="005273CD" w:rsidRPr="00F86BDD">
              <w:rPr>
                <w:sz w:val="20"/>
                <w:szCs w:val="20"/>
              </w:rPr>
              <w:t>ed</w:t>
            </w:r>
            <w:r w:rsidR="0092798D" w:rsidRPr="00F86BDD">
              <w:rPr>
                <w:sz w:val="20"/>
                <w:szCs w:val="20"/>
              </w:rPr>
              <w:t xml:space="preserve"> in </w:t>
            </w:r>
            <w:r w:rsidR="005273CD" w:rsidRPr="00F86BDD">
              <w:rPr>
                <w:sz w:val="20"/>
                <w:szCs w:val="20"/>
              </w:rPr>
              <w:t xml:space="preserve">a </w:t>
            </w:r>
            <w:r w:rsidR="0092798D" w:rsidRPr="00F86BDD">
              <w:rPr>
                <w:sz w:val="20"/>
                <w:szCs w:val="20"/>
              </w:rPr>
              <w:t>localized area</w:t>
            </w:r>
            <w:r w:rsidR="00103883" w:rsidRPr="00F86BDD">
              <w:rPr>
                <w:sz w:val="20"/>
                <w:szCs w:val="20"/>
              </w:rPr>
              <w:t xml:space="preserve"> mitigation and compensations may not be a</w:t>
            </w:r>
            <w:r w:rsidR="005273CD" w:rsidRPr="00F86BDD">
              <w:rPr>
                <w:sz w:val="20"/>
                <w:szCs w:val="20"/>
              </w:rPr>
              <w:t xml:space="preserve">ble to </w:t>
            </w:r>
            <w:r w:rsidR="00103883" w:rsidRPr="00F86BDD">
              <w:rPr>
                <w:sz w:val="20"/>
                <w:szCs w:val="20"/>
              </w:rPr>
              <w:t>offset potential impacts to the species or habitat; particularly for sensitive features, such as overwintering or breeding features</w:t>
            </w:r>
            <w:r w:rsidR="007D54F9" w:rsidRPr="00F86BDD">
              <w:rPr>
                <w:sz w:val="20"/>
                <w:szCs w:val="20"/>
              </w:rPr>
              <w:t>.</w:t>
            </w:r>
            <w:r w:rsidR="00103883" w:rsidRPr="00F86BDD">
              <w:rPr>
                <w:sz w:val="20"/>
                <w:szCs w:val="20"/>
              </w:rPr>
              <w:t xml:space="preserve"> </w:t>
            </w:r>
          </w:p>
          <w:p w14:paraId="4936DC23" w14:textId="77777777" w:rsidR="00F86BDD" w:rsidRDefault="00F86BDD" w:rsidP="00933F2B">
            <w:pPr>
              <w:rPr>
                <w:sz w:val="20"/>
                <w:szCs w:val="20"/>
              </w:rPr>
            </w:pPr>
          </w:p>
          <w:p w14:paraId="1FB8690D" w14:textId="07D7F1ED" w:rsidR="00F86BDD" w:rsidRPr="00F86BDD" w:rsidRDefault="00F86BDD" w:rsidP="00933F2B">
            <w:pPr>
              <w:rPr>
                <w:sz w:val="20"/>
                <w:szCs w:val="20"/>
              </w:rPr>
            </w:pPr>
            <w:r>
              <w:rPr>
                <w:sz w:val="20"/>
                <w:szCs w:val="20"/>
              </w:rPr>
              <w:t xml:space="preserve">A different approach may be needed for species with small populations or specialized habitat requirements versus species that are showing long-term declines but are still </w:t>
            </w:r>
            <w:proofErr w:type="gramStart"/>
            <w:r>
              <w:rPr>
                <w:sz w:val="20"/>
                <w:szCs w:val="20"/>
              </w:rPr>
              <w:t>fairly widespread</w:t>
            </w:r>
            <w:proofErr w:type="gramEnd"/>
            <w:r>
              <w:rPr>
                <w:sz w:val="20"/>
                <w:szCs w:val="20"/>
              </w:rPr>
              <w:t>.</w:t>
            </w:r>
          </w:p>
        </w:tc>
      </w:tr>
      <w:tr w:rsidR="00A02316" w14:paraId="20D1BE1F" w14:textId="77777777" w:rsidTr="00A02316">
        <w:trPr>
          <w:trHeight w:val="210"/>
        </w:trPr>
        <w:tc>
          <w:tcPr>
            <w:tcW w:w="3521" w:type="dxa"/>
          </w:tcPr>
          <w:p w14:paraId="04BE22A3" w14:textId="77777777" w:rsidR="00A02316" w:rsidRPr="00BC306E" w:rsidRDefault="00A02316" w:rsidP="00A02316">
            <w:pPr>
              <w:pStyle w:val="Default"/>
              <w:rPr>
                <w:sz w:val="20"/>
                <w:szCs w:val="20"/>
              </w:rPr>
            </w:pPr>
          </w:p>
          <w:p w14:paraId="0D437A2C" w14:textId="77777777" w:rsidR="00A02316" w:rsidRPr="00BC306E" w:rsidRDefault="00A02316" w:rsidP="00A02316">
            <w:pPr>
              <w:pStyle w:val="Default"/>
              <w:rPr>
                <w:sz w:val="20"/>
                <w:szCs w:val="20"/>
              </w:rPr>
            </w:pPr>
            <w:r w:rsidRPr="00BC306E">
              <w:rPr>
                <w:sz w:val="20"/>
                <w:szCs w:val="20"/>
              </w:rPr>
              <w:t>For species that depend on habitat across wide ranges, a landscape approach that enables planning and authorizing activities at a broad scale may be preferred.</w:t>
            </w:r>
          </w:p>
          <w:p w14:paraId="70B2965F" w14:textId="77777777" w:rsidR="00A02316" w:rsidRPr="00BC306E" w:rsidRDefault="00A02316" w:rsidP="00933F2B">
            <w:pPr>
              <w:rPr>
                <w:sz w:val="20"/>
                <w:szCs w:val="20"/>
              </w:rPr>
            </w:pPr>
          </w:p>
        </w:tc>
        <w:tc>
          <w:tcPr>
            <w:tcW w:w="3521" w:type="dxa"/>
          </w:tcPr>
          <w:p w14:paraId="0E3FB7C7" w14:textId="77777777" w:rsidR="00A02316" w:rsidRPr="00BC306E" w:rsidRDefault="00A02316" w:rsidP="00A02316">
            <w:pPr>
              <w:pStyle w:val="Default"/>
              <w:rPr>
                <w:sz w:val="20"/>
                <w:szCs w:val="20"/>
              </w:rPr>
            </w:pPr>
          </w:p>
          <w:p w14:paraId="3D79FD53" w14:textId="77777777" w:rsidR="00A02316" w:rsidRPr="00BC306E" w:rsidRDefault="00A02316" w:rsidP="00A02316">
            <w:pPr>
              <w:pStyle w:val="Default"/>
              <w:rPr>
                <w:sz w:val="20"/>
                <w:szCs w:val="20"/>
              </w:rPr>
            </w:pPr>
            <w:r w:rsidRPr="00BC306E">
              <w:rPr>
                <w:sz w:val="20"/>
                <w:szCs w:val="20"/>
              </w:rPr>
              <w:t>Are there existing tools or processes that support managing for species risk at a landscape scale that could be recognized under the Endangered Species Act?</w:t>
            </w:r>
          </w:p>
          <w:p w14:paraId="0BF81D31" w14:textId="77777777" w:rsidR="00A02316" w:rsidRPr="00BC306E" w:rsidRDefault="00A02316" w:rsidP="00933F2B">
            <w:pPr>
              <w:rPr>
                <w:sz w:val="20"/>
                <w:szCs w:val="20"/>
              </w:rPr>
            </w:pPr>
          </w:p>
        </w:tc>
        <w:tc>
          <w:tcPr>
            <w:tcW w:w="3522" w:type="dxa"/>
          </w:tcPr>
          <w:p w14:paraId="0989BD38" w14:textId="77777777" w:rsidR="008C6C97" w:rsidRPr="001A0D78" w:rsidRDefault="008C6C97" w:rsidP="00933F2B">
            <w:pPr>
              <w:rPr>
                <w:sz w:val="20"/>
                <w:szCs w:val="20"/>
              </w:rPr>
            </w:pPr>
            <w:r w:rsidRPr="001A0D78">
              <w:rPr>
                <w:sz w:val="20"/>
                <w:szCs w:val="20"/>
              </w:rPr>
              <w:t xml:space="preserve">This challenge could be addressed through improved linkages between recovery of endangered/threatened species and planning initiatives. </w:t>
            </w:r>
          </w:p>
          <w:p w14:paraId="462A103A" w14:textId="77777777" w:rsidR="008C6C97" w:rsidRPr="001A0D78" w:rsidRDefault="008C6C97" w:rsidP="00933F2B">
            <w:pPr>
              <w:rPr>
                <w:sz w:val="20"/>
                <w:szCs w:val="20"/>
              </w:rPr>
            </w:pPr>
          </w:p>
          <w:p w14:paraId="48849194" w14:textId="1D61DFE1" w:rsidR="00A02316" w:rsidRPr="001A0D78" w:rsidRDefault="008C6C97" w:rsidP="00933F2B">
            <w:pPr>
              <w:rPr>
                <w:sz w:val="20"/>
                <w:szCs w:val="20"/>
              </w:rPr>
            </w:pPr>
            <w:r w:rsidRPr="001A0D78">
              <w:rPr>
                <w:sz w:val="20"/>
                <w:szCs w:val="20"/>
              </w:rPr>
              <w:t>In some cases, the p</w:t>
            </w:r>
            <w:r w:rsidR="002920A5" w:rsidRPr="001A0D78">
              <w:rPr>
                <w:sz w:val="20"/>
                <w:szCs w:val="20"/>
              </w:rPr>
              <w:t>rotection of habitats such as hay fields (</w:t>
            </w:r>
            <w:r w:rsidR="001A0D78" w:rsidRPr="001A0D78">
              <w:rPr>
                <w:sz w:val="20"/>
                <w:szCs w:val="20"/>
              </w:rPr>
              <w:t xml:space="preserve">for </w:t>
            </w:r>
            <w:r w:rsidR="002920A5" w:rsidRPr="001A0D78">
              <w:rPr>
                <w:sz w:val="20"/>
                <w:szCs w:val="20"/>
              </w:rPr>
              <w:t xml:space="preserve">Bobolink/ Eastern Meadowlark), and structures for endangered bats </w:t>
            </w:r>
            <w:r w:rsidR="001A0D78" w:rsidRPr="001A0D78">
              <w:rPr>
                <w:sz w:val="20"/>
                <w:szCs w:val="20"/>
              </w:rPr>
              <w:t xml:space="preserve">has </w:t>
            </w:r>
            <w:r w:rsidRPr="001A0D78">
              <w:rPr>
                <w:sz w:val="20"/>
                <w:szCs w:val="20"/>
              </w:rPr>
              <w:t>inadvertently result</w:t>
            </w:r>
            <w:r w:rsidR="001A0D78" w:rsidRPr="001A0D78">
              <w:rPr>
                <w:sz w:val="20"/>
                <w:szCs w:val="20"/>
              </w:rPr>
              <w:t>ed</w:t>
            </w:r>
            <w:r w:rsidRPr="001A0D78">
              <w:rPr>
                <w:sz w:val="20"/>
                <w:szCs w:val="20"/>
              </w:rPr>
              <w:t xml:space="preserve"> in the elimination of </w:t>
            </w:r>
            <w:r w:rsidR="002920A5" w:rsidRPr="001A0D78">
              <w:rPr>
                <w:sz w:val="20"/>
                <w:szCs w:val="20"/>
              </w:rPr>
              <w:t>these habitat features</w:t>
            </w:r>
            <w:r w:rsidR="001A0D78" w:rsidRPr="001A0D78">
              <w:rPr>
                <w:sz w:val="20"/>
                <w:szCs w:val="20"/>
              </w:rPr>
              <w:t xml:space="preserve"> to avoid ESA regulation</w:t>
            </w:r>
            <w:r w:rsidR="002920A5" w:rsidRPr="001A0D78">
              <w:rPr>
                <w:sz w:val="20"/>
                <w:szCs w:val="20"/>
              </w:rPr>
              <w:t xml:space="preserve">. The </w:t>
            </w:r>
            <w:r w:rsidRPr="001A0D78">
              <w:rPr>
                <w:sz w:val="20"/>
                <w:szCs w:val="20"/>
              </w:rPr>
              <w:t xml:space="preserve">Ministry may want to </w:t>
            </w:r>
            <w:r w:rsidR="002920A5" w:rsidRPr="001A0D78">
              <w:rPr>
                <w:sz w:val="20"/>
                <w:szCs w:val="20"/>
              </w:rPr>
              <w:t xml:space="preserve">consider leniency or </w:t>
            </w:r>
            <w:r w:rsidRPr="001A0D78">
              <w:rPr>
                <w:sz w:val="20"/>
                <w:szCs w:val="20"/>
              </w:rPr>
              <w:t>stewardship incentives</w:t>
            </w:r>
            <w:r w:rsidR="002920A5" w:rsidRPr="001A0D78">
              <w:rPr>
                <w:sz w:val="20"/>
                <w:szCs w:val="20"/>
              </w:rPr>
              <w:t xml:space="preserve"> to promote retention of these features.</w:t>
            </w:r>
            <w:r w:rsidR="00A44713">
              <w:rPr>
                <w:sz w:val="20"/>
                <w:szCs w:val="20"/>
              </w:rPr>
              <w:t xml:space="preserve"> Stewardship agreements are part of the </w:t>
            </w:r>
            <w:r w:rsidR="00266FF1">
              <w:rPr>
                <w:sz w:val="20"/>
                <w:szCs w:val="20"/>
              </w:rPr>
              <w:t>Act,</w:t>
            </w:r>
            <w:r w:rsidR="00A44713">
              <w:rPr>
                <w:sz w:val="20"/>
                <w:szCs w:val="20"/>
              </w:rPr>
              <w:t xml:space="preserve"> but this tool has not been implemented.</w:t>
            </w:r>
          </w:p>
        </w:tc>
      </w:tr>
    </w:tbl>
    <w:p w14:paraId="29777F8F" w14:textId="77777777" w:rsidR="001D1378" w:rsidRDefault="001D1378"/>
    <w:p w14:paraId="686551AF" w14:textId="77777777" w:rsidR="00CC625E" w:rsidRDefault="00CC625E">
      <w:pPr>
        <w:rPr>
          <w:b/>
        </w:rPr>
      </w:pPr>
      <w:r w:rsidRPr="00BF3AEC">
        <w:rPr>
          <w:b/>
        </w:rPr>
        <w:t>Area of Focus 2 – Listing Process and Protections for Species at Risk</w:t>
      </w:r>
    </w:p>
    <w:p w14:paraId="11FBA462" w14:textId="2CCE336C" w:rsidR="00BF3AEC" w:rsidRPr="00BF3AEC" w:rsidRDefault="00BF3AEC">
      <w:pPr>
        <w:rPr>
          <w:b/>
        </w:rPr>
      </w:pPr>
    </w:p>
    <w:tbl>
      <w:tblPr>
        <w:tblStyle w:val="TableGrid"/>
        <w:tblW w:w="10609" w:type="dxa"/>
        <w:tblLook w:val="04A0" w:firstRow="1" w:lastRow="0" w:firstColumn="1" w:lastColumn="0" w:noHBand="0" w:noVBand="1"/>
      </w:tblPr>
      <w:tblGrid>
        <w:gridCol w:w="2376"/>
        <w:gridCol w:w="4756"/>
        <w:gridCol w:w="3477"/>
      </w:tblGrid>
      <w:tr w:rsidR="00BC306E" w:rsidRPr="00BC306E" w14:paraId="1F297C3A" w14:textId="77777777" w:rsidTr="00BC306E">
        <w:trPr>
          <w:trHeight w:val="273"/>
        </w:trPr>
        <w:tc>
          <w:tcPr>
            <w:tcW w:w="2376" w:type="dxa"/>
          </w:tcPr>
          <w:p w14:paraId="7DDDF61A" w14:textId="77777777" w:rsidR="00BC306E" w:rsidRPr="00231E15" w:rsidRDefault="00BC306E" w:rsidP="00933F2B">
            <w:pPr>
              <w:rPr>
                <w:b/>
                <w:szCs w:val="18"/>
              </w:rPr>
            </w:pPr>
            <w:r w:rsidRPr="00231E15">
              <w:rPr>
                <w:b/>
                <w:szCs w:val="18"/>
              </w:rPr>
              <w:t>Challenges</w:t>
            </w:r>
          </w:p>
        </w:tc>
        <w:tc>
          <w:tcPr>
            <w:tcW w:w="4756" w:type="dxa"/>
          </w:tcPr>
          <w:p w14:paraId="47372D9E" w14:textId="77777777" w:rsidR="00BC306E" w:rsidRPr="00231E15" w:rsidRDefault="00BC306E" w:rsidP="00933F2B">
            <w:pPr>
              <w:rPr>
                <w:b/>
                <w:szCs w:val="18"/>
              </w:rPr>
            </w:pPr>
            <w:r w:rsidRPr="00231E15">
              <w:rPr>
                <w:b/>
                <w:szCs w:val="18"/>
              </w:rPr>
              <w:t>Discussion Questions</w:t>
            </w:r>
          </w:p>
        </w:tc>
        <w:tc>
          <w:tcPr>
            <w:tcW w:w="3477" w:type="dxa"/>
          </w:tcPr>
          <w:p w14:paraId="2ADDEF13" w14:textId="77777777" w:rsidR="00BC306E" w:rsidRPr="00231E15" w:rsidRDefault="00BC306E" w:rsidP="00933F2B">
            <w:pPr>
              <w:rPr>
                <w:b/>
                <w:szCs w:val="18"/>
              </w:rPr>
            </w:pPr>
            <w:r w:rsidRPr="00231E15">
              <w:rPr>
                <w:b/>
                <w:szCs w:val="18"/>
              </w:rPr>
              <w:t>Stantec Input</w:t>
            </w:r>
          </w:p>
        </w:tc>
      </w:tr>
      <w:tr w:rsidR="00BC306E" w:rsidRPr="0009281F" w14:paraId="7AFDF055" w14:textId="77777777" w:rsidTr="00BC306E">
        <w:trPr>
          <w:trHeight w:val="1529"/>
        </w:trPr>
        <w:tc>
          <w:tcPr>
            <w:tcW w:w="2376" w:type="dxa"/>
          </w:tcPr>
          <w:p w14:paraId="158F8C1F" w14:textId="77777777" w:rsidR="00BC306E" w:rsidRPr="0009281F" w:rsidRDefault="00BC306E" w:rsidP="00BF3AEC">
            <w:pPr>
              <w:pStyle w:val="Default"/>
              <w:rPr>
                <w:sz w:val="20"/>
                <w:szCs w:val="20"/>
              </w:rPr>
            </w:pPr>
          </w:p>
          <w:p w14:paraId="3EFF4CF1" w14:textId="77777777" w:rsidR="00BC306E" w:rsidRPr="0009281F" w:rsidRDefault="00BC306E" w:rsidP="00BF3AEC">
            <w:pPr>
              <w:pStyle w:val="Default"/>
              <w:rPr>
                <w:sz w:val="20"/>
                <w:szCs w:val="20"/>
              </w:rPr>
            </w:pPr>
            <w:r w:rsidRPr="0009281F">
              <w:rPr>
                <w:sz w:val="20"/>
                <w:szCs w:val="20"/>
              </w:rPr>
              <w:t>There is not enough public notice before a new species is automatically listed on the Species at Risk in Ontario List.</w:t>
            </w:r>
          </w:p>
          <w:p w14:paraId="63377E8F" w14:textId="77777777" w:rsidR="00BC306E" w:rsidRPr="0009281F" w:rsidRDefault="00BC306E" w:rsidP="00933F2B">
            <w:pPr>
              <w:rPr>
                <w:sz w:val="20"/>
                <w:szCs w:val="20"/>
              </w:rPr>
            </w:pPr>
          </w:p>
        </w:tc>
        <w:tc>
          <w:tcPr>
            <w:tcW w:w="4756" w:type="dxa"/>
          </w:tcPr>
          <w:p w14:paraId="62FF18F3" w14:textId="77777777" w:rsidR="00BC306E" w:rsidRPr="0009281F" w:rsidRDefault="00BC306E" w:rsidP="00BC306E">
            <w:pPr>
              <w:autoSpaceDE w:val="0"/>
              <w:autoSpaceDN w:val="0"/>
              <w:adjustRightInd w:val="0"/>
              <w:rPr>
                <w:rFonts w:ascii="Calibri" w:hAnsi="Calibri" w:cs="Calibri"/>
                <w:color w:val="000000"/>
                <w:sz w:val="20"/>
                <w:szCs w:val="20"/>
              </w:rPr>
            </w:pPr>
          </w:p>
          <w:p w14:paraId="6F6D1CC8" w14:textId="77777777" w:rsidR="00BC306E" w:rsidRPr="0009281F" w:rsidRDefault="00BC306E" w:rsidP="00BC306E">
            <w:pPr>
              <w:autoSpaceDE w:val="0"/>
              <w:autoSpaceDN w:val="0"/>
              <w:adjustRightInd w:val="0"/>
              <w:rPr>
                <w:rFonts w:ascii="Calibri" w:hAnsi="Calibri" w:cs="Calibri"/>
                <w:color w:val="000000"/>
                <w:sz w:val="20"/>
                <w:szCs w:val="20"/>
              </w:rPr>
            </w:pPr>
            <w:r w:rsidRPr="0009281F">
              <w:rPr>
                <w:rFonts w:ascii="Calibri" w:hAnsi="Calibri" w:cs="Calibri"/>
                <w:color w:val="000000"/>
                <w:sz w:val="20"/>
                <w:szCs w:val="20"/>
              </w:rPr>
              <w:t>What changes would improve the notification process of a new species being listed on the Species at Risk in Ontario List? (e.g., longer timelines before a species is listed.)</w:t>
            </w:r>
          </w:p>
          <w:p w14:paraId="47F6242F" w14:textId="77777777" w:rsidR="00BC306E" w:rsidRPr="0009281F" w:rsidRDefault="00BC306E" w:rsidP="00933F2B">
            <w:pPr>
              <w:rPr>
                <w:sz w:val="20"/>
                <w:szCs w:val="20"/>
              </w:rPr>
            </w:pPr>
          </w:p>
        </w:tc>
        <w:tc>
          <w:tcPr>
            <w:tcW w:w="3477" w:type="dxa"/>
          </w:tcPr>
          <w:p w14:paraId="48D6FEE8" w14:textId="2FCC74BF" w:rsidR="00BC306E" w:rsidRPr="0009281F" w:rsidRDefault="008B2CCE" w:rsidP="00933F2B">
            <w:pPr>
              <w:rPr>
                <w:sz w:val="20"/>
                <w:szCs w:val="20"/>
              </w:rPr>
            </w:pPr>
            <w:r w:rsidRPr="0009281F">
              <w:rPr>
                <w:sz w:val="20"/>
                <w:szCs w:val="20"/>
              </w:rPr>
              <w:t xml:space="preserve">Improved outreach and communication </w:t>
            </w:r>
            <w:proofErr w:type="gramStart"/>
            <w:r w:rsidR="00304254" w:rsidRPr="0009281F">
              <w:rPr>
                <w:sz w:val="20"/>
                <w:szCs w:val="20"/>
              </w:rPr>
              <w:t>is</w:t>
            </w:r>
            <w:proofErr w:type="gramEnd"/>
            <w:r w:rsidR="00304254" w:rsidRPr="0009281F">
              <w:rPr>
                <w:sz w:val="20"/>
                <w:szCs w:val="20"/>
              </w:rPr>
              <w:t xml:space="preserve"> needed </w:t>
            </w:r>
            <w:r w:rsidRPr="0009281F">
              <w:rPr>
                <w:sz w:val="20"/>
                <w:szCs w:val="20"/>
              </w:rPr>
              <w:t xml:space="preserve">with the public and stakeholders from COSSARO. The species that are coming up for assessment are usually known in advance, but this is not being communicated well. This would improve the transparency of the </w:t>
            </w:r>
            <w:r w:rsidRPr="0009281F">
              <w:rPr>
                <w:sz w:val="20"/>
                <w:szCs w:val="20"/>
              </w:rPr>
              <w:lastRenderedPageBreak/>
              <w:t xml:space="preserve">process. The </w:t>
            </w:r>
            <w:r w:rsidR="00C31824" w:rsidRPr="0009281F">
              <w:rPr>
                <w:sz w:val="20"/>
                <w:szCs w:val="20"/>
              </w:rPr>
              <w:t xml:space="preserve">COSSARO report </w:t>
            </w:r>
            <w:r w:rsidRPr="0009281F">
              <w:rPr>
                <w:sz w:val="20"/>
                <w:szCs w:val="20"/>
              </w:rPr>
              <w:t xml:space="preserve">should be made </w:t>
            </w:r>
            <w:r w:rsidR="00C31824" w:rsidRPr="0009281F">
              <w:rPr>
                <w:sz w:val="20"/>
                <w:szCs w:val="20"/>
              </w:rPr>
              <w:t>public</w:t>
            </w:r>
            <w:r w:rsidRPr="0009281F">
              <w:rPr>
                <w:sz w:val="20"/>
                <w:szCs w:val="20"/>
              </w:rPr>
              <w:t xml:space="preserve"> earlier in t</w:t>
            </w:r>
            <w:r w:rsidR="00C31824" w:rsidRPr="0009281F">
              <w:rPr>
                <w:sz w:val="20"/>
                <w:szCs w:val="20"/>
              </w:rPr>
              <w:t xml:space="preserve">he process.  There </w:t>
            </w:r>
            <w:r w:rsidRPr="0009281F">
              <w:rPr>
                <w:sz w:val="20"/>
                <w:szCs w:val="20"/>
              </w:rPr>
              <w:t xml:space="preserve">is </w:t>
            </w:r>
            <w:r w:rsidR="00C31824" w:rsidRPr="0009281F">
              <w:rPr>
                <w:sz w:val="20"/>
                <w:szCs w:val="20"/>
              </w:rPr>
              <w:t xml:space="preserve">often </w:t>
            </w:r>
            <w:r w:rsidRPr="0009281F">
              <w:rPr>
                <w:sz w:val="20"/>
                <w:szCs w:val="20"/>
              </w:rPr>
              <w:t>a</w:t>
            </w:r>
            <w:r w:rsidR="00C31824" w:rsidRPr="0009281F">
              <w:rPr>
                <w:sz w:val="20"/>
                <w:szCs w:val="20"/>
              </w:rPr>
              <w:t xml:space="preserve"> significant delay (a year or more) between when the COSSSARO decisions are made and species are added to the SARO list</w:t>
            </w:r>
            <w:r w:rsidRPr="0009281F">
              <w:rPr>
                <w:sz w:val="20"/>
                <w:szCs w:val="20"/>
              </w:rPr>
              <w:t>, b</w:t>
            </w:r>
            <w:r w:rsidR="00C31824" w:rsidRPr="0009281F">
              <w:rPr>
                <w:sz w:val="20"/>
                <w:szCs w:val="20"/>
              </w:rPr>
              <w:t xml:space="preserve">ut reports are only made public 30 days before species at added to the list.  </w:t>
            </w:r>
          </w:p>
        </w:tc>
      </w:tr>
      <w:tr w:rsidR="00BC306E" w:rsidRPr="0009281F" w14:paraId="42D58746" w14:textId="77777777" w:rsidTr="00BC306E">
        <w:trPr>
          <w:trHeight w:val="1758"/>
        </w:trPr>
        <w:tc>
          <w:tcPr>
            <w:tcW w:w="2376" w:type="dxa"/>
          </w:tcPr>
          <w:p w14:paraId="7AF9D5DA" w14:textId="77777777" w:rsidR="00BC306E" w:rsidRPr="0009281F" w:rsidRDefault="00BC306E" w:rsidP="00BC306E">
            <w:pPr>
              <w:pStyle w:val="Default"/>
              <w:rPr>
                <w:sz w:val="20"/>
                <w:szCs w:val="20"/>
              </w:rPr>
            </w:pPr>
          </w:p>
          <w:p w14:paraId="5D8DF877" w14:textId="77777777" w:rsidR="00BC306E" w:rsidRPr="0009281F" w:rsidRDefault="00BC306E" w:rsidP="00BC306E">
            <w:pPr>
              <w:pStyle w:val="Default"/>
              <w:rPr>
                <w:sz w:val="20"/>
                <w:szCs w:val="20"/>
              </w:rPr>
            </w:pPr>
            <w:r w:rsidRPr="0009281F">
              <w:rPr>
                <w:sz w:val="20"/>
                <w:szCs w:val="20"/>
              </w:rPr>
              <w:t>In some cases, automatic species and habitat protections can contribute to high uncertainty and costly impacts to businesses and the public.</w:t>
            </w:r>
          </w:p>
          <w:p w14:paraId="2A81D934" w14:textId="77777777" w:rsidR="00BC306E" w:rsidRPr="0009281F" w:rsidRDefault="00BC306E" w:rsidP="00933F2B">
            <w:pPr>
              <w:rPr>
                <w:sz w:val="20"/>
                <w:szCs w:val="20"/>
              </w:rPr>
            </w:pPr>
          </w:p>
        </w:tc>
        <w:tc>
          <w:tcPr>
            <w:tcW w:w="4756" w:type="dxa"/>
          </w:tcPr>
          <w:p w14:paraId="52766FEA" w14:textId="77777777" w:rsidR="00BC306E" w:rsidRPr="0009281F" w:rsidRDefault="00BC306E" w:rsidP="00BC306E">
            <w:pPr>
              <w:autoSpaceDE w:val="0"/>
              <w:autoSpaceDN w:val="0"/>
              <w:adjustRightInd w:val="0"/>
              <w:rPr>
                <w:rFonts w:ascii="Calibri" w:hAnsi="Calibri" w:cs="Calibri"/>
                <w:color w:val="000000"/>
                <w:sz w:val="20"/>
                <w:szCs w:val="20"/>
              </w:rPr>
            </w:pPr>
          </w:p>
          <w:p w14:paraId="24B03D8D" w14:textId="77777777" w:rsidR="00BC306E" w:rsidRPr="0009281F" w:rsidRDefault="00BC306E" w:rsidP="00BC306E">
            <w:pPr>
              <w:autoSpaceDE w:val="0"/>
              <w:autoSpaceDN w:val="0"/>
              <w:adjustRightInd w:val="0"/>
              <w:rPr>
                <w:rFonts w:ascii="Calibri" w:hAnsi="Calibri" w:cs="Calibri"/>
                <w:color w:val="000000"/>
                <w:sz w:val="20"/>
                <w:szCs w:val="20"/>
              </w:rPr>
            </w:pPr>
            <w:r w:rsidRPr="0009281F">
              <w:rPr>
                <w:rFonts w:ascii="Calibri" w:hAnsi="Calibri" w:cs="Calibri"/>
                <w:color w:val="000000"/>
                <w:sz w:val="20"/>
                <w:szCs w:val="20"/>
              </w:rPr>
              <w:t>Should there be a different approach or alternative to automatic species and habitat protections? (e.g., longer transition periods or ministerial discretion on whether to apply, remove or temporarily delay protections for a threatened or endangered species, or its habitat.)</w:t>
            </w:r>
          </w:p>
          <w:p w14:paraId="18360006" w14:textId="77777777" w:rsidR="00BC306E" w:rsidRPr="0009281F" w:rsidRDefault="00BC306E" w:rsidP="00933F2B">
            <w:pPr>
              <w:rPr>
                <w:sz w:val="20"/>
                <w:szCs w:val="20"/>
              </w:rPr>
            </w:pPr>
          </w:p>
        </w:tc>
        <w:tc>
          <w:tcPr>
            <w:tcW w:w="3477" w:type="dxa"/>
          </w:tcPr>
          <w:p w14:paraId="6AABA9B0" w14:textId="312F93B1" w:rsidR="00BC306E" w:rsidRPr="0009281F" w:rsidRDefault="004F4DCF" w:rsidP="00933F2B">
            <w:pPr>
              <w:rPr>
                <w:sz w:val="20"/>
                <w:szCs w:val="20"/>
              </w:rPr>
            </w:pPr>
            <w:r w:rsidRPr="0009281F">
              <w:rPr>
                <w:sz w:val="20"/>
                <w:szCs w:val="20"/>
              </w:rPr>
              <w:t xml:space="preserve">Currently, MNRF will not start the permitting process for </w:t>
            </w:r>
            <w:r w:rsidR="00E277BF" w:rsidRPr="0009281F">
              <w:rPr>
                <w:sz w:val="20"/>
                <w:szCs w:val="20"/>
              </w:rPr>
              <w:t>newly listed spec</w:t>
            </w:r>
            <w:r w:rsidRPr="0009281F">
              <w:rPr>
                <w:sz w:val="20"/>
                <w:szCs w:val="20"/>
              </w:rPr>
              <w:t>ies</w:t>
            </w:r>
            <w:r w:rsidR="00E277BF" w:rsidRPr="0009281F">
              <w:rPr>
                <w:sz w:val="20"/>
                <w:szCs w:val="20"/>
              </w:rPr>
              <w:t xml:space="preserve"> until the day the species </w:t>
            </w:r>
            <w:r w:rsidR="004C19D6" w:rsidRPr="0009281F">
              <w:rPr>
                <w:sz w:val="20"/>
                <w:szCs w:val="20"/>
              </w:rPr>
              <w:t>is</w:t>
            </w:r>
            <w:r w:rsidR="00E277BF" w:rsidRPr="0009281F">
              <w:rPr>
                <w:sz w:val="20"/>
                <w:szCs w:val="20"/>
              </w:rPr>
              <w:t xml:space="preserve"> officially added to the </w:t>
            </w:r>
            <w:r w:rsidR="004C19D6" w:rsidRPr="0009281F">
              <w:rPr>
                <w:sz w:val="20"/>
                <w:szCs w:val="20"/>
              </w:rPr>
              <w:t xml:space="preserve">SARO list, which </w:t>
            </w:r>
            <w:r w:rsidRPr="0009281F">
              <w:rPr>
                <w:sz w:val="20"/>
                <w:szCs w:val="20"/>
              </w:rPr>
              <w:t xml:space="preserve">results in </w:t>
            </w:r>
            <w:r w:rsidR="004C19D6" w:rsidRPr="0009281F">
              <w:rPr>
                <w:sz w:val="20"/>
                <w:szCs w:val="20"/>
              </w:rPr>
              <w:t xml:space="preserve">significant delays to projects </w:t>
            </w:r>
            <w:r w:rsidRPr="0009281F">
              <w:rPr>
                <w:sz w:val="20"/>
                <w:szCs w:val="20"/>
              </w:rPr>
              <w:t xml:space="preserve">that are </w:t>
            </w:r>
            <w:r w:rsidR="004C19D6" w:rsidRPr="0009281F">
              <w:rPr>
                <w:sz w:val="20"/>
                <w:szCs w:val="20"/>
              </w:rPr>
              <w:t xml:space="preserve">late in their approval process. </w:t>
            </w:r>
            <w:r w:rsidR="001A0D78" w:rsidRPr="0009281F">
              <w:rPr>
                <w:sz w:val="20"/>
                <w:szCs w:val="20"/>
              </w:rPr>
              <w:t>We recommend an</w:t>
            </w:r>
            <w:r w:rsidR="004C19D6" w:rsidRPr="0009281F">
              <w:rPr>
                <w:sz w:val="20"/>
                <w:szCs w:val="20"/>
              </w:rPr>
              <w:t xml:space="preserve"> approach </w:t>
            </w:r>
            <w:r w:rsidR="001A0D78" w:rsidRPr="0009281F">
              <w:rPr>
                <w:sz w:val="20"/>
                <w:szCs w:val="20"/>
              </w:rPr>
              <w:t xml:space="preserve">that </w:t>
            </w:r>
            <w:r w:rsidR="004C19D6" w:rsidRPr="0009281F">
              <w:rPr>
                <w:sz w:val="20"/>
                <w:szCs w:val="20"/>
              </w:rPr>
              <w:t>allow</w:t>
            </w:r>
            <w:r w:rsidR="001A0D78" w:rsidRPr="0009281F">
              <w:rPr>
                <w:sz w:val="20"/>
                <w:szCs w:val="20"/>
              </w:rPr>
              <w:t>s</w:t>
            </w:r>
            <w:r w:rsidR="004C19D6" w:rsidRPr="0009281F">
              <w:rPr>
                <w:sz w:val="20"/>
                <w:szCs w:val="20"/>
              </w:rPr>
              <w:t xml:space="preserve"> for a review (i.e. IGF) and </w:t>
            </w:r>
            <w:r w:rsidR="001A0D78" w:rsidRPr="0009281F">
              <w:rPr>
                <w:sz w:val="20"/>
                <w:szCs w:val="20"/>
              </w:rPr>
              <w:t xml:space="preserve">the initiation of </w:t>
            </w:r>
            <w:r w:rsidR="004C19D6" w:rsidRPr="0009281F">
              <w:rPr>
                <w:sz w:val="20"/>
                <w:szCs w:val="20"/>
              </w:rPr>
              <w:t xml:space="preserve">the permitting process for species that are likely to be added to the SARO list.  This would </w:t>
            </w:r>
            <w:r w:rsidR="001A0D78" w:rsidRPr="0009281F">
              <w:rPr>
                <w:sz w:val="20"/>
                <w:szCs w:val="20"/>
              </w:rPr>
              <w:t xml:space="preserve">allow timely authorization to be in place </w:t>
            </w:r>
            <w:r w:rsidR="004C19D6" w:rsidRPr="0009281F">
              <w:rPr>
                <w:sz w:val="20"/>
                <w:szCs w:val="20"/>
              </w:rPr>
              <w:t xml:space="preserve">the species is listed.  </w:t>
            </w:r>
          </w:p>
          <w:p w14:paraId="5699B807" w14:textId="77777777" w:rsidR="00FA032B" w:rsidRPr="0009281F" w:rsidRDefault="00FA032B" w:rsidP="00933F2B">
            <w:pPr>
              <w:rPr>
                <w:sz w:val="20"/>
                <w:szCs w:val="20"/>
              </w:rPr>
            </w:pPr>
          </w:p>
          <w:p w14:paraId="6235BE61" w14:textId="5F0E7124" w:rsidR="00FA032B" w:rsidRPr="0009281F" w:rsidRDefault="001A0D78" w:rsidP="00933F2B">
            <w:pPr>
              <w:rPr>
                <w:sz w:val="20"/>
                <w:szCs w:val="20"/>
              </w:rPr>
            </w:pPr>
            <w:r w:rsidRPr="0009281F">
              <w:rPr>
                <w:sz w:val="20"/>
                <w:szCs w:val="20"/>
              </w:rPr>
              <w:t xml:space="preserve">Another suggestion is that </w:t>
            </w:r>
            <w:r w:rsidR="00FA032B" w:rsidRPr="0009281F">
              <w:rPr>
                <w:sz w:val="20"/>
                <w:szCs w:val="20"/>
              </w:rPr>
              <w:t xml:space="preserve">the Ministry be empowered to issue a Letter of Advice that </w:t>
            </w:r>
            <w:r w:rsidRPr="0009281F">
              <w:rPr>
                <w:sz w:val="20"/>
                <w:szCs w:val="20"/>
              </w:rPr>
              <w:t xml:space="preserve">would </w:t>
            </w:r>
            <w:r w:rsidR="00FA032B" w:rsidRPr="0009281F">
              <w:rPr>
                <w:sz w:val="20"/>
                <w:szCs w:val="20"/>
              </w:rPr>
              <w:t xml:space="preserve">meet the intent of the ESA </w:t>
            </w:r>
            <w:r w:rsidRPr="0009281F">
              <w:rPr>
                <w:sz w:val="20"/>
                <w:szCs w:val="20"/>
              </w:rPr>
              <w:t>in the period prior to new species being</w:t>
            </w:r>
            <w:r w:rsidR="00FA032B" w:rsidRPr="0009281F">
              <w:rPr>
                <w:sz w:val="20"/>
                <w:szCs w:val="20"/>
              </w:rPr>
              <w:t xml:space="preserve"> added to the SARO list to avoid unnecessary delays.</w:t>
            </w:r>
          </w:p>
        </w:tc>
      </w:tr>
      <w:tr w:rsidR="00BC306E" w:rsidRPr="00BC306E" w14:paraId="3E9E7D84" w14:textId="77777777" w:rsidTr="00BC306E">
        <w:trPr>
          <w:trHeight w:val="2425"/>
        </w:trPr>
        <w:tc>
          <w:tcPr>
            <w:tcW w:w="2376" w:type="dxa"/>
          </w:tcPr>
          <w:p w14:paraId="14B361D2" w14:textId="77777777" w:rsidR="00BC306E" w:rsidRPr="00BC306E" w:rsidRDefault="00BC306E" w:rsidP="00BC306E">
            <w:pPr>
              <w:pStyle w:val="Default"/>
              <w:rPr>
                <w:sz w:val="18"/>
                <w:szCs w:val="18"/>
              </w:rPr>
            </w:pPr>
          </w:p>
          <w:p w14:paraId="40BC8384" w14:textId="77777777" w:rsidR="00BC306E" w:rsidRPr="00BC306E" w:rsidRDefault="00BC306E" w:rsidP="00BC306E">
            <w:pPr>
              <w:pStyle w:val="Default"/>
              <w:numPr>
                <w:ilvl w:val="0"/>
                <w:numId w:val="1"/>
              </w:numPr>
              <w:rPr>
                <w:sz w:val="18"/>
                <w:szCs w:val="18"/>
              </w:rPr>
            </w:pPr>
            <w:r w:rsidRPr="00BC306E">
              <w:rPr>
                <w:sz w:val="18"/>
                <w:szCs w:val="18"/>
              </w:rPr>
              <w:t>In some cases, the information around the assessment and classification of a species as threatened or endangered by the independent Committee on the Status of Species at Risk in Ontario is not transparent enough.</w:t>
            </w:r>
          </w:p>
          <w:p w14:paraId="1B0E2AB5" w14:textId="77777777" w:rsidR="00BC306E" w:rsidRPr="00BC306E" w:rsidRDefault="00BC306E" w:rsidP="00933F2B">
            <w:pPr>
              <w:rPr>
                <w:sz w:val="18"/>
                <w:szCs w:val="18"/>
              </w:rPr>
            </w:pPr>
          </w:p>
        </w:tc>
        <w:tc>
          <w:tcPr>
            <w:tcW w:w="4756" w:type="dxa"/>
          </w:tcPr>
          <w:p w14:paraId="09892DBC" w14:textId="77777777" w:rsidR="00BC306E" w:rsidRPr="00BC306E" w:rsidRDefault="00BC306E" w:rsidP="00BC306E">
            <w:pPr>
              <w:autoSpaceDE w:val="0"/>
              <w:autoSpaceDN w:val="0"/>
              <w:adjustRightInd w:val="0"/>
              <w:rPr>
                <w:rFonts w:ascii="Calibri" w:hAnsi="Calibri" w:cs="Calibri"/>
                <w:color w:val="000000"/>
                <w:sz w:val="18"/>
                <w:szCs w:val="18"/>
              </w:rPr>
            </w:pPr>
          </w:p>
          <w:p w14:paraId="6EAC3FD0" w14:textId="77777777" w:rsidR="00BC306E" w:rsidRPr="00BC306E" w:rsidRDefault="00BC306E" w:rsidP="00BC306E">
            <w:pPr>
              <w:autoSpaceDE w:val="0"/>
              <w:autoSpaceDN w:val="0"/>
              <w:adjustRightInd w:val="0"/>
              <w:rPr>
                <w:rFonts w:ascii="Calibri" w:hAnsi="Calibri" w:cs="Calibri"/>
                <w:color w:val="000000"/>
                <w:sz w:val="18"/>
                <w:szCs w:val="18"/>
              </w:rPr>
            </w:pPr>
            <w:r w:rsidRPr="00BC306E">
              <w:rPr>
                <w:rFonts w:ascii="Calibri" w:hAnsi="Calibri" w:cs="Calibri"/>
                <w:color w:val="000000"/>
                <w:sz w:val="18"/>
                <w:szCs w:val="18"/>
              </w:rPr>
              <w:t>In what circumstances would a different approach to automatic species and habitat protections be appropriate? (e.g., there is significant intersection between a species or its habitat and human activities, complexity in addressing species threats, or where a species’ habitat is not limiting.)</w:t>
            </w:r>
          </w:p>
          <w:p w14:paraId="61190971" w14:textId="77777777" w:rsidR="00BC306E" w:rsidRPr="00BC306E" w:rsidRDefault="00BC306E" w:rsidP="00933F2B">
            <w:pPr>
              <w:rPr>
                <w:sz w:val="18"/>
                <w:szCs w:val="18"/>
              </w:rPr>
            </w:pPr>
          </w:p>
        </w:tc>
        <w:tc>
          <w:tcPr>
            <w:tcW w:w="3477" w:type="dxa"/>
          </w:tcPr>
          <w:p w14:paraId="441841E4" w14:textId="0863F1CC" w:rsidR="00304254" w:rsidRPr="00304254" w:rsidRDefault="00304254" w:rsidP="00933F2B">
            <w:pPr>
              <w:rPr>
                <w:sz w:val="20"/>
                <w:szCs w:val="20"/>
              </w:rPr>
            </w:pPr>
            <w:r w:rsidRPr="00304254">
              <w:rPr>
                <w:sz w:val="20"/>
                <w:szCs w:val="20"/>
              </w:rPr>
              <w:t>COSSARO and the Ministry need to better communicate the reasons that species are being listed. Stakeholders and the general public have the perception that it is not a clear and transparent process.</w:t>
            </w:r>
          </w:p>
          <w:p w14:paraId="7D3FD880" w14:textId="1561ABF3" w:rsidR="00304254" w:rsidRPr="00304254" w:rsidRDefault="00304254" w:rsidP="00933F2B">
            <w:pPr>
              <w:rPr>
                <w:sz w:val="20"/>
                <w:szCs w:val="20"/>
              </w:rPr>
            </w:pPr>
          </w:p>
          <w:p w14:paraId="188C300F" w14:textId="6AEC5F1D" w:rsidR="00BC306E" w:rsidRPr="00304254" w:rsidRDefault="00304254" w:rsidP="00933F2B">
            <w:pPr>
              <w:rPr>
                <w:sz w:val="20"/>
                <w:szCs w:val="20"/>
              </w:rPr>
            </w:pPr>
            <w:r w:rsidRPr="00304254">
              <w:rPr>
                <w:sz w:val="20"/>
                <w:szCs w:val="20"/>
              </w:rPr>
              <w:t xml:space="preserve">The Ministry may also want to consider taking a different approach for species that are undergoing long-term declines but are still </w:t>
            </w:r>
            <w:proofErr w:type="gramStart"/>
            <w:r w:rsidRPr="00304254">
              <w:rPr>
                <w:sz w:val="20"/>
                <w:szCs w:val="20"/>
              </w:rPr>
              <w:t xml:space="preserve">fairly </w:t>
            </w:r>
            <w:r>
              <w:rPr>
                <w:sz w:val="20"/>
                <w:szCs w:val="20"/>
              </w:rPr>
              <w:t>widespread</w:t>
            </w:r>
            <w:proofErr w:type="gramEnd"/>
            <w:r w:rsidRPr="00304254">
              <w:rPr>
                <w:sz w:val="20"/>
                <w:szCs w:val="20"/>
              </w:rPr>
              <w:t>. Further, there are species that are classified as Threatened or Endangered for which loss of habitat is not a threat or a driving factor in the species decline. For example, Myotis bats and Butternut at risk due to disease, so habitat protection and compensation may have little or no impact on species recovery.</w:t>
            </w:r>
            <w:r w:rsidR="001667BD" w:rsidRPr="00304254">
              <w:rPr>
                <w:sz w:val="20"/>
                <w:szCs w:val="20"/>
              </w:rPr>
              <w:t xml:space="preserve">  </w:t>
            </w:r>
          </w:p>
          <w:p w14:paraId="551C7A87" w14:textId="77777777" w:rsidR="00851805" w:rsidRPr="00304254" w:rsidRDefault="00851805" w:rsidP="00933F2B">
            <w:pPr>
              <w:rPr>
                <w:sz w:val="20"/>
                <w:szCs w:val="20"/>
              </w:rPr>
            </w:pPr>
          </w:p>
          <w:p w14:paraId="40956708" w14:textId="77777777" w:rsidR="00851805" w:rsidRPr="00304254" w:rsidRDefault="00851805" w:rsidP="00933F2B">
            <w:pPr>
              <w:rPr>
                <w:sz w:val="20"/>
                <w:szCs w:val="20"/>
              </w:rPr>
            </w:pPr>
          </w:p>
        </w:tc>
      </w:tr>
      <w:tr w:rsidR="00BC306E" w:rsidRPr="0009281F" w14:paraId="7A10C140" w14:textId="77777777" w:rsidTr="00BC306E">
        <w:trPr>
          <w:trHeight w:val="1540"/>
        </w:trPr>
        <w:tc>
          <w:tcPr>
            <w:tcW w:w="2376" w:type="dxa"/>
          </w:tcPr>
          <w:p w14:paraId="61420219" w14:textId="77777777" w:rsidR="00BC306E" w:rsidRPr="0009281F" w:rsidRDefault="00BC306E" w:rsidP="00933F2B">
            <w:pPr>
              <w:rPr>
                <w:sz w:val="20"/>
                <w:szCs w:val="20"/>
              </w:rPr>
            </w:pPr>
          </w:p>
        </w:tc>
        <w:tc>
          <w:tcPr>
            <w:tcW w:w="4756" w:type="dxa"/>
          </w:tcPr>
          <w:p w14:paraId="3C576E6C" w14:textId="77777777" w:rsidR="00BC306E" w:rsidRPr="0009281F" w:rsidRDefault="00BC306E" w:rsidP="00BC306E">
            <w:pPr>
              <w:autoSpaceDE w:val="0"/>
              <w:autoSpaceDN w:val="0"/>
              <w:adjustRightInd w:val="0"/>
              <w:rPr>
                <w:rFonts w:ascii="Calibri" w:hAnsi="Calibri" w:cs="Calibri"/>
                <w:color w:val="000000"/>
                <w:sz w:val="20"/>
                <w:szCs w:val="20"/>
              </w:rPr>
            </w:pPr>
          </w:p>
          <w:p w14:paraId="0133E9F3" w14:textId="77777777" w:rsidR="00BC306E" w:rsidRPr="0009281F" w:rsidRDefault="00BC306E" w:rsidP="00BC306E">
            <w:pPr>
              <w:autoSpaceDE w:val="0"/>
              <w:autoSpaceDN w:val="0"/>
              <w:adjustRightInd w:val="0"/>
              <w:rPr>
                <w:rFonts w:ascii="Calibri" w:hAnsi="Calibri" w:cs="Calibri"/>
                <w:color w:val="000000"/>
                <w:sz w:val="20"/>
                <w:szCs w:val="20"/>
              </w:rPr>
            </w:pPr>
            <w:r w:rsidRPr="0009281F">
              <w:rPr>
                <w:rFonts w:ascii="Calibri" w:hAnsi="Calibri" w:cs="Calibri"/>
                <w:color w:val="000000"/>
                <w:sz w:val="20"/>
                <w:szCs w:val="20"/>
              </w:rPr>
              <w:t>How can the process regarding assessment and classification of species by the Committee on the Status of Species at Risk in Ontario be improved? (e.g., request an additional review and assessment in cases where there is emerging science or conflicting information.)</w:t>
            </w:r>
          </w:p>
          <w:p w14:paraId="3FA2B20B" w14:textId="77777777" w:rsidR="00BC306E" w:rsidRPr="0009281F" w:rsidRDefault="00BC306E" w:rsidP="00933F2B">
            <w:pPr>
              <w:rPr>
                <w:sz w:val="20"/>
                <w:szCs w:val="20"/>
              </w:rPr>
            </w:pPr>
          </w:p>
        </w:tc>
        <w:tc>
          <w:tcPr>
            <w:tcW w:w="3477" w:type="dxa"/>
          </w:tcPr>
          <w:p w14:paraId="5F9534A0" w14:textId="40F6B360" w:rsidR="00BC306E" w:rsidRPr="0009281F" w:rsidRDefault="00A44713" w:rsidP="00933F2B">
            <w:pPr>
              <w:rPr>
                <w:sz w:val="20"/>
                <w:szCs w:val="20"/>
              </w:rPr>
            </w:pPr>
            <w:r w:rsidRPr="0009281F">
              <w:rPr>
                <w:sz w:val="20"/>
                <w:szCs w:val="20"/>
              </w:rPr>
              <w:t>The ESA already grants the Minister the right to request a review of a listing decision. It is important to maintain an independent body of experts to recommend the listing of species.</w:t>
            </w:r>
          </w:p>
        </w:tc>
      </w:tr>
    </w:tbl>
    <w:p w14:paraId="6FD2C05D" w14:textId="77777777" w:rsidR="00CC625E" w:rsidRDefault="00CC625E"/>
    <w:p w14:paraId="032AA367" w14:textId="77777777" w:rsidR="00BC306E" w:rsidRDefault="00BC306E">
      <w:pPr>
        <w:rPr>
          <w:b/>
        </w:rPr>
      </w:pPr>
    </w:p>
    <w:p w14:paraId="15CB6463" w14:textId="77777777" w:rsidR="00CC625E" w:rsidRPr="00BC306E" w:rsidRDefault="00CC625E">
      <w:pPr>
        <w:rPr>
          <w:b/>
        </w:rPr>
      </w:pPr>
      <w:r w:rsidRPr="00BC306E">
        <w:rPr>
          <w:b/>
        </w:rPr>
        <w:t>Area of Focus 3 – Species Recovery Policies and Habitat Regulations</w:t>
      </w:r>
    </w:p>
    <w:p w14:paraId="2BBBFF08" w14:textId="5478B7A5" w:rsidR="00BC306E" w:rsidRDefault="00BC306E" w:rsidP="00BC306E"/>
    <w:tbl>
      <w:tblPr>
        <w:tblStyle w:val="TableGrid"/>
        <w:tblW w:w="10628" w:type="dxa"/>
        <w:tblLook w:val="04A0" w:firstRow="1" w:lastRow="0" w:firstColumn="1" w:lastColumn="0" w:noHBand="0" w:noVBand="1"/>
      </w:tblPr>
      <w:tblGrid>
        <w:gridCol w:w="3542"/>
        <w:gridCol w:w="3542"/>
        <w:gridCol w:w="3544"/>
      </w:tblGrid>
      <w:tr w:rsidR="00BC306E" w14:paraId="3DC6A659" w14:textId="77777777" w:rsidTr="00BC306E">
        <w:trPr>
          <w:trHeight w:val="287"/>
        </w:trPr>
        <w:tc>
          <w:tcPr>
            <w:tcW w:w="3542" w:type="dxa"/>
          </w:tcPr>
          <w:p w14:paraId="6633A567" w14:textId="77777777" w:rsidR="00BC306E" w:rsidRPr="00231E15" w:rsidRDefault="00BC306E" w:rsidP="00933F2B">
            <w:pPr>
              <w:rPr>
                <w:b/>
              </w:rPr>
            </w:pPr>
            <w:r w:rsidRPr="00231E15">
              <w:rPr>
                <w:b/>
              </w:rPr>
              <w:t>Challenges</w:t>
            </w:r>
          </w:p>
        </w:tc>
        <w:tc>
          <w:tcPr>
            <w:tcW w:w="3542" w:type="dxa"/>
          </w:tcPr>
          <w:p w14:paraId="665D55E7" w14:textId="77777777" w:rsidR="00BC306E" w:rsidRPr="00231E15" w:rsidRDefault="00BC306E" w:rsidP="00933F2B">
            <w:pPr>
              <w:rPr>
                <w:b/>
              </w:rPr>
            </w:pPr>
            <w:r w:rsidRPr="00231E15">
              <w:rPr>
                <w:b/>
              </w:rPr>
              <w:t>Discussion Questions</w:t>
            </w:r>
          </w:p>
        </w:tc>
        <w:tc>
          <w:tcPr>
            <w:tcW w:w="3544" w:type="dxa"/>
          </w:tcPr>
          <w:p w14:paraId="25B577EE" w14:textId="77777777" w:rsidR="00BC306E" w:rsidRPr="00231E15" w:rsidRDefault="00BC306E" w:rsidP="00933F2B">
            <w:pPr>
              <w:rPr>
                <w:b/>
              </w:rPr>
            </w:pPr>
            <w:r w:rsidRPr="00231E15">
              <w:rPr>
                <w:b/>
              </w:rPr>
              <w:t>Stantec Input</w:t>
            </w:r>
          </w:p>
        </w:tc>
      </w:tr>
      <w:tr w:rsidR="00BC306E" w:rsidRPr="0009281F" w14:paraId="1D60212D" w14:textId="77777777" w:rsidTr="00BC306E">
        <w:trPr>
          <w:trHeight w:val="276"/>
        </w:trPr>
        <w:tc>
          <w:tcPr>
            <w:tcW w:w="3542" w:type="dxa"/>
          </w:tcPr>
          <w:p w14:paraId="08E889B7" w14:textId="77777777" w:rsidR="00BC306E" w:rsidRPr="0009281F" w:rsidRDefault="00BC306E" w:rsidP="00BC306E">
            <w:pPr>
              <w:autoSpaceDE w:val="0"/>
              <w:autoSpaceDN w:val="0"/>
              <w:adjustRightInd w:val="0"/>
              <w:rPr>
                <w:rFonts w:ascii="Calibri" w:hAnsi="Calibri" w:cs="Calibri"/>
                <w:color w:val="000000"/>
                <w:sz w:val="20"/>
                <w:szCs w:val="20"/>
              </w:rPr>
            </w:pPr>
          </w:p>
          <w:p w14:paraId="5BF7DBBD" w14:textId="77777777" w:rsidR="00BC306E" w:rsidRPr="0009281F" w:rsidRDefault="00BC306E" w:rsidP="00BC306E">
            <w:pPr>
              <w:autoSpaceDE w:val="0"/>
              <w:autoSpaceDN w:val="0"/>
              <w:adjustRightInd w:val="0"/>
              <w:rPr>
                <w:rFonts w:ascii="Calibri" w:hAnsi="Calibri" w:cs="Calibri"/>
                <w:color w:val="000000"/>
                <w:sz w:val="20"/>
                <w:szCs w:val="20"/>
              </w:rPr>
            </w:pPr>
            <w:r w:rsidRPr="0009281F">
              <w:rPr>
                <w:rFonts w:ascii="Calibri" w:hAnsi="Calibri" w:cs="Calibri"/>
                <w:color w:val="000000"/>
                <w:sz w:val="20"/>
                <w:szCs w:val="20"/>
              </w:rPr>
              <w:t>In some cases, the time limit of nine months to develop the Government Response Statement for an endangered or threatened species is too short, and there is no option under the Act to extend this timeline when needed.</w:t>
            </w:r>
          </w:p>
          <w:p w14:paraId="4EB5CC95" w14:textId="77777777" w:rsidR="00BC306E" w:rsidRPr="0009281F" w:rsidRDefault="00BC306E" w:rsidP="00933F2B">
            <w:pPr>
              <w:rPr>
                <w:sz w:val="20"/>
                <w:szCs w:val="20"/>
              </w:rPr>
            </w:pPr>
          </w:p>
        </w:tc>
        <w:tc>
          <w:tcPr>
            <w:tcW w:w="3542" w:type="dxa"/>
          </w:tcPr>
          <w:p w14:paraId="2F7651B0" w14:textId="77777777" w:rsidR="00BC306E" w:rsidRPr="0009281F" w:rsidRDefault="00BC306E" w:rsidP="00BC306E">
            <w:pPr>
              <w:autoSpaceDE w:val="0"/>
              <w:autoSpaceDN w:val="0"/>
              <w:adjustRightInd w:val="0"/>
              <w:rPr>
                <w:rFonts w:ascii="Calibri" w:hAnsi="Calibri" w:cs="Calibri"/>
                <w:color w:val="000000"/>
                <w:sz w:val="20"/>
                <w:szCs w:val="20"/>
              </w:rPr>
            </w:pPr>
          </w:p>
          <w:p w14:paraId="69289371" w14:textId="77777777" w:rsidR="00BC306E" w:rsidRPr="0009281F" w:rsidRDefault="00BC306E" w:rsidP="00BC306E">
            <w:pPr>
              <w:autoSpaceDE w:val="0"/>
              <w:autoSpaceDN w:val="0"/>
              <w:adjustRightInd w:val="0"/>
              <w:rPr>
                <w:rFonts w:ascii="Calibri" w:hAnsi="Calibri" w:cs="Calibri"/>
                <w:color w:val="000000"/>
                <w:sz w:val="20"/>
                <w:szCs w:val="20"/>
              </w:rPr>
            </w:pPr>
            <w:r w:rsidRPr="0009281F">
              <w:rPr>
                <w:rFonts w:ascii="Calibri" w:hAnsi="Calibri" w:cs="Calibri"/>
                <w:color w:val="000000"/>
                <w:sz w:val="20"/>
                <w:szCs w:val="20"/>
              </w:rPr>
              <w:t xml:space="preserve">In what circumstances would a species and/or Ontarians benefit from additional time for the development of the Government Response Statement? (e.g., enable extending the timeline for the Government Response Statement when needed, such as when recovery approaches for a species are complex or when additional engagement is required with businesses, Indigenous peoples, landowners </w:t>
            </w:r>
            <w:r w:rsidR="003B706A" w:rsidRPr="0009281F">
              <w:rPr>
                <w:rFonts w:ascii="Calibri" w:hAnsi="Calibri" w:cs="Calibri"/>
                <w:color w:val="000000"/>
                <w:sz w:val="20"/>
                <w:szCs w:val="20"/>
              </w:rPr>
              <w:t>and conservation</w:t>
            </w:r>
            <w:r w:rsidRPr="0009281F">
              <w:rPr>
                <w:rFonts w:ascii="Calibri" w:hAnsi="Calibri" w:cs="Calibri"/>
                <w:color w:val="000000"/>
                <w:sz w:val="20"/>
                <w:szCs w:val="20"/>
              </w:rPr>
              <w:t xml:space="preserve"> groups.)</w:t>
            </w:r>
          </w:p>
          <w:p w14:paraId="54AD5354" w14:textId="77777777" w:rsidR="00BC306E" w:rsidRPr="0009281F" w:rsidRDefault="00BC306E" w:rsidP="00933F2B">
            <w:pPr>
              <w:rPr>
                <w:sz w:val="20"/>
                <w:szCs w:val="20"/>
              </w:rPr>
            </w:pPr>
          </w:p>
        </w:tc>
        <w:tc>
          <w:tcPr>
            <w:tcW w:w="3544" w:type="dxa"/>
          </w:tcPr>
          <w:p w14:paraId="1862B255" w14:textId="7BE9C93D" w:rsidR="00BC306E" w:rsidRPr="0009281F" w:rsidRDefault="00266FF1" w:rsidP="00933F2B">
            <w:pPr>
              <w:rPr>
                <w:sz w:val="20"/>
                <w:szCs w:val="20"/>
              </w:rPr>
            </w:pPr>
            <w:r w:rsidRPr="0009281F">
              <w:rPr>
                <w:sz w:val="20"/>
                <w:szCs w:val="20"/>
              </w:rPr>
              <w:t>Timelines are important and if the Ministry is facing challenges with meeting the timeline, then further resources need to be allocated. The science on species recovery almost always contains unknowns. The Ministry must accept that there are some unknowns but still proceed with protecting endangered and threatened species and their habitats, following the intention of the Act.</w:t>
            </w:r>
          </w:p>
        </w:tc>
      </w:tr>
      <w:tr w:rsidR="00BC306E" w:rsidRPr="0009281F" w14:paraId="5C01A6A0" w14:textId="77777777" w:rsidTr="00BC306E">
        <w:trPr>
          <w:trHeight w:val="287"/>
        </w:trPr>
        <w:tc>
          <w:tcPr>
            <w:tcW w:w="3542" w:type="dxa"/>
          </w:tcPr>
          <w:p w14:paraId="0BE57AF7" w14:textId="77777777" w:rsidR="00BC306E" w:rsidRPr="0009281F" w:rsidRDefault="00BC306E" w:rsidP="00BC306E">
            <w:pPr>
              <w:autoSpaceDE w:val="0"/>
              <w:autoSpaceDN w:val="0"/>
              <w:adjustRightInd w:val="0"/>
              <w:rPr>
                <w:rFonts w:ascii="Calibri" w:hAnsi="Calibri" w:cs="Calibri"/>
                <w:color w:val="000000"/>
                <w:sz w:val="20"/>
                <w:szCs w:val="20"/>
              </w:rPr>
            </w:pPr>
          </w:p>
          <w:p w14:paraId="7DAB115F" w14:textId="77777777" w:rsidR="00BC306E" w:rsidRPr="0009281F" w:rsidRDefault="00BC306E" w:rsidP="00BC306E">
            <w:pPr>
              <w:autoSpaceDE w:val="0"/>
              <w:autoSpaceDN w:val="0"/>
              <w:adjustRightInd w:val="0"/>
              <w:rPr>
                <w:rFonts w:ascii="Calibri" w:hAnsi="Calibri" w:cs="Calibri"/>
                <w:color w:val="000000"/>
                <w:sz w:val="20"/>
                <w:szCs w:val="20"/>
              </w:rPr>
            </w:pPr>
            <w:r w:rsidRPr="0009281F">
              <w:rPr>
                <w:rFonts w:ascii="Calibri" w:hAnsi="Calibri" w:cs="Calibri"/>
                <w:color w:val="000000"/>
                <w:sz w:val="20"/>
                <w:szCs w:val="20"/>
              </w:rPr>
              <w:t xml:space="preserve">In many cases, conducting a </w:t>
            </w:r>
            <w:r w:rsidR="003B706A" w:rsidRPr="0009281F">
              <w:rPr>
                <w:rFonts w:ascii="Calibri" w:hAnsi="Calibri" w:cs="Calibri"/>
                <w:color w:val="000000"/>
                <w:sz w:val="20"/>
                <w:szCs w:val="20"/>
              </w:rPr>
              <w:t>review of</w:t>
            </w:r>
            <w:r w:rsidRPr="0009281F">
              <w:rPr>
                <w:rFonts w:ascii="Calibri" w:hAnsi="Calibri" w:cs="Calibri"/>
                <w:color w:val="000000"/>
                <w:sz w:val="20"/>
                <w:szCs w:val="20"/>
              </w:rPr>
              <w:t xml:space="preserve"> progress towards the </w:t>
            </w:r>
            <w:r w:rsidR="003B706A" w:rsidRPr="0009281F">
              <w:rPr>
                <w:rFonts w:ascii="Calibri" w:hAnsi="Calibri" w:cs="Calibri"/>
                <w:color w:val="000000"/>
                <w:sz w:val="20"/>
                <w:szCs w:val="20"/>
              </w:rPr>
              <w:t>protection and</w:t>
            </w:r>
            <w:r w:rsidRPr="0009281F">
              <w:rPr>
                <w:rFonts w:ascii="Calibri" w:hAnsi="Calibri" w:cs="Calibri"/>
                <w:color w:val="000000"/>
                <w:sz w:val="20"/>
                <w:szCs w:val="20"/>
              </w:rPr>
              <w:t xml:space="preserve"> recovery of a species </w:t>
            </w:r>
            <w:r w:rsidR="003B706A" w:rsidRPr="0009281F">
              <w:rPr>
                <w:rFonts w:ascii="Calibri" w:hAnsi="Calibri" w:cs="Calibri"/>
                <w:color w:val="000000"/>
                <w:sz w:val="20"/>
                <w:szCs w:val="20"/>
              </w:rPr>
              <w:t>within five</w:t>
            </w:r>
            <w:r w:rsidRPr="0009281F">
              <w:rPr>
                <w:rFonts w:ascii="Calibri" w:hAnsi="Calibri" w:cs="Calibri"/>
                <w:color w:val="000000"/>
                <w:sz w:val="20"/>
                <w:szCs w:val="20"/>
              </w:rPr>
              <w:t xml:space="preserve"> years of the </w:t>
            </w:r>
            <w:r w:rsidR="003B706A" w:rsidRPr="0009281F">
              <w:rPr>
                <w:rFonts w:ascii="Calibri" w:hAnsi="Calibri" w:cs="Calibri"/>
                <w:color w:val="000000"/>
                <w:sz w:val="20"/>
                <w:szCs w:val="20"/>
              </w:rPr>
              <w:t>Government Response</w:t>
            </w:r>
            <w:r w:rsidRPr="0009281F">
              <w:rPr>
                <w:rFonts w:ascii="Calibri" w:hAnsi="Calibri" w:cs="Calibri"/>
                <w:color w:val="000000"/>
                <w:sz w:val="20"/>
                <w:szCs w:val="20"/>
              </w:rPr>
              <w:t xml:space="preserve"> Statement is too soon.</w:t>
            </w:r>
          </w:p>
          <w:p w14:paraId="26C659D5" w14:textId="77777777" w:rsidR="00BC306E" w:rsidRPr="0009281F" w:rsidRDefault="00BC306E" w:rsidP="00933F2B">
            <w:pPr>
              <w:rPr>
                <w:sz w:val="20"/>
                <w:szCs w:val="20"/>
              </w:rPr>
            </w:pPr>
          </w:p>
        </w:tc>
        <w:tc>
          <w:tcPr>
            <w:tcW w:w="3542" w:type="dxa"/>
          </w:tcPr>
          <w:p w14:paraId="2270FEA5" w14:textId="77777777" w:rsidR="00BC306E" w:rsidRPr="0009281F" w:rsidRDefault="00BC306E" w:rsidP="00BC306E">
            <w:pPr>
              <w:autoSpaceDE w:val="0"/>
              <w:autoSpaceDN w:val="0"/>
              <w:adjustRightInd w:val="0"/>
              <w:rPr>
                <w:rFonts w:ascii="Calibri" w:hAnsi="Calibri" w:cs="Calibri"/>
                <w:color w:val="000000"/>
                <w:sz w:val="20"/>
                <w:szCs w:val="20"/>
              </w:rPr>
            </w:pPr>
          </w:p>
          <w:p w14:paraId="63E5D79B" w14:textId="0476D2D3" w:rsidR="00BC306E" w:rsidRPr="0009281F" w:rsidRDefault="00BC306E" w:rsidP="00BC306E">
            <w:pPr>
              <w:autoSpaceDE w:val="0"/>
              <w:autoSpaceDN w:val="0"/>
              <w:adjustRightInd w:val="0"/>
              <w:rPr>
                <w:rFonts w:ascii="Calibri" w:hAnsi="Calibri" w:cs="Calibri"/>
                <w:color w:val="000000"/>
                <w:sz w:val="20"/>
                <w:szCs w:val="20"/>
              </w:rPr>
            </w:pPr>
            <w:r w:rsidRPr="0009281F">
              <w:rPr>
                <w:rFonts w:ascii="Calibri" w:hAnsi="Calibri" w:cs="Calibri"/>
                <w:color w:val="000000"/>
                <w:sz w:val="20"/>
                <w:szCs w:val="20"/>
              </w:rPr>
              <w:t xml:space="preserve">In what circumstances would a longer timeline improve </w:t>
            </w:r>
            <w:r w:rsidR="003B706A" w:rsidRPr="0009281F">
              <w:rPr>
                <w:rFonts w:ascii="Calibri" w:hAnsi="Calibri" w:cs="Calibri"/>
                <w:color w:val="000000"/>
                <w:sz w:val="20"/>
                <w:szCs w:val="20"/>
              </w:rPr>
              <w:t>the merit</w:t>
            </w:r>
            <w:r w:rsidRPr="0009281F">
              <w:rPr>
                <w:rFonts w:ascii="Calibri" w:hAnsi="Calibri" w:cs="Calibri"/>
                <w:color w:val="000000"/>
                <w:sz w:val="20"/>
                <w:szCs w:val="20"/>
              </w:rPr>
              <w:t xml:space="preserve"> and relevance of conducting a review of </w:t>
            </w:r>
            <w:r w:rsidR="003B706A" w:rsidRPr="0009281F">
              <w:rPr>
                <w:rFonts w:ascii="Calibri" w:hAnsi="Calibri" w:cs="Calibri"/>
                <w:color w:val="000000"/>
                <w:sz w:val="20"/>
                <w:szCs w:val="20"/>
              </w:rPr>
              <w:t>progress towards</w:t>
            </w:r>
            <w:r w:rsidRPr="0009281F">
              <w:rPr>
                <w:rFonts w:ascii="Calibri" w:hAnsi="Calibri" w:cs="Calibri"/>
                <w:color w:val="000000"/>
                <w:sz w:val="20"/>
                <w:szCs w:val="20"/>
              </w:rPr>
              <w:t xml:space="preserve"> protection and recovery? (e.g., for species </w:t>
            </w:r>
            <w:proofErr w:type="gramStart"/>
            <w:r w:rsidR="003B706A" w:rsidRPr="0009281F">
              <w:rPr>
                <w:rFonts w:ascii="Calibri" w:hAnsi="Calibri" w:cs="Calibri"/>
                <w:color w:val="000000"/>
                <w:sz w:val="20"/>
                <w:szCs w:val="20"/>
              </w:rPr>
              <w:t>where</w:t>
            </w:r>
            <w:proofErr w:type="gramEnd"/>
            <w:r w:rsidR="0009281F">
              <w:rPr>
                <w:rFonts w:ascii="Calibri" w:hAnsi="Calibri" w:cs="Calibri"/>
                <w:color w:val="000000"/>
                <w:sz w:val="20"/>
                <w:szCs w:val="20"/>
              </w:rPr>
              <w:t xml:space="preserve"> </w:t>
            </w:r>
            <w:r w:rsidR="003B706A" w:rsidRPr="0009281F">
              <w:rPr>
                <w:rFonts w:ascii="Calibri" w:hAnsi="Calibri" w:cs="Calibri"/>
                <w:color w:val="000000"/>
                <w:sz w:val="20"/>
                <w:szCs w:val="20"/>
              </w:rPr>
              <w:t>additional</w:t>
            </w:r>
            <w:r w:rsidRPr="0009281F">
              <w:rPr>
                <w:rFonts w:ascii="Calibri" w:hAnsi="Calibri" w:cs="Calibri"/>
                <w:color w:val="000000"/>
                <w:sz w:val="20"/>
                <w:szCs w:val="20"/>
              </w:rPr>
              <w:t xml:space="preserve"> data is likely to be made available over a </w:t>
            </w:r>
            <w:r w:rsidR="003B706A" w:rsidRPr="0009281F">
              <w:rPr>
                <w:rFonts w:ascii="Calibri" w:hAnsi="Calibri" w:cs="Calibri"/>
                <w:color w:val="000000"/>
                <w:sz w:val="20"/>
                <w:szCs w:val="20"/>
              </w:rPr>
              <w:t>longer timeframe</w:t>
            </w:r>
            <w:r w:rsidRPr="0009281F">
              <w:rPr>
                <w:rFonts w:ascii="Calibri" w:hAnsi="Calibri" w:cs="Calibri"/>
                <w:color w:val="000000"/>
                <w:sz w:val="20"/>
                <w:szCs w:val="20"/>
              </w:rPr>
              <w:t xml:space="preserve">, or where stewardship actions are likely to </w:t>
            </w:r>
            <w:r w:rsidR="003B706A" w:rsidRPr="0009281F">
              <w:rPr>
                <w:rFonts w:ascii="Calibri" w:hAnsi="Calibri" w:cs="Calibri"/>
                <w:color w:val="000000"/>
                <w:sz w:val="20"/>
                <w:szCs w:val="20"/>
              </w:rPr>
              <w:t>be completed</w:t>
            </w:r>
            <w:r w:rsidRPr="0009281F">
              <w:rPr>
                <w:rFonts w:ascii="Calibri" w:hAnsi="Calibri" w:cs="Calibri"/>
                <w:color w:val="000000"/>
                <w:sz w:val="20"/>
                <w:szCs w:val="20"/>
              </w:rPr>
              <w:t xml:space="preserve"> over a longer timeframe.)</w:t>
            </w:r>
          </w:p>
          <w:p w14:paraId="038D4315" w14:textId="77777777" w:rsidR="00BC306E" w:rsidRPr="0009281F" w:rsidRDefault="00BC306E" w:rsidP="00933F2B">
            <w:pPr>
              <w:rPr>
                <w:sz w:val="20"/>
                <w:szCs w:val="20"/>
              </w:rPr>
            </w:pPr>
          </w:p>
        </w:tc>
        <w:tc>
          <w:tcPr>
            <w:tcW w:w="3544" w:type="dxa"/>
          </w:tcPr>
          <w:p w14:paraId="5D533413" w14:textId="423F0384" w:rsidR="00BC306E" w:rsidRPr="0009281F" w:rsidRDefault="00A44713" w:rsidP="00933F2B">
            <w:pPr>
              <w:rPr>
                <w:sz w:val="20"/>
                <w:szCs w:val="20"/>
              </w:rPr>
            </w:pPr>
            <w:r w:rsidRPr="0009281F">
              <w:rPr>
                <w:sz w:val="20"/>
                <w:szCs w:val="20"/>
              </w:rPr>
              <w:t xml:space="preserve">The Ministry should be investing in ongoing monitoring of the effectiveness of the Act. Review of Government Response Statements and updates with new </w:t>
            </w:r>
            <w:r w:rsidR="00DA320F" w:rsidRPr="0009281F">
              <w:rPr>
                <w:sz w:val="20"/>
                <w:szCs w:val="20"/>
              </w:rPr>
              <w:t xml:space="preserve">information every five years seems like a reasonable time frame. </w:t>
            </w:r>
            <w:r w:rsidRPr="0009281F">
              <w:rPr>
                <w:sz w:val="20"/>
                <w:szCs w:val="20"/>
              </w:rPr>
              <w:t xml:space="preserve"> </w:t>
            </w:r>
          </w:p>
        </w:tc>
      </w:tr>
      <w:tr w:rsidR="00BC306E" w:rsidRPr="0009281F" w14:paraId="39372F0F" w14:textId="77777777" w:rsidTr="00BC306E">
        <w:trPr>
          <w:trHeight w:val="276"/>
        </w:trPr>
        <w:tc>
          <w:tcPr>
            <w:tcW w:w="3542" w:type="dxa"/>
          </w:tcPr>
          <w:p w14:paraId="46622D47" w14:textId="77777777" w:rsidR="00BC306E" w:rsidRPr="0009281F" w:rsidRDefault="00BC306E" w:rsidP="00BC306E">
            <w:pPr>
              <w:autoSpaceDE w:val="0"/>
              <w:autoSpaceDN w:val="0"/>
              <w:adjustRightInd w:val="0"/>
              <w:rPr>
                <w:rFonts w:ascii="Calibri" w:hAnsi="Calibri" w:cs="Calibri"/>
                <w:color w:val="000000"/>
                <w:sz w:val="20"/>
                <w:szCs w:val="20"/>
              </w:rPr>
            </w:pPr>
          </w:p>
          <w:p w14:paraId="3F6FDEE0" w14:textId="77777777" w:rsidR="00BC306E" w:rsidRPr="0009281F" w:rsidRDefault="00BC306E" w:rsidP="00BC306E">
            <w:pPr>
              <w:autoSpaceDE w:val="0"/>
              <w:autoSpaceDN w:val="0"/>
              <w:adjustRightInd w:val="0"/>
              <w:rPr>
                <w:rFonts w:ascii="Calibri" w:hAnsi="Calibri" w:cs="Calibri"/>
                <w:color w:val="000000"/>
                <w:sz w:val="20"/>
                <w:szCs w:val="20"/>
              </w:rPr>
            </w:pPr>
            <w:r w:rsidRPr="0009281F">
              <w:rPr>
                <w:rFonts w:ascii="Calibri" w:hAnsi="Calibri" w:cs="Calibri"/>
                <w:color w:val="000000"/>
                <w:sz w:val="20"/>
                <w:szCs w:val="20"/>
              </w:rPr>
              <w:t xml:space="preserve">The development of a </w:t>
            </w:r>
            <w:r w:rsidR="003B706A" w:rsidRPr="0009281F">
              <w:rPr>
                <w:rFonts w:ascii="Calibri" w:hAnsi="Calibri" w:cs="Calibri"/>
                <w:color w:val="000000"/>
                <w:sz w:val="20"/>
                <w:szCs w:val="20"/>
              </w:rPr>
              <w:t>habitat regulation</w:t>
            </w:r>
            <w:r w:rsidRPr="0009281F">
              <w:rPr>
                <w:rFonts w:ascii="Calibri" w:hAnsi="Calibri" w:cs="Calibri"/>
                <w:color w:val="000000"/>
                <w:sz w:val="20"/>
                <w:szCs w:val="20"/>
              </w:rPr>
              <w:t xml:space="preserve"> is not needed for </w:t>
            </w:r>
            <w:r w:rsidR="003B706A" w:rsidRPr="0009281F">
              <w:rPr>
                <w:rFonts w:ascii="Calibri" w:hAnsi="Calibri" w:cs="Calibri"/>
                <w:color w:val="000000"/>
                <w:sz w:val="20"/>
                <w:szCs w:val="20"/>
              </w:rPr>
              <w:t>each species</w:t>
            </w:r>
            <w:r w:rsidRPr="0009281F">
              <w:rPr>
                <w:rFonts w:ascii="Calibri" w:hAnsi="Calibri" w:cs="Calibri"/>
                <w:color w:val="000000"/>
                <w:sz w:val="20"/>
                <w:szCs w:val="20"/>
              </w:rPr>
              <w:t xml:space="preserve"> that is endangered </w:t>
            </w:r>
            <w:r w:rsidR="003B706A" w:rsidRPr="0009281F">
              <w:rPr>
                <w:rFonts w:ascii="Calibri" w:hAnsi="Calibri" w:cs="Calibri"/>
                <w:color w:val="000000"/>
                <w:sz w:val="20"/>
                <w:szCs w:val="20"/>
              </w:rPr>
              <w:t>and threatened</w:t>
            </w:r>
            <w:r w:rsidRPr="0009281F">
              <w:rPr>
                <w:rFonts w:ascii="Calibri" w:hAnsi="Calibri" w:cs="Calibri"/>
                <w:color w:val="000000"/>
                <w:sz w:val="20"/>
                <w:szCs w:val="20"/>
              </w:rPr>
              <w:t xml:space="preserve"> since general </w:t>
            </w:r>
            <w:r w:rsidR="003B706A" w:rsidRPr="0009281F">
              <w:rPr>
                <w:rFonts w:ascii="Calibri" w:hAnsi="Calibri" w:cs="Calibri"/>
                <w:color w:val="000000"/>
                <w:sz w:val="20"/>
                <w:szCs w:val="20"/>
              </w:rPr>
              <w:t>habitat protection</w:t>
            </w:r>
            <w:r w:rsidRPr="0009281F">
              <w:rPr>
                <w:rFonts w:ascii="Calibri" w:hAnsi="Calibri" w:cs="Calibri"/>
                <w:color w:val="000000"/>
                <w:sz w:val="20"/>
                <w:szCs w:val="20"/>
              </w:rPr>
              <w:t xml:space="preserve"> applies and can </w:t>
            </w:r>
            <w:r w:rsidR="003B706A" w:rsidRPr="0009281F">
              <w:rPr>
                <w:rFonts w:ascii="Calibri" w:hAnsi="Calibri" w:cs="Calibri"/>
                <w:color w:val="000000"/>
                <w:sz w:val="20"/>
                <w:szCs w:val="20"/>
              </w:rPr>
              <w:t>be clarified</w:t>
            </w:r>
            <w:r w:rsidRPr="0009281F">
              <w:rPr>
                <w:rFonts w:ascii="Calibri" w:hAnsi="Calibri" w:cs="Calibri"/>
                <w:color w:val="000000"/>
                <w:sz w:val="20"/>
                <w:szCs w:val="20"/>
              </w:rPr>
              <w:t xml:space="preserve"> </w:t>
            </w:r>
            <w:proofErr w:type="gramStart"/>
            <w:r w:rsidRPr="0009281F">
              <w:rPr>
                <w:rFonts w:ascii="Calibri" w:hAnsi="Calibri" w:cs="Calibri"/>
                <w:color w:val="000000"/>
                <w:sz w:val="20"/>
                <w:szCs w:val="20"/>
              </w:rPr>
              <w:t>through the use of</w:t>
            </w:r>
            <w:proofErr w:type="gramEnd"/>
            <w:r w:rsidRPr="0009281F">
              <w:rPr>
                <w:rFonts w:ascii="Calibri" w:hAnsi="Calibri" w:cs="Calibri"/>
                <w:color w:val="000000"/>
                <w:sz w:val="20"/>
                <w:szCs w:val="20"/>
              </w:rPr>
              <w:t xml:space="preserve"> </w:t>
            </w:r>
            <w:r w:rsidR="003B706A" w:rsidRPr="0009281F">
              <w:rPr>
                <w:rFonts w:ascii="Calibri" w:hAnsi="Calibri" w:cs="Calibri"/>
                <w:color w:val="000000"/>
                <w:sz w:val="20"/>
                <w:szCs w:val="20"/>
              </w:rPr>
              <w:t>general habitat</w:t>
            </w:r>
            <w:r w:rsidRPr="0009281F">
              <w:rPr>
                <w:rFonts w:ascii="Calibri" w:hAnsi="Calibri" w:cs="Calibri"/>
                <w:color w:val="000000"/>
                <w:sz w:val="20"/>
                <w:szCs w:val="20"/>
              </w:rPr>
              <w:t xml:space="preserve"> descriptions.</w:t>
            </w:r>
          </w:p>
          <w:p w14:paraId="41C6084C" w14:textId="77777777" w:rsidR="00BC306E" w:rsidRPr="0009281F" w:rsidRDefault="00BC306E" w:rsidP="00933F2B">
            <w:pPr>
              <w:rPr>
                <w:sz w:val="20"/>
                <w:szCs w:val="20"/>
              </w:rPr>
            </w:pPr>
          </w:p>
        </w:tc>
        <w:tc>
          <w:tcPr>
            <w:tcW w:w="3542" w:type="dxa"/>
          </w:tcPr>
          <w:p w14:paraId="65392C0A" w14:textId="77777777" w:rsidR="00BC306E" w:rsidRPr="0009281F" w:rsidRDefault="00BC306E" w:rsidP="00BC306E">
            <w:pPr>
              <w:autoSpaceDE w:val="0"/>
              <w:autoSpaceDN w:val="0"/>
              <w:adjustRightInd w:val="0"/>
              <w:rPr>
                <w:rFonts w:ascii="Calibri" w:hAnsi="Calibri" w:cs="Calibri"/>
                <w:color w:val="000000"/>
                <w:sz w:val="20"/>
                <w:szCs w:val="20"/>
              </w:rPr>
            </w:pPr>
          </w:p>
          <w:p w14:paraId="5D5B7311" w14:textId="77777777" w:rsidR="00BC306E" w:rsidRPr="0009281F" w:rsidRDefault="00BC306E" w:rsidP="00BC306E">
            <w:pPr>
              <w:autoSpaceDE w:val="0"/>
              <w:autoSpaceDN w:val="0"/>
              <w:adjustRightInd w:val="0"/>
              <w:rPr>
                <w:rFonts w:ascii="Calibri" w:hAnsi="Calibri" w:cs="Calibri"/>
                <w:color w:val="000000"/>
                <w:sz w:val="20"/>
                <w:szCs w:val="20"/>
              </w:rPr>
            </w:pPr>
            <w:r w:rsidRPr="0009281F">
              <w:rPr>
                <w:rFonts w:ascii="Calibri" w:hAnsi="Calibri" w:cs="Calibri"/>
                <w:color w:val="000000"/>
                <w:sz w:val="20"/>
                <w:szCs w:val="20"/>
              </w:rPr>
              <w:t xml:space="preserve">In what circumstances is the development of a </w:t>
            </w:r>
            <w:r w:rsidR="003B706A" w:rsidRPr="0009281F">
              <w:rPr>
                <w:rFonts w:ascii="Calibri" w:hAnsi="Calibri" w:cs="Calibri"/>
                <w:color w:val="000000"/>
                <w:sz w:val="20"/>
                <w:szCs w:val="20"/>
              </w:rPr>
              <w:t>habitat regulation</w:t>
            </w:r>
            <w:r w:rsidRPr="0009281F">
              <w:rPr>
                <w:rFonts w:ascii="Calibri" w:hAnsi="Calibri" w:cs="Calibri"/>
                <w:color w:val="000000"/>
                <w:sz w:val="20"/>
                <w:szCs w:val="20"/>
              </w:rPr>
              <w:t xml:space="preserve"> warranted, or not warranted? (e.g., to </w:t>
            </w:r>
            <w:r w:rsidR="003B706A" w:rsidRPr="0009281F">
              <w:rPr>
                <w:rFonts w:ascii="Calibri" w:hAnsi="Calibri" w:cs="Calibri"/>
                <w:color w:val="000000"/>
                <w:sz w:val="20"/>
                <w:szCs w:val="20"/>
              </w:rPr>
              <w:t>improve certainty</w:t>
            </w:r>
            <w:r w:rsidRPr="0009281F">
              <w:rPr>
                <w:rFonts w:ascii="Calibri" w:hAnsi="Calibri" w:cs="Calibri"/>
                <w:color w:val="000000"/>
                <w:sz w:val="20"/>
                <w:szCs w:val="20"/>
              </w:rPr>
              <w:t xml:space="preserve"> for businesses and others about the scope </w:t>
            </w:r>
            <w:r w:rsidR="003B706A" w:rsidRPr="0009281F">
              <w:rPr>
                <w:rFonts w:ascii="Calibri" w:hAnsi="Calibri" w:cs="Calibri"/>
                <w:color w:val="000000"/>
                <w:sz w:val="20"/>
                <w:szCs w:val="20"/>
              </w:rPr>
              <w:t>of habitat</w:t>
            </w:r>
            <w:r w:rsidRPr="0009281F">
              <w:rPr>
                <w:rFonts w:ascii="Calibri" w:hAnsi="Calibri" w:cs="Calibri"/>
                <w:color w:val="000000"/>
                <w:sz w:val="20"/>
                <w:szCs w:val="20"/>
              </w:rPr>
              <w:t xml:space="preserve"> that is protected.)</w:t>
            </w:r>
          </w:p>
          <w:p w14:paraId="185A418C" w14:textId="77777777" w:rsidR="00BC306E" w:rsidRPr="0009281F" w:rsidRDefault="00BC306E" w:rsidP="00933F2B">
            <w:pPr>
              <w:rPr>
                <w:sz w:val="20"/>
                <w:szCs w:val="20"/>
              </w:rPr>
            </w:pPr>
          </w:p>
        </w:tc>
        <w:tc>
          <w:tcPr>
            <w:tcW w:w="3544" w:type="dxa"/>
          </w:tcPr>
          <w:p w14:paraId="65972F16" w14:textId="061B03C5" w:rsidR="00531BC3" w:rsidRPr="0009281F" w:rsidRDefault="00531BC3" w:rsidP="00933F2B">
            <w:pPr>
              <w:rPr>
                <w:sz w:val="20"/>
                <w:szCs w:val="20"/>
              </w:rPr>
            </w:pPr>
            <w:r w:rsidRPr="0009281F">
              <w:rPr>
                <w:sz w:val="20"/>
                <w:szCs w:val="20"/>
              </w:rPr>
              <w:t>General habitat descriptions have replaced habitat regulations for most species. However, proponents are not being provided with</w:t>
            </w:r>
            <w:r w:rsidR="00851805" w:rsidRPr="0009281F">
              <w:rPr>
                <w:sz w:val="20"/>
                <w:szCs w:val="20"/>
              </w:rPr>
              <w:t xml:space="preserve"> timely guidance on identifying and delineating habitat for species at risk</w:t>
            </w:r>
            <w:r w:rsidRPr="0009281F">
              <w:rPr>
                <w:sz w:val="20"/>
                <w:szCs w:val="20"/>
              </w:rPr>
              <w:t xml:space="preserve"> and advice varies by District and among Ministry Biologists</w:t>
            </w:r>
            <w:r w:rsidR="00851805" w:rsidRPr="0009281F">
              <w:rPr>
                <w:sz w:val="20"/>
                <w:szCs w:val="20"/>
              </w:rPr>
              <w:t xml:space="preserve">.  </w:t>
            </w:r>
            <w:r w:rsidRPr="0009281F">
              <w:rPr>
                <w:sz w:val="20"/>
                <w:szCs w:val="20"/>
              </w:rPr>
              <w:t xml:space="preserve">This leads to uncertainly in project approvals and requirements.  </w:t>
            </w:r>
            <w:r w:rsidR="00851805" w:rsidRPr="0009281F">
              <w:rPr>
                <w:sz w:val="20"/>
                <w:szCs w:val="20"/>
              </w:rPr>
              <w:t xml:space="preserve">For example, provincial guidance on habitat for bat species at risk is not yet </w:t>
            </w:r>
            <w:r w:rsidR="00851805" w:rsidRPr="0009281F">
              <w:rPr>
                <w:sz w:val="20"/>
                <w:szCs w:val="20"/>
              </w:rPr>
              <w:lastRenderedPageBreak/>
              <w:t xml:space="preserve">available, </w:t>
            </w:r>
            <w:r w:rsidRPr="0009281F">
              <w:rPr>
                <w:sz w:val="20"/>
                <w:szCs w:val="20"/>
              </w:rPr>
              <w:t xml:space="preserve">despite these species being listed </w:t>
            </w:r>
            <w:r w:rsidR="00851805" w:rsidRPr="0009281F">
              <w:rPr>
                <w:sz w:val="20"/>
                <w:szCs w:val="20"/>
              </w:rPr>
              <w:t xml:space="preserve">over 6 years </w:t>
            </w:r>
            <w:r w:rsidRPr="0009281F">
              <w:rPr>
                <w:sz w:val="20"/>
                <w:szCs w:val="20"/>
              </w:rPr>
              <w:t>ago</w:t>
            </w:r>
            <w:r w:rsidR="00851805" w:rsidRPr="0009281F">
              <w:rPr>
                <w:sz w:val="20"/>
                <w:szCs w:val="20"/>
              </w:rPr>
              <w:t xml:space="preserve">.  </w:t>
            </w:r>
          </w:p>
          <w:p w14:paraId="4D19598F" w14:textId="77777777" w:rsidR="00531BC3" w:rsidRPr="0009281F" w:rsidRDefault="00531BC3" w:rsidP="00933F2B">
            <w:pPr>
              <w:rPr>
                <w:sz w:val="20"/>
                <w:szCs w:val="20"/>
              </w:rPr>
            </w:pPr>
          </w:p>
          <w:p w14:paraId="599160B0" w14:textId="556C4806" w:rsidR="00BC306E" w:rsidRPr="0009281F" w:rsidRDefault="00531BC3" w:rsidP="00933F2B">
            <w:pPr>
              <w:rPr>
                <w:sz w:val="20"/>
                <w:szCs w:val="20"/>
              </w:rPr>
            </w:pPr>
            <w:r w:rsidRPr="0009281F">
              <w:rPr>
                <w:sz w:val="20"/>
                <w:szCs w:val="20"/>
              </w:rPr>
              <w:t>There is strong evidence that strong habitat protection has positive impacts on species recovery (for those species where loss of habitat is contributing to population decline), so the Ministry needs to provide clear and consistent information and commit to developing habitat regulations.</w:t>
            </w:r>
            <w:r w:rsidR="00851805" w:rsidRPr="0009281F">
              <w:rPr>
                <w:sz w:val="20"/>
                <w:szCs w:val="20"/>
              </w:rPr>
              <w:t xml:space="preserve"> </w:t>
            </w:r>
          </w:p>
        </w:tc>
      </w:tr>
    </w:tbl>
    <w:p w14:paraId="1515143D" w14:textId="77777777" w:rsidR="00CC625E" w:rsidRDefault="00CC625E"/>
    <w:p w14:paraId="64B62E11" w14:textId="77777777" w:rsidR="00231E15" w:rsidRDefault="00231E15">
      <w:pPr>
        <w:rPr>
          <w:b/>
        </w:rPr>
      </w:pPr>
    </w:p>
    <w:p w14:paraId="3C122E13" w14:textId="77777777" w:rsidR="00CC625E" w:rsidRPr="00231E15" w:rsidRDefault="00CC625E">
      <w:pPr>
        <w:rPr>
          <w:b/>
        </w:rPr>
      </w:pPr>
      <w:r w:rsidRPr="00231E15">
        <w:rPr>
          <w:b/>
        </w:rPr>
        <w:t>Area of Focus 4 – Authorization Processes</w:t>
      </w:r>
    </w:p>
    <w:p w14:paraId="17A72536" w14:textId="77777777" w:rsidR="00231E15" w:rsidRDefault="00231E15" w:rsidP="00231E15"/>
    <w:tbl>
      <w:tblPr>
        <w:tblStyle w:val="TableGrid"/>
        <w:tblW w:w="10673" w:type="dxa"/>
        <w:tblLook w:val="04A0" w:firstRow="1" w:lastRow="0" w:firstColumn="1" w:lastColumn="0" w:noHBand="0" w:noVBand="1"/>
      </w:tblPr>
      <w:tblGrid>
        <w:gridCol w:w="3557"/>
        <w:gridCol w:w="3557"/>
        <w:gridCol w:w="3559"/>
      </w:tblGrid>
      <w:tr w:rsidR="00BC306E" w14:paraId="71D06057" w14:textId="77777777" w:rsidTr="00BC306E">
        <w:trPr>
          <w:trHeight w:val="257"/>
        </w:trPr>
        <w:tc>
          <w:tcPr>
            <w:tcW w:w="3557" w:type="dxa"/>
          </w:tcPr>
          <w:p w14:paraId="024B4E4E" w14:textId="77777777" w:rsidR="00BC306E" w:rsidRPr="00231E15" w:rsidRDefault="00BC306E" w:rsidP="00933F2B">
            <w:pPr>
              <w:rPr>
                <w:b/>
              </w:rPr>
            </w:pPr>
            <w:r w:rsidRPr="00231E15">
              <w:rPr>
                <w:b/>
              </w:rPr>
              <w:t>Challenge</w:t>
            </w:r>
          </w:p>
        </w:tc>
        <w:tc>
          <w:tcPr>
            <w:tcW w:w="3557" w:type="dxa"/>
          </w:tcPr>
          <w:p w14:paraId="1E07B6F8" w14:textId="77777777" w:rsidR="00BC306E" w:rsidRPr="00231E15" w:rsidRDefault="00BC306E" w:rsidP="00933F2B">
            <w:pPr>
              <w:rPr>
                <w:b/>
              </w:rPr>
            </w:pPr>
            <w:r w:rsidRPr="00231E15">
              <w:rPr>
                <w:b/>
              </w:rPr>
              <w:t>Discussion Question</w:t>
            </w:r>
          </w:p>
        </w:tc>
        <w:tc>
          <w:tcPr>
            <w:tcW w:w="3559" w:type="dxa"/>
          </w:tcPr>
          <w:p w14:paraId="2902F727" w14:textId="77777777" w:rsidR="00BC306E" w:rsidRPr="00231E15" w:rsidRDefault="00BC306E" w:rsidP="00933F2B">
            <w:pPr>
              <w:rPr>
                <w:b/>
              </w:rPr>
            </w:pPr>
            <w:r w:rsidRPr="00231E15">
              <w:rPr>
                <w:b/>
              </w:rPr>
              <w:t>Stantec Input</w:t>
            </w:r>
          </w:p>
        </w:tc>
      </w:tr>
      <w:tr w:rsidR="00BC306E" w:rsidRPr="0009281F" w14:paraId="2C29C11F" w14:textId="77777777" w:rsidTr="00BC306E">
        <w:trPr>
          <w:trHeight w:val="247"/>
        </w:trPr>
        <w:tc>
          <w:tcPr>
            <w:tcW w:w="3557" w:type="dxa"/>
          </w:tcPr>
          <w:p w14:paraId="620CED41" w14:textId="77777777" w:rsidR="005D37C8" w:rsidRPr="0009281F" w:rsidRDefault="005D37C8" w:rsidP="005D37C8">
            <w:pPr>
              <w:autoSpaceDE w:val="0"/>
              <w:autoSpaceDN w:val="0"/>
              <w:adjustRightInd w:val="0"/>
              <w:rPr>
                <w:rFonts w:ascii="Calibri" w:hAnsi="Calibri" w:cs="Calibri"/>
                <w:color w:val="000000"/>
                <w:sz w:val="20"/>
                <w:szCs w:val="20"/>
              </w:rPr>
            </w:pPr>
          </w:p>
          <w:p w14:paraId="24F6B600" w14:textId="77777777" w:rsidR="005D37C8" w:rsidRPr="0009281F" w:rsidRDefault="005D37C8" w:rsidP="005D37C8">
            <w:pPr>
              <w:autoSpaceDE w:val="0"/>
              <w:autoSpaceDN w:val="0"/>
              <w:adjustRightInd w:val="0"/>
              <w:rPr>
                <w:rFonts w:ascii="Calibri" w:hAnsi="Calibri" w:cs="Calibri"/>
                <w:color w:val="000000"/>
                <w:sz w:val="20"/>
                <w:szCs w:val="20"/>
              </w:rPr>
            </w:pPr>
            <w:r w:rsidRPr="0009281F">
              <w:rPr>
                <w:rFonts w:ascii="Calibri" w:hAnsi="Calibri" w:cs="Calibri"/>
                <w:color w:val="000000"/>
                <w:sz w:val="20"/>
                <w:szCs w:val="20"/>
              </w:rPr>
              <w:t xml:space="preserve">Authorization processes can create significant administrative burdens and delays, </w:t>
            </w:r>
            <w:proofErr w:type="gramStart"/>
            <w:r w:rsidRPr="0009281F">
              <w:rPr>
                <w:rFonts w:ascii="Calibri" w:hAnsi="Calibri" w:cs="Calibri"/>
                <w:color w:val="000000"/>
                <w:sz w:val="20"/>
                <w:szCs w:val="20"/>
              </w:rPr>
              <w:t>in particular for</w:t>
            </w:r>
            <w:proofErr w:type="gramEnd"/>
            <w:r w:rsidRPr="0009281F">
              <w:rPr>
                <w:rFonts w:ascii="Calibri" w:hAnsi="Calibri" w:cs="Calibri"/>
                <w:color w:val="000000"/>
                <w:sz w:val="20"/>
                <w:szCs w:val="20"/>
              </w:rPr>
              <w:t xml:space="preserve"> applicants filing numerous authorizations or registrations under the rules-in-regulations, for routine activities.</w:t>
            </w:r>
          </w:p>
          <w:p w14:paraId="27B0DA3F" w14:textId="77777777" w:rsidR="00BC306E" w:rsidRPr="0009281F" w:rsidRDefault="00BC306E" w:rsidP="00933F2B">
            <w:pPr>
              <w:rPr>
                <w:sz w:val="20"/>
                <w:szCs w:val="20"/>
              </w:rPr>
            </w:pPr>
          </w:p>
        </w:tc>
        <w:tc>
          <w:tcPr>
            <w:tcW w:w="3557" w:type="dxa"/>
          </w:tcPr>
          <w:p w14:paraId="46B157DC" w14:textId="77777777" w:rsidR="005D37C8" w:rsidRPr="0009281F" w:rsidRDefault="005D37C8" w:rsidP="005D37C8">
            <w:pPr>
              <w:autoSpaceDE w:val="0"/>
              <w:autoSpaceDN w:val="0"/>
              <w:adjustRightInd w:val="0"/>
              <w:rPr>
                <w:rFonts w:ascii="Calibri" w:hAnsi="Calibri" w:cs="Calibri"/>
                <w:color w:val="000000"/>
                <w:sz w:val="20"/>
                <w:szCs w:val="20"/>
              </w:rPr>
            </w:pPr>
          </w:p>
          <w:p w14:paraId="1C847CDF" w14:textId="781672AB" w:rsidR="005D37C8" w:rsidRPr="0009281F" w:rsidRDefault="005D37C8" w:rsidP="005D37C8">
            <w:pPr>
              <w:autoSpaceDE w:val="0"/>
              <w:autoSpaceDN w:val="0"/>
              <w:adjustRightInd w:val="0"/>
              <w:rPr>
                <w:rFonts w:ascii="Calibri" w:hAnsi="Calibri" w:cs="Calibri"/>
                <w:color w:val="000000"/>
                <w:sz w:val="20"/>
                <w:szCs w:val="20"/>
              </w:rPr>
            </w:pPr>
            <w:r w:rsidRPr="0009281F">
              <w:rPr>
                <w:rFonts w:ascii="Calibri" w:hAnsi="Calibri" w:cs="Calibri"/>
                <w:color w:val="000000"/>
                <w:sz w:val="20"/>
                <w:szCs w:val="20"/>
              </w:rPr>
              <w:t>What new authorization tools could help businesses achieve benefits for species at risk? (e.g., in lieu of activity-based requirements enable paying into a conservation fund dedicated to species at risk conservation</w:t>
            </w:r>
            <w:r w:rsidR="00F86BDD" w:rsidRPr="0009281F">
              <w:rPr>
                <w:rFonts w:ascii="Calibri" w:hAnsi="Calibri" w:cs="Calibri"/>
                <w:color w:val="000000"/>
                <w:sz w:val="20"/>
                <w:szCs w:val="20"/>
              </w:rPr>
              <w:t xml:space="preserve"> </w:t>
            </w:r>
            <w:r w:rsidRPr="0009281F">
              <w:rPr>
                <w:rFonts w:ascii="Calibri" w:hAnsi="Calibri" w:cs="Calibri"/>
                <w:color w:val="000000"/>
                <w:sz w:val="20"/>
                <w:szCs w:val="20"/>
              </w:rPr>
              <w:t>or allow conservation banking to enable addressing requirements for species at risk prior to activities.)</w:t>
            </w:r>
          </w:p>
          <w:p w14:paraId="21B74AB5" w14:textId="77777777" w:rsidR="00BC306E" w:rsidRPr="0009281F" w:rsidRDefault="00BC306E" w:rsidP="00933F2B">
            <w:pPr>
              <w:rPr>
                <w:sz w:val="20"/>
                <w:szCs w:val="20"/>
              </w:rPr>
            </w:pPr>
          </w:p>
        </w:tc>
        <w:tc>
          <w:tcPr>
            <w:tcW w:w="3559" w:type="dxa"/>
          </w:tcPr>
          <w:p w14:paraId="0FB9D77A" w14:textId="41CBF872" w:rsidR="00CE06D2" w:rsidRPr="0009281F" w:rsidRDefault="00CE06D2" w:rsidP="00933F2B">
            <w:pPr>
              <w:rPr>
                <w:sz w:val="20"/>
                <w:szCs w:val="20"/>
              </w:rPr>
            </w:pPr>
            <w:r w:rsidRPr="0009281F">
              <w:rPr>
                <w:sz w:val="20"/>
                <w:szCs w:val="20"/>
              </w:rPr>
              <w:t xml:space="preserve">Consider use of provincial wide “compensation banks” to achieve overall benefit requirements of 17 (2)c permits.  Currently, </w:t>
            </w:r>
            <w:r w:rsidR="00E277BF" w:rsidRPr="0009281F">
              <w:rPr>
                <w:sz w:val="20"/>
                <w:szCs w:val="20"/>
              </w:rPr>
              <w:t xml:space="preserve">some of the bigger objectives in Recovery Strategies or GRS are not achievable under a single 17 (2)c permit.  However, if there was an ability for several proponents to contribute to an overall benefit bank, these bigger objectives could be met, leading to a greater benefit for individual species.  Such a bank would not necessarily need to be government owned (it could be with a third party such as </w:t>
            </w:r>
            <w:r w:rsidR="00531BC3" w:rsidRPr="0009281F">
              <w:rPr>
                <w:sz w:val="20"/>
                <w:szCs w:val="20"/>
              </w:rPr>
              <w:t xml:space="preserve">ENGOS or </w:t>
            </w:r>
            <w:r w:rsidR="00E277BF" w:rsidRPr="0009281F">
              <w:rPr>
                <w:sz w:val="20"/>
                <w:szCs w:val="20"/>
              </w:rPr>
              <w:t xml:space="preserve">academic institutes).  However, we believe MECP leadership is required to initiate and oversee such banks / programs.  </w:t>
            </w:r>
            <w:r w:rsidR="00531BC3" w:rsidRPr="0009281F">
              <w:rPr>
                <w:sz w:val="20"/>
                <w:szCs w:val="20"/>
              </w:rPr>
              <w:t xml:space="preserve">If the Ministry implements the use of compensation banks, there must be clear guidance on when and where it can be used. </w:t>
            </w:r>
            <w:r w:rsidR="00FD374F" w:rsidRPr="0009281F">
              <w:rPr>
                <w:sz w:val="20"/>
                <w:szCs w:val="20"/>
              </w:rPr>
              <w:t>It must not be used for species with small population sizes and very specific habitat requirements, which cannot be recreated elsewhere on the landscape.</w:t>
            </w:r>
          </w:p>
          <w:p w14:paraId="678C0F00" w14:textId="77777777" w:rsidR="00CE06D2" w:rsidRPr="0009281F" w:rsidRDefault="00CE06D2" w:rsidP="00933F2B">
            <w:pPr>
              <w:rPr>
                <w:sz w:val="20"/>
                <w:szCs w:val="20"/>
              </w:rPr>
            </w:pPr>
          </w:p>
          <w:p w14:paraId="03286F3C" w14:textId="77777777" w:rsidR="004C19D6" w:rsidRPr="0009281F" w:rsidRDefault="004C19D6" w:rsidP="00933F2B">
            <w:pPr>
              <w:rPr>
                <w:sz w:val="20"/>
                <w:szCs w:val="20"/>
              </w:rPr>
            </w:pPr>
            <w:r w:rsidRPr="0009281F">
              <w:rPr>
                <w:sz w:val="20"/>
                <w:szCs w:val="20"/>
              </w:rPr>
              <w:t xml:space="preserve">The forms currently used for ESA authorizations (i.e. IGF, AAF, CPAF) need reworking.   For example, PDF’s are not very user friendly.  Information is repetitive between forms, with a small change in one form causing a cascading series of changes in all forms.  IGF could </w:t>
            </w:r>
            <w:r w:rsidRPr="0009281F">
              <w:rPr>
                <w:sz w:val="20"/>
                <w:szCs w:val="20"/>
              </w:rPr>
              <w:lastRenderedPageBreak/>
              <w:t xml:space="preserve">consider avoidance measures to be taken into consideration if an authorization is required (having to wait for the AAF stage causes un-needed delays).  </w:t>
            </w:r>
          </w:p>
          <w:p w14:paraId="41400A6B" w14:textId="77777777" w:rsidR="004C19D6" w:rsidRPr="0009281F" w:rsidRDefault="004C19D6" w:rsidP="00933F2B">
            <w:pPr>
              <w:rPr>
                <w:sz w:val="20"/>
                <w:szCs w:val="20"/>
              </w:rPr>
            </w:pPr>
          </w:p>
          <w:p w14:paraId="50DC7880" w14:textId="05078611" w:rsidR="004C19D6" w:rsidRPr="0009281F" w:rsidRDefault="004C19D6" w:rsidP="00933F2B">
            <w:pPr>
              <w:rPr>
                <w:sz w:val="20"/>
                <w:szCs w:val="20"/>
              </w:rPr>
            </w:pPr>
            <w:r w:rsidRPr="0009281F">
              <w:rPr>
                <w:sz w:val="20"/>
                <w:szCs w:val="20"/>
              </w:rPr>
              <w:t xml:space="preserve">Timelines for a permit (6 months </w:t>
            </w:r>
            <w:r w:rsidR="00851805" w:rsidRPr="0009281F">
              <w:rPr>
                <w:sz w:val="20"/>
                <w:szCs w:val="20"/>
              </w:rPr>
              <w:t>+) can cause delays to projects.  Two time periods that take the longest, where improvements could be made, include</w:t>
            </w:r>
            <w:r w:rsidR="00FD374F" w:rsidRPr="0009281F">
              <w:rPr>
                <w:sz w:val="20"/>
                <w:szCs w:val="20"/>
              </w:rPr>
              <w:t>:</w:t>
            </w:r>
            <w:r w:rsidR="00851805" w:rsidRPr="0009281F">
              <w:rPr>
                <w:sz w:val="20"/>
                <w:szCs w:val="20"/>
              </w:rPr>
              <w:t xml:space="preserve"> </w:t>
            </w:r>
            <w:r w:rsidR="00FD374F" w:rsidRPr="0009281F">
              <w:rPr>
                <w:sz w:val="20"/>
                <w:szCs w:val="20"/>
              </w:rPr>
              <w:t xml:space="preserve">(1) </w:t>
            </w:r>
            <w:r w:rsidR="00851805" w:rsidRPr="0009281F">
              <w:rPr>
                <w:sz w:val="20"/>
                <w:szCs w:val="20"/>
              </w:rPr>
              <w:t>more staffing at the initial, application review stage</w:t>
            </w:r>
            <w:r w:rsidR="00FD374F" w:rsidRPr="0009281F">
              <w:rPr>
                <w:sz w:val="20"/>
                <w:szCs w:val="20"/>
              </w:rPr>
              <w:t xml:space="preserve"> and (2) f</w:t>
            </w:r>
            <w:r w:rsidR="00851805" w:rsidRPr="0009281F">
              <w:rPr>
                <w:sz w:val="20"/>
                <w:szCs w:val="20"/>
              </w:rPr>
              <w:t>aster and more efficient ministerial sign off.</w:t>
            </w:r>
          </w:p>
          <w:p w14:paraId="350797E0" w14:textId="77777777" w:rsidR="00396018" w:rsidRPr="0009281F" w:rsidRDefault="00396018" w:rsidP="00933F2B">
            <w:pPr>
              <w:rPr>
                <w:sz w:val="20"/>
                <w:szCs w:val="20"/>
              </w:rPr>
            </w:pPr>
          </w:p>
          <w:p w14:paraId="7F5A29E3" w14:textId="44987386" w:rsidR="00497C0A" w:rsidRPr="0009281F" w:rsidRDefault="00497C0A" w:rsidP="00933F2B">
            <w:pPr>
              <w:rPr>
                <w:sz w:val="20"/>
                <w:szCs w:val="20"/>
              </w:rPr>
            </w:pPr>
            <w:r w:rsidRPr="0009281F">
              <w:rPr>
                <w:sz w:val="20"/>
                <w:szCs w:val="20"/>
              </w:rPr>
              <w:t xml:space="preserve">Within MNRF, there is a culture of staff turnover, with staff being encouraged to </w:t>
            </w:r>
            <w:r w:rsidR="00FD374F" w:rsidRPr="0009281F">
              <w:rPr>
                <w:sz w:val="20"/>
                <w:szCs w:val="20"/>
              </w:rPr>
              <w:t>move</w:t>
            </w:r>
            <w:r w:rsidRPr="0009281F">
              <w:rPr>
                <w:sz w:val="20"/>
                <w:szCs w:val="20"/>
              </w:rPr>
              <w:t xml:space="preserve"> on </w:t>
            </w:r>
            <w:r w:rsidR="00FD374F" w:rsidRPr="0009281F">
              <w:rPr>
                <w:sz w:val="20"/>
                <w:szCs w:val="20"/>
              </w:rPr>
              <w:t xml:space="preserve">to </w:t>
            </w:r>
            <w:r w:rsidRPr="0009281F">
              <w:rPr>
                <w:sz w:val="20"/>
                <w:szCs w:val="20"/>
              </w:rPr>
              <w:t xml:space="preserve">different roles </w:t>
            </w:r>
            <w:r w:rsidR="00FD374F" w:rsidRPr="0009281F">
              <w:rPr>
                <w:sz w:val="20"/>
                <w:szCs w:val="20"/>
              </w:rPr>
              <w:t>to advance their careers</w:t>
            </w:r>
            <w:r w:rsidRPr="0009281F">
              <w:rPr>
                <w:sz w:val="20"/>
                <w:szCs w:val="20"/>
              </w:rPr>
              <w:t xml:space="preserve">.  </w:t>
            </w:r>
            <w:r w:rsidR="00FD374F" w:rsidRPr="0009281F">
              <w:rPr>
                <w:sz w:val="20"/>
                <w:szCs w:val="20"/>
              </w:rPr>
              <w:t>This leads</w:t>
            </w:r>
            <w:r w:rsidRPr="0009281F">
              <w:rPr>
                <w:sz w:val="20"/>
                <w:szCs w:val="20"/>
              </w:rPr>
              <w:t xml:space="preserve"> to delays and uncertainly in the permitting process.  New staff are less familiar with permitting requirements and processes and not familiar with </w:t>
            </w:r>
            <w:r w:rsidR="00FD374F" w:rsidRPr="0009281F">
              <w:rPr>
                <w:sz w:val="20"/>
                <w:szCs w:val="20"/>
              </w:rPr>
              <w:t xml:space="preserve">the </w:t>
            </w:r>
            <w:r w:rsidRPr="0009281F">
              <w:rPr>
                <w:sz w:val="20"/>
                <w:szCs w:val="20"/>
              </w:rPr>
              <w:t>history o</w:t>
            </w:r>
            <w:r w:rsidR="00FD374F" w:rsidRPr="0009281F">
              <w:rPr>
                <w:sz w:val="20"/>
                <w:szCs w:val="20"/>
              </w:rPr>
              <w:t>f</w:t>
            </w:r>
            <w:r w:rsidRPr="0009281F">
              <w:rPr>
                <w:sz w:val="20"/>
                <w:szCs w:val="20"/>
              </w:rPr>
              <w:t xml:space="preserve"> </w:t>
            </w:r>
            <w:r w:rsidR="00FD374F" w:rsidRPr="0009281F">
              <w:rPr>
                <w:sz w:val="20"/>
                <w:szCs w:val="20"/>
              </w:rPr>
              <w:t>projects</w:t>
            </w:r>
            <w:r w:rsidRPr="0009281F">
              <w:rPr>
                <w:sz w:val="20"/>
                <w:szCs w:val="20"/>
              </w:rPr>
              <w:t xml:space="preserve">.  As administration of the ESA moves from MNRF to MECP, we recommend a focus and incentives to acquire and retain the best qualified management biologists for this role.  </w:t>
            </w:r>
          </w:p>
          <w:p w14:paraId="4105EE8A" w14:textId="52E60E24" w:rsidR="00497C0A" w:rsidRPr="0009281F" w:rsidRDefault="00497C0A" w:rsidP="00933F2B">
            <w:pPr>
              <w:rPr>
                <w:sz w:val="20"/>
                <w:szCs w:val="20"/>
              </w:rPr>
            </w:pPr>
            <w:r w:rsidRPr="0009281F">
              <w:rPr>
                <w:sz w:val="20"/>
                <w:szCs w:val="20"/>
              </w:rPr>
              <w:t xml:space="preserve">It is a highly important role to obtain project approvals in Ontario and a role that appears to have been </w:t>
            </w:r>
            <w:r w:rsidR="00F86BDD" w:rsidRPr="0009281F">
              <w:rPr>
                <w:sz w:val="20"/>
                <w:szCs w:val="20"/>
              </w:rPr>
              <w:t>undervalued</w:t>
            </w:r>
            <w:r w:rsidRPr="0009281F">
              <w:rPr>
                <w:sz w:val="20"/>
                <w:szCs w:val="20"/>
              </w:rPr>
              <w:t xml:space="preserve"> to date. </w:t>
            </w:r>
          </w:p>
          <w:p w14:paraId="1B9CEE64" w14:textId="77777777" w:rsidR="00836FD8" w:rsidRPr="0009281F" w:rsidRDefault="00836FD8" w:rsidP="00933F2B">
            <w:pPr>
              <w:rPr>
                <w:sz w:val="20"/>
                <w:szCs w:val="20"/>
              </w:rPr>
            </w:pPr>
          </w:p>
          <w:p w14:paraId="6E722607" w14:textId="6C875CB2" w:rsidR="00836FD8" w:rsidRPr="0009281F" w:rsidRDefault="00836FD8" w:rsidP="00933F2B">
            <w:pPr>
              <w:rPr>
                <w:sz w:val="20"/>
                <w:szCs w:val="20"/>
              </w:rPr>
            </w:pPr>
            <w:r w:rsidRPr="0009281F">
              <w:rPr>
                <w:sz w:val="20"/>
                <w:szCs w:val="20"/>
              </w:rPr>
              <w:t xml:space="preserve">The Ministry should also consider dedicating staff to pre-consultation </w:t>
            </w:r>
            <w:r w:rsidR="00FD374F" w:rsidRPr="0009281F">
              <w:rPr>
                <w:sz w:val="20"/>
                <w:szCs w:val="20"/>
              </w:rPr>
              <w:t xml:space="preserve">so that </w:t>
            </w:r>
            <w:r w:rsidRPr="0009281F">
              <w:rPr>
                <w:sz w:val="20"/>
                <w:szCs w:val="20"/>
              </w:rPr>
              <w:t xml:space="preserve">ESA issues, processes and timelines </w:t>
            </w:r>
            <w:r w:rsidR="00FD374F" w:rsidRPr="0009281F">
              <w:rPr>
                <w:sz w:val="20"/>
                <w:szCs w:val="20"/>
              </w:rPr>
              <w:t xml:space="preserve">are identified (and documented) </w:t>
            </w:r>
            <w:r w:rsidRPr="0009281F">
              <w:rPr>
                <w:sz w:val="20"/>
                <w:szCs w:val="20"/>
              </w:rPr>
              <w:t>at project onset.</w:t>
            </w:r>
            <w:r w:rsidR="00FD374F" w:rsidRPr="0009281F">
              <w:rPr>
                <w:sz w:val="20"/>
                <w:szCs w:val="20"/>
              </w:rPr>
              <w:t xml:space="preserve"> This would improve efficiencies down the line.</w:t>
            </w:r>
          </w:p>
        </w:tc>
      </w:tr>
      <w:tr w:rsidR="00BC306E" w:rsidRPr="0009281F" w14:paraId="31E9C83D" w14:textId="77777777" w:rsidTr="00BC306E">
        <w:trPr>
          <w:trHeight w:val="257"/>
        </w:trPr>
        <w:tc>
          <w:tcPr>
            <w:tcW w:w="3557" w:type="dxa"/>
          </w:tcPr>
          <w:p w14:paraId="58E28F5D" w14:textId="77777777" w:rsidR="005D37C8" w:rsidRPr="0009281F" w:rsidRDefault="005D37C8" w:rsidP="005D37C8">
            <w:pPr>
              <w:autoSpaceDE w:val="0"/>
              <w:autoSpaceDN w:val="0"/>
              <w:adjustRightInd w:val="0"/>
              <w:rPr>
                <w:rFonts w:ascii="Calibri" w:hAnsi="Calibri" w:cs="Calibri"/>
                <w:color w:val="000000"/>
                <w:sz w:val="20"/>
                <w:szCs w:val="20"/>
              </w:rPr>
            </w:pPr>
          </w:p>
          <w:p w14:paraId="06A2B91B" w14:textId="77777777" w:rsidR="005D37C8" w:rsidRPr="0009281F" w:rsidRDefault="005D37C8" w:rsidP="005D37C8">
            <w:pPr>
              <w:autoSpaceDE w:val="0"/>
              <w:autoSpaceDN w:val="0"/>
              <w:adjustRightInd w:val="0"/>
              <w:rPr>
                <w:rFonts w:ascii="Calibri" w:hAnsi="Calibri" w:cs="Calibri"/>
                <w:color w:val="000000"/>
                <w:sz w:val="20"/>
                <w:szCs w:val="20"/>
              </w:rPr>
            </w:pPr>
            <w:r w:rsidRPr="0009281F">
              <w:rPr>
                <w:rFonts w:ascii="Calibri" w:hAnsi="Calibri" w:cs="Calibri"/>
                <w:color w:val="000000"/>
                <w:sz w:val="20"/>
                <w:szCs w:val="20"/>
              </w:rPr>
              <w:t>The requirements that applicants must fulfill to obtain an authorization can be extensive, creating barriers to economic development (e.g., in some cases achieving an overall benefit to a species as required under a s.17(2)(c) permit can be long, onerous, and unpredictable).</w:t>
            </w:r>
          </w:p>
          <w:p w14:paraId="2BA3FDE0" w14:textId="77777777" w:rsidR="00BC306E" w:rsidRPr="0009281F" w:rsidRDefault="00BC306E" w:rsidP="00933F2B">
            <w:pPr>
              <w:rPr>
                <w:sz w:val="20"/>
                <w:szCs w:val="20"/>
              </w:rPr>
            </w:pPr>
          </w:p>
        </w:tc>
        <w:tc>
          <w:tcPr>
            <w:tcW w:w="3557" w:type="dxa"/>
          </w:tcPr>
          <w:p w14:paraId="4D4F55A3" w14:textId="77777777" w:rsidR="005D37C8" w:rsidRPr="0009281F" w:rsidRDefault="005D37C8" w:rsidP="005D37C8">
            <w:pPr>
              <w:autoSpaceDE w:val="0"/>
              <w:autoSpaceDN w:val="0"/>
              <w:adjustRightInd w:val="0"/>
              <w:rPr>
                <w:rFonts w:ascii="Calibri" w:hAnsi="Calibri" w:cs="Calibri"/>
                <w:color w:val="000000"/>
                <w:sz w:val="20"/>
                <w:szCs w:val="20"/>
              </w:rPr>
            </w:pPr>
          </w:p>
          <w:p w14:paraId="77953131" w14:textId="77777777" w:rsidR="005D37C8" w:rsidRPr="0009281F" w:rsidRDefault="005D37C8" w:rsidP="005D37C8">
            <w:pPr>
              <w:autoSpaceDE w:val="0"/>
              <w:autoSpaceDN w:val="0"/>
              <w:adjustRightInd w:val="0"/>
              <w:rPr>
                <w:rFonts w:ascii="Calibri" w:hAnsi="Calibri" w:cs="Calibri"/>
                <w:color w:val="000000"/>
                <w:sz w:val="20"/>
                <w:szCs w:val="20"/>
              </w:rPr>
            </w:pPr>
            <w:r w:rsidRPr="0009281F">
              <w:rPr>
                <w:rFonts w:ascii="Calibri" w:hAnsi="Calibri" w:cs="Calibri"/>
                <w:color w:val="000000"/>
                <w:sz w:val="20"/>
                <w:szCs w:val="20"/>
              </w:rPr>
              <w:t>Are there other approaches to authorizations that could enable applicants to take a more strategic or collaborative approach to address impacts to species at risk? (e.g., create a new authorization, such as a conservation agreement.)</w:t>
            </w:r>
          </w:p>
          <w:p w14:paraId="318D22FB" w14:textId="77777777" w:rsidR="00BC306E" w:rsidRPr="0009281F" w:rsidRDefault="00BC306E" w:rsidP="00933F2B">
            <w:pPr>
              <w:rPr>
                <w:sz w:val="20"/>
                <w:szCs w:val="20"/>
              </w:rPr>
            </w:pPr>
          </w:p>
        </w:tc>
        <w:tc>
          <w:tcPr>
            <w:tcW w:w="3559" w:type="dxa"/>
          </w:tcPr>
          <w:p w14:paraId="0E83CC88" w14:textId="77777777" w:rsidR="0092798D" w:rsidRPr="0009281F" w:rsidRDefault="0092798D" w:rsidP="00933F2B">
            <w:pPr>
              <w:rPr>
                <w:b/>
                <w:sz w:val="20"/>
                <w:szCs w:val="20"/>
                <w:u w:val="single"/>
              </w:rPr>
            </w:pPr>
            <w:r w:rsidRPr="0009281F">
              <w:rPr>
                <w:b/>
                <w:sz w:val="20"/>
                <w:szCs w:val="20"/>
                <w:u w:val="single"/>
              </w:rPr>
              <w:t xml:space="preserve">Species Specific Considerations </w:t>
            </w:r>
          </w:p>
          <w:p w14:paraId="714A2C9C" w14:textId="350BE21D" w:rsidR="00836FD8" w:rsidRPr="0009281F" w:rsidRDefault="00FD374F" w:rsidP="00933F2B">
            <w:pPr>
              <w:rPr>
                <w:sz w:val="20"/>
                <w:szCs w:val="20"/>
              </w:rPr>
            </w:pPr>
            <w:r w:rsidRPr="0009281F">
              <w:rPr>
                <w:sz w:val="20"/>
                <w:szCs w:val="20"/>
              </w:rPr>
              <w:t>We recommend that t</w:t>
            </w:r>
            <w:r w:rsidR="00836FD8" w:rsidRPr="0009281F">
              <w:rPr>
                <w:sz w:val="20"/>
                <w:szCs w:val="20"/>
              </w:rPr>
              <w:t xml:space="preserve">he Ministry </w:t>
            </w:r>
            <w:r w:rsidRPr="0009281F">
              <w:rPr>
                <w:sz w:val="20"/>
                <w:szCs w:val="20"/>
              </w:rPr>
              <w:t xml:space="preserve">develop </w:t>
            </w:r>
            <w:r w:rsidR="00836FD8" w:rsidRPr="0009281F">
              <w:rPr>
                <w:sz w:val="20"/>
                <w:szCs w:val="20"/>
              </w:rPr>
              <w:t xml:space="preserve">standard mitigation measures for </w:t>
            </w:r>
            <w:r w:rsidRPr="0009281F">
              <w:rPr>
                <w:sz w:val="20"/>
                <w:szCs w:val="20"/>
              </w:rPr>
              <w:t xml:space="preserve">frequently </w:t>
            </w:r>
            <w:r w:rsidR="00836FD8" w:rsidRPr="0009281F">
              <w:rPr>
                <w:sz w:val="20"/>
                <w:szCs w:val="20"/>
              </w:rPr>
              <w:t>encountered species</w:t>
            </w:r>
            <w:r w:rsidRPr="0009281F">
              <w:rPr>
                <w:sz w:val="20"/>
                <w:szCs w:val="20"/>
              </w:rPr>
              <w:t>;</w:t>
            </w:r>
            <w:r w:rsidR="00836FD8" w:rsidRPr="0009281F">
              <w:rPr>
                <w:sz w:val="20"/>
                <w:szCs w:val="20"/>
              </w:rPr>
              <w:t xml:space="preserve"> species that use anthropogenically created habitats</w:t>
            </w:r>
            <w:r w:rsidRPr="0009281F">
              <w:rPr>
                <w:sz w:val="20"/>
                <w:szCs w:val="20"/>
              </w:rPr>
              <w:t>; and</w:t>
            </w:r>
            <w:r w:rsidR="00836FD8" w:rsidRPr="0009281F">
              <w:rPr>
                <w:sz w:val="20"/>
                <w:szCs w:val="20"/>
              </w:rPr>
              <w:t xml:space="preserve"> species </w:t>
            </w:r>
            <w:r w:rsidRPr="0009281F">
              <w:rPr>
                <w:sz w:val="20"/>
                <w:szCs w:val="20"/>
              </w:rPr>
              <w:t xml:space="preserve">for which </w:t>
            </w:r>
            <w:r w:rsidR="00836FD8" w:rsidRPr="0009281F">
              <w:rPr>
                <w:sz w:val="20"/>
                <w:szCs w:val="20"/>
              </w:rPr>
              <w:t>habitat</w:t>
            </w:r>
            <w:r w:rsidRPr="0009281F">
              <w:rPr>
                <w:sz w:val="20"/>
                <w:szCs w:val="20"/>
              </w:rPr>
              <w:t xml:space="preserve"> loss is likely not a factor</w:t>
            </w:r>
            <w:r w:rsidR="00836FD8" w:rsidRPr="0009281F">
              <w:rPr>
                <w:sz w:val="20"/>
                <w:szCs w:val="20"/>
              </w:rPr>
              <w:t xml:space="preserve"> limiting</w:t>
            </w:r>
            <w:r w:rsidRPr="0009281F">
              <w:rPr>
                <w:sz w:val="20"/>
                <w:szCs w:val="20"/>
              </w:rPr>
              <w:t xml:space="preserve"> the recovery of the species (e.g., </w:t>
            </w:r>
            <w:r w:rsidR="00836FD8" w:rsidRPr="0009281F">
              <w:rPr>
                <w:sz w:val="20"/>
                <w:szCs w:val="20"/>
              </w:rPr>
              <w:t>Bank Swallow</w:t>
            </w:r>
            <w:r w:rsidRPr="0009281F">
              <w:rPr>
                <w:sz w:val="20"/>
                <w:szCs w:val="20"/>
              </w:rPr>
              <w:t>,</w:t>
            </w:r>
            <w:r w:rsidR="00836FD8" w:rsidRPr="0009281F">
              <w:rPr>
                <w:sz w:val="20"/>
                <w:szCs w:val="20"/>
              </w:rPr>
              <w:t xml:space="preserve"> endangered bats</w:t>
            </w:r>
            <w:r w:rsidRPr="0009281F">
              <w:rPr>
                <w:sz w:val="20"/>
                <w:szCs w:val="20"/>
              </w:rPr>
              <w:t>)</w:t>
            </w:r>
            <w:r w:rsidR="00836FD8" w:rsidRPr="0009281F">
              <w:rPr>
                <w:sz w:val="20"/>
                <w:szCs w:val="20"/>
              </w:rPr>
              <w:t>.</w:t>
            </w:r>
          </w:p>
          <w:p w14:paraId="459E4725" w14:textId="77777777" w:rsidR="00836FD8" w:rsidRPr="0009281F" w:rsidRDefault="00836FD8" w:rsidP="00933F2B">
            <w:pPr>
              <w:rPr>
                <w:sz w:val="20"/>
                <w:szCs w:val="20"/>
              </w:rPr>
            </w:pPr>
          </w:p>
          <w:p w14:paraId="641C34A0" w14:textId="24E96ADF" w:rsidR="00BC306E" w:rsidRPr="0009281F" w:rsidRDefault="00FD374F" w:rsidP="00933F2B">
            <w:pPr>
              <w:rPr>
                <w:sz w:val="20"/>
                <w:szCs w:val="20"/>
              </w:rPr>
            </w:pPr>
            <w:r w:rsidRPr="0009281F">
              <w:rPr>
                <w:sz w:val="20"/>
                <w:szCs w:val="20"/>
              </w:rPr>
              <w:t>E</w:t>
            </w:r>
            <w:r w:rsidR="00836FD8" w:rsidRPr="0009281F">
              <w:rPr>
                <w:sz w:val="20"/>
                <w:szCs w:val="20"/>
              </w:rPr>
              <w:t>ndangered bats</w:t>
            </w:r>
            <w:r w:rsidR="00CE06D2" w:rsidRPr="0009281F">
              <w:rPr>
                <w:sz w:val="20"/>
                <w:szCs w:val="20"/>
              </w:rPr>
              <w:t xml:space="preserve"> are very wide spread in southern Ontario </w:t>
            </w:r>
            <w:r w:rsidR="006C0222" w:rsidRPr="0009281F">
              <w:rPr>
                <w:sz w:val="20"/>
                <w:szCs w:val="20"/>
              </w:rPr>
              <w:t>and are present</w:t>
            </w:r>
            <w:r w:rsidR="00CE06D2" w:rsidRPr="0009281F">
              <w:rPr>
                <w:sz w:val="20"/>
                <w:szCs w:val="20"/>
              </w:rPr>
              <w:t xml:space="preserve"> on most properties.  An exemption regulation under Section 23 of </w:t>
            </w:r>
            <w:proofErr w:type="spellStart"/>
            <w:proofErr w:type="gramStart"/>
            <w:r w:rsidR="00CE06D2" w:rsidRPr="0009281F">
              <w:rPr>
                <w:sz w:val="20"/>
                <w:szCs w:val="20"/>
              </w:rPr>
              <w:t>O.Reg</w:t>
            </w:r>
            <w:proofErr w:type="spellEnd"/>
            <w:proofErr w:type="gramEnd"/>
            <w:r w:rsidR="00CE06D2" w:rsidRPr="0009281F">
              <w:rPr>
                <w:sz w:val="20"/>
                <w:szCs w:val="20"/>
              </w:rPr>
              <w:t xml:space="preserve"> </w:t>
            </w:r>
            <w:r w:rsidR="00CE06D2" w:rsidRPr="0009281F">
              <w:rPr>
                <w:sz w:val="20"/>
                <w:szCs w:val="20"/>
              </w:rPr>
              <w:lastRenderedPageBreak/>
              <w:t xml:space="preserve">242/08 is recommended.  Specifically, for damage or destruction of summer roost / foraging habitat, </w:t>
            </w:r>
            <w:proofErr w:type="gramStart"/>
            <w:r w:rsidR="00CE06D2" w:rsidRPr="0009281F">
              <w:rPr>
                <w:sz w:val="20"/>
                <w:szCs w:val="20"/>
              </w:rPr>
              <w:t>provide</w:t>
            </w:r>
            <w:r w:rsidR="006C0222" w:rsidRPr="0009281F">
              <w:rPr>
                <w:sz w:val="20"/>
                <w:szCs w:val="20"/>
              </w:rPr>
              <w:t>d that</w:t>
            </w:r>
            <w:proofErr w:type="gramEnd"/>
            <w:r w:rsidR="00CE06D2" w:rsidRPr="0009281F">
              <w:rPr>
                <w:sz w:val="20"/>
                <w:szCs w:val="20"/>
              </w:rPr>
              <w:t xml:space="preserve"> mitigation (i.e. timing windows) are implemented. </w:t>
            </w:r>
          </w:p>
          <w:p w14:paraId="291BC454" w14:textId="77777777" w:rsidR="00E81E9B" w:rsidRPr="0009281F" w:rsidRDefault="00E81E9B" w:rsidP="00933F2B">
            <w:pPr>
              <w:rPr>
                <w:sz w:val="20"/>
                <w:szCs w:val="20"/>
              </w:rPr>
            </w:pPr>
          </w:p>
          <w:p w14:paraId="29479B11" w14:textId="77777777" w:rsidR="00E81E9B" w:rsidRPr="0009281F" w:rsidRDefault="0046626D" w:rsidP="00933F2B">
            <w:pPr>
              <w:rPr>
                <w:sz w:val="20"/>
                <w:szCs w:val="20"/>
              </w:rPr>
            </w:pPr>
            <w:r w:rsidRPr="0009281F">
              <w:rPr>
                <w:sz w:val="20"/>
                <w:szCs w:val="20"/>
              </w:rPr>
              <w:t>The</w:t>
            </w:r>
            <w:r w:rsidR="00E81E9B" w:rsidRPr="0009281F">
              <w:rPr>
                <w:sz w:val="20"/>
                <w:szCs w:val="20"/>
              </w:rPr>
              <w:t xml:space="preserve"> Ministry </w:t>
            </w:r>
            <w:r w:rsidRPr="0009281F">
              <w:rPr>
                <w:sz w:val="20"/>
                <w:szCs w:val="20"/>
              </w:rPr>
              <w:t xml:space="preserve">also </w:t>
            </w:r>
            <w:r w:rsidR="00E81E9B" w:rsidRPr="0009281F">
              <w:rPr>
                <w:sz w:val="20"/>
                <w:szCs w:val="20"/>
              </w:rPr>
              <w:t>needs a strategy to address planted species at risk such as Kentucky Coffee-tree, Eastern Flowering Dogwood and Dense Blazing-star. In our experience, the Ministry has dealt with authorizations for planted occurrences on a case by case basis. In some case</w:t>
            </w:r>
            <w:r w:rsidRPr="0009281F">
              <w:rPr>
                <w:sz w:val="20"/>
                <w:szCs w:val="20"/>
              </w:rPr>
              <w:t>s</w:t>
            </w:r>
            <w:r w:rsidR="00E81E9B" w:rsidRPr="0009281F">
              <w:rPr>
                <w:sz w:val="20"/>
                <w:szCs w:val="20"/>
              </w:rPr>
              <w:t xml:space="preserve">, the </w:t>
            </w:r>
            <w:r w:rsidRPr="0009281F">
              <w:rPr>
                <w:sz w:val="20"/>
                <w:szCs w:val="20"/>
              </w:rPr>
              <w:t xml:space="preserve">has </w:t>
            </w:r>
            <w:r w:rsidR="00E81E9B" w:rsidRPr="0009281F">
              <w:rPr>
                <w:sz w:val="20"/>
                <w:szCs w:val="20"/>
              </w:rPr>
              <w:t xml:space="preserve">MNRF required </w:t>
            </w:r>
            <w:r w:rsidRPr="0009281F">
              <w:rPr>
                <w:sz w:val="20"/>
                <w:szCs w:val="20"/>
              </w:rPr>
              <w:t xml:space="preserve">overall benefit permits for occurrences that were planted in manicured areas outside of their native range. </w:t>
            </w:r>
            <w:r w:rsidR="0092798D" w:rsidRPr="0009281F">
              <w:rPr>
                <w:sz w:val="20"/>
                <w:szCs w:val="20"/>
              </w:rPr>
              <w:t xml:space="preserve">Origin of the material should also be considered because exotic genotypes could dilute native genetics to the determent of species at risk. </w:t>
            </w:r>
            <w:r w:rsidRPr="0009281F">
              <w:rPr>
                <w:sz w:val="20"/>
                <w:szCs w:val="20"/>
              </w:rPr>
              <w:t xml:space="preserve">A standard approach for planted species is recommended. </w:t>
            </w:r>
          </w:p>
          <w:p w14:paraId="3B1498C4" w14:textId="77777777" w:rsidR="0092798D" w:rsidRPr="0009281F" w:rsidRDefault="0092798D" w:rsidP="00933F2B">
            <w:pPr>
              <w:rPr>
                <w:sz w:val="20"/>
                <w:szCs w:val="20"/>
              </w:rPr>
            </w:pPr>
          </w:p>
          <w:p w14:paraId="20357CE2" w14:textId="77777777" w:rsidR="0092798D" w:rsidRPr="0009281F" w:rsidRDefault="0092798D" w:rsidP="00933F2B">
            <w:pPr>
              <w:rPr>
                <w:b/>
                <w:sz w:val="20"/>
                <w:szCs w:val="20"/>
                <w:u w:val="single"/>
              </w:rPr>
            </w:pPr>
            <w:r w:rsidRPr="0009281F">
              <w:rPr>
                <w:b/>
                <w:sz w:val="20"/>
                <w:szCs w:val="20"/>
                <w:u w:val="single"/>
              </w:rPr>
              <w:t>Project Specific Considerations</w:t>
            </w:r>
          </w:p>
          <w:p w14:paraId="3F04B03C" w14:textId="103A0335" w:rsidR="0092798D" w:rsidRPr="0009281F" w:rsidRDefault="0092798D" w:rsidP="00933F2B">
            <w:pPr>
              <w:rPr>
                <w:sz w:val="20"/>
                <w:szCs w:val="20"/>
              </w:rPr>
            </w:pPr>
            <w:r w:rsidRPr="0009281F">
              <w:rPr>
                <w:sz w:val="20"/>
                <w:szCs w:val="20"/>
              </w:rPr>
              <w:t>Large projects and/or routine maintenance projects could be directed under a memorandum of understanding (MOU) or similar agreement. The agreement could include regulate</w:t>
            </w:r>
            <w:r w:rsidR="00F86BDD" w:rsidRPr="0009281F">
              <w:rPr>
                <w:sz w:val="20"/>
                <w:szCs w:val="20"/>
              </w:rPr>
              <w:t>d</w:t>
            </w:r>
            <w:r w:rsidRPr="0009281F">
              <w:rPr>
                <w:sz w:val="20"/>
                <w:szCs w:val="20"/>
              </w:rPr>
              <w:t xml:space="preserve"> points of consultation, reporting and adjustment so that it operates as indented. Industry has similar MOU’s for other environmental policy that could be used as a template. An MOU would also present opportunities to integrate with Landscape Approaches discusses in Focus Area 1.</w:t>
            </w:r>
          </w:p>
        </w:tc>
      </w:tr>
      <w:tr w:rsidR="00BC306E" w:rsidRPr="0009281F" w14:paraId="3EBEC48E" w14:textId="77777777" w:rsidTr="00BC306E">
        <w:trPr>
          <w:trHeight w:val="247"/>
        </w:trPr>
        <w:tc>
          <w:tcPr>
            <w:tcW w:w="3557" w:type="dxa"/>
          </w:tcPr>
          <w:p w14:paraId="70B388D9" w14:textId="77777777" w:rsidR="005D37C8" w:rsidRPr="0009281F" w:rsidRDefault="005D37C8" w:rsidP="005D37C8">
            <w:pPr>
              <w:autoSpaceDE w:val="0"/>
              <w:autoSpaceDN w:val="0"/>
              <w:adjustRightInd w:val="0"/>
              <w:rPr>
                <w:rFonts w:ascii="Calibri" w:hAnsi="Calibri" w:cs="Calibri"/>
                <w:color w:val="000000"/>
                <w:sz w:val="20"/>
                <w:szCs w:val="20"/>
              </w:rPr>
            </w:pPr>
          </w:p>
          <w:p w14:paraId="3295F1FB" w14:textId="77777777" w:rsidR="005D37C8" w:rsidRPr="0009281F" w:rsidRDefault="005D37C8" w:rsidP="005D37C8">
            <w:pPr>
              <w:autoSpaceDE w:val="0"/>
              <w:autoSpaceDN w:val="0"/>
              <w:adjustRightInd w:val="0"/>
              <w:rPr>
                <w:rFonts w:ascii="Calibri" w:hAnsi="Calibri" w:cs="Calibri"/>
                <w:color w:val="000000"/>
                <w:sz w:val="20"/>
                <w:szCs w:val="20"/>
              </w:rPr>
            </w:pPr>
            <w:r w:rsidRPr="0009281F">
              <w:rPr>
                <w:rFonts w:ascii="Calibri" w:hAnsi="Calibri" w:cs="Calibri"/>
                <w:color w:val="000000"/>
                <w:sz w:val="20"/>
                <w:szCs w:val="20"/>
              </w:rPr>
              <w:t>The Act adds duplication and delay for activities that are subject to other legislative or regulatory frameworks, like forestry under Ontario’s Crown Forest Sustainability Act.</w:t>
            </w:r>
          </w:p>
          <w:p w14:paraId="3D70FB7B" w14:textId="77777777" w:rsidR="00BC306E" w:rsidRPr="0009281F" w:rsidRDefault="00BC306E" w:rsidP="00933F2B">
            <w:pPr>
              <w:rPr>
                <w:sz w:val="20"/>
                <w:szCs w:val="20"/>
              </w:rPr>
            </w:pPr>
          </w:p>
        </w:tc>
        <w:tc>
          <w:tcPr>
            <w:tcW w:w="3557" w:type="dxa"/>
          </w:tcPr>
          <w:p w14:paraId="326C7A99" w14:textId="77777777" w:rsidR="005D37C8" w:rsidRPr="0009281F" w:rsidRDefault="005D37C8" w:rsidP="005D37C8">
            <w:pPr>
              <w:autoSpaceDE w:val="0"/>
              <w:autoSpaceDN w:val="0"/>
              <w:adjustRightInd w:val="0"/>
              <w:rPr>
                <w:rFonts w:ascii="Calibri" w:hAnsi="Calibri" w:cs="Calibri"/>
                <w:color w:val="000000"/>
                <w:sz w:val="20"/>
                <w:szCs w:val="20"/>
              </w:rPr>
            </w:pPr>
          </w:p>
          <w:p w14:paraId="06A7FC0E" w14:textId="77777777" w:rsidR="005D37C8" w:rsidRPr="0009281F" w:rsidRDefault="005D37C8" w:rsidP="005D37C8">
            <w:pPr>
              <w:autoSpaceDE w:val="0"/>
              <w:autoSpaceDN w:val="0"/>
              <w:adjustRightInd w:val="0"/>
              <w:rPr>
                <w:rFonts w:ascii="Calibri" w:hAnsi="Calibri" w:cs="Calibri"/>
                <w:color w:val="000000"/>
                <w:sz w:val="20"/>
                <w:szCs w:val="20"/>
              </w:rPr>
            </w:pPr>
            <w:r w:rsidRPr="0009281F">
              <w:rPr>
                <w:rFonts w:ascii="Calibri" w:hAnsi="Calibri" w:cs="Calibri"/>
                <w:color w:val="000000"/>
                <w:sz w:val="20"/>
                <w:szCs w:val="20"/>
              </w:rPr>
              <w:t>What changes to authorization requirements would better enable economic development while providing positive outcomes and protections for species at risk? (e.g., simplify the requirements for a permit under s. 17(2)d, and exemptions set out by regulation.)</w:t>
            </w:r>
          </w:p>
          <w:p w14:paraId="757D4899" w14:textId="77777777" w:rsidR="00BC306E" w:rsidRPr="0009281F" w:rsidRDefault="00BC306E" w:rsidP="00933F2B">
            <w:pPr>
              <w:rPr>
                <w:sz w:val="20"/>
                <w:szCs w:val="20"/>
              </w:rPr>
            </w:pPr>
          </w:p>
        </w:tc>
        <w:tc>
          <w:tcPr>
            <w:tcW w:w="3559" w:type="dxa"/>
          </w:tcPr>
          <w:p w14:paraId="62571987" w14:textId="3EF01D0C" w:rsidR="00BC306E" w:rsidRPr="0009281F" w:rsidRDefault="00441ADA" w:rsidP="00933F2B">
            <w:pPr>
              <w:rPr>
                <w:sz w:val="20"/>
                <w:szCs w:val="20"/>
              </w:rPr>
            </w:pPr>
            <w:r w:rsidRPr="0009281F">
              <w:rPr>
                <w:sz w:val="20"/>
                <w:szCs w:val="20"/>
              </w:rPr>
              <w:t>Consider harmonization between the ESA and the federal SARA, including direction and guidance from MECP and DFO (CWS) staff.  There are examples of conflicting approaches</w:t>
            </w:r>
            <w:r w:rsidR="006C0222" w:rsidRPr="0009281F">
              <w:rPr>
                <w:sz w:val="20"/>
                <w:szCs w:val="20"/>
              </w:rPr>
              <w:t>, which</w:t>
            </w:r>
            <w:r w:rsidRPr="0009281F">
              <w:rPr>
                <w:sz w:val="20"/>
                <w:szCs w:val="20"/>
              </w:rPr>
              <w:t xml:space="preserve"> mak</w:t>
            </w:r>
            <w:r w:rsidR="006C0222" w:rsidRPr="0009281F">
              <w:rPr>
                <w:sz w:val="20"/>
                <w:szCs w:val="20"/>
              </w:rPr>
              <w:t>es</w:t>
            </w:r>
            <w:r w:rsidRPr="0009281F">
              <w:rPr>
                <w:sz w:val="20"/>
                <w:szCs w:val="20"/>
              </w:rPr>
              <w:t xml:space="preserve"> it impossible to appease either agency.  </w:t>
            </w:r>
            <w:r w:rsidR="006C0222" w:rsidRPr="0009281F">
              <w:rPr>
                <w:sz w:val="20"/>
                <w:szCs w:val="20"/>
              </w:rPr>
              <w:t xml:space="preserve">Also, better integration of the ESA into the planning process at all levels would improve efficiencies. </w:t>
            </w:r>
          </w:p>
          <w:p w14:paraId="427B4B4D" w14:textId="77777777" w:rsidR="00441ADA" w:rsidRPr="0009281F" w:rsidRDefault="00441ADA" w:rsidP="00933F2B">
            <w:pPr>
              <w:rPr>
                <w:sz w:val="20"/>
                <w:szCs w:val="20"/>
              </w:rPr>
            </w:pPr>
          </w:p>
          <w:p w14:paraId="0F049B19" w14:textId="77777777" w:rsidR="00441ADA" w:rsidRPr="0009281F" w:rsidRDefault="00441ADA" w:rsidP="00933F2B">
            <w:pPr>
              <w:rPr>
                <w:sz w:val="20"/>
                <w:szCs w:val="20"/>
              </w:rPr>
            </w:pPr>
          </w:p>
        </w:tc>
      </w:tr>
      <w:tr w:rsidR="00BC306E" w:rsidRPr="0009281F" w14:paraId="418E0F45" w14:textId="77777777" w:rsidTr="00BC306E">
        <w:trPr>
          <w:trHeight w:val="257"/>
        </w:trPr>
        <w:tc>
          <w:tcPr>
            <w:tcW w:w="3557" w:type="dxa"/>
          </w:tcPr>
          <w:p w14:paraId="37875773" w14:textId="77777777" w:rsidR="005D37C8" w:rsidRPr="0009281F" w:rsidRDefault="005D37C8" w:rsidP="005D37C8">
            <w:pPr>
              <w:autoSpaceDE w:val="0"/>
              <w:autoSpaceDN w:val="0"/>
              <w:adjustRightInd w:val="0"/>
              <w:rPr>
                <w:rFonts w:ascii="Calibri" w:hAnsi="Calibri" w:cs="Calibri"/>
                <w:color w:val="000000"/>
                <w:sz w:val="20"/>
                <w:szCs w:val="20"/>
              </w:rPr>
            </w:pPr>
          </w:p>
          <w:p w14:paraId="5E32A4C7" w14:textId="77777777" w:rsidR="005D37C8" w:rsidRPr="0009281F" w:rsidRDefault="005D37C8" w:rsidP="005D37C8">
            <w:pPr>
              <w:autoSpaceDE w:val="0"/>
              <w:autoSpaceDN w:val="0"/>
              <w:adjustRightInd w:val="0"/>
              <w:rPr>
                <w:rFonts w:ascii="Calibri" w:hAnsi="Calibri" w:cs="Calibri"/>
                <w:color w:val="000000"/>
                <w:sz w:val="20"/>
                <w:szCs w:val="20"/>
              </w:rPr>
            </w:pPr>
            <w:r w:rsidRPr="0009281F">
              <w:rPr>
                <w:rFonts w:ascii="Calibri" w:hAnsi="Calibri" w:cs="Calibri"/>
                <w:color w:val="000000"/>
                <w:sz w:val="20"/>
                <w:szCs w:val="20"/>
              </w:rPr>
              <w:t xml:space="preserve">Enforcement powers are inconsistent across authorizations and regulations, </w:t>
            </w:r>
            <w:r w:rsidRPr="0009281F">
              <w:rPr>
                <w:rFonts w:ascii="Calibri" w:hAnsi="Calibri" w:cs="Calibri"/>
                <w:color w:val="000000"/>
                <w:sz w:val="20"/>
                <w:szCs w:val="20"/>
              </w:rPr>
              <w:lastRenderedPageBreak/>
              <w:t>which can limit the ability to inspect and enforce compliance with regulations.</w:t>
            </w:r>
          </w:p>
          <w:p w14:paraId="57E84381" w14:textId="77777777" w:rsidR="00BC306E" w:rsidRPr="0009281F" w:rsidRDefault="00BC306E" w:rsidP="00933F2B">
            <w:pPr>
              <w:rPr>
                <w:sz w:val="20"/>
                <w:szCs w:val="20"/>
              </w:rPr>
            </w:pPr>
          </w:p>
        </w:tc>
        <w:tc>
          <w:tcPr>
            <w:tcW w:w="3557" w:type="dxa"/>
          </w:tcPr>
          <w:p w14:paraId="04728435" w14:textId="77777777" w:rsidR="005D37C8" w:rsidRPr="0009281F" w:rsidRDefault="005D37C8" w:rsidP="005D37C8">
            <w:pPr>
              <w:autoSpaceDE w:val="0"/>
              <w:autoSpaceDN w:val="0"/>
              <w:adjustRightInd w:val="0"/>
              <w:rPr>
                <w:rFonts w:ascii="Calibri" w:hAnsi="Calibri" w:cs="Calibri"/>
                <w:color w:val="000000"/>
                <w:sz w:val="20"/>
                <w:szCs w:val="20"/>
              </w:rPr>
            </w:pPr>
          </w:p>
          <w:p w14:paraId="38469EA6" w14:textId="77777777" w:rsidR="005D37C8" w:rsidRPr="0009281F" w:rsidRDefault="005D37C8" w:rsidP="005D37C8">
            <w:pPr>
              <w:autoSpaceDE w:val="0"/>
              <w:autoSpaceDN w:val="0"/>
              <w:adjustRightInd w:val="0"/>
              <w:rPr>
                <w:rFonts w:ascii="Calibri" w:hAnsi="Calibri" w:cs="Calibri"/>
                <w:color w:val="000000"/>
                <w:sz w:val="20"/>
                <w:szCs w:val="20"/>
              </w:rPr>
            </w:pPr>
            <w:r w:rsidRPr="0009281F">
              <w:rPr>
                <w:rFonts w:ascii="Calibri" w:hAnsi="Calibri" w:cs="Calibri"/>
                <w:color w:val="000000"/>
                <w:sz w:val="20"/>
                <w:szCs w:val="20"/>
              </w:rPr>
              <w:t xml:space="preserve">How can the needs of species at risk be met in a way that is more efficient for activities subject to other legislative or </w:t>
            </w:r>
            <w:r w:rsidRPr="0009281F">
              <w:rPr>
                <w:rFonts w:ascii="Calibri" w:hAnsi="Calibri" w:cs="Calibri"/>
                <w:color w:val="000000"/>
                <w:sz w:val="20"/>
                <w:szCs w:val="20"/>
              </w:rPr>
              <w:lastRenderedPageBreak/>
              <w:t>regulatory frameworks? (</w:t>
            </w:r>
            <w:r w:rsidR="00581282" w:rsidRPr="0009281F">
              <w:rPr>
                <w:rFonts w:ascii="Calibri" w:hAnsi="Calibri" w:cs="Calibri"/>
                <w:color w:val="000000"/>
                <w:sz w:val="20"/>
                <w:szCs w:val="20"/>
              </w:rPr>
              <w:t>e.g., better</w:t>
            </w:r>
            <w:r w:rsidRPr="0009281F">
              <w:rPr>
                <w:rFonts w:ascii="Calibri" w:hAnsi="Calibri" w:cs="Calibri"/>
                <w:color w:val="000000"/>
                <w:sz w:val="20"/>
                <w:szCs w:val="20"/>
              </w:rPr>
              <w:t xml:space="preserve"> enable meeting Endangered Species </w:t>
            </w:r>
            <w:r w:rsidR="00581282" w:rsidRPr="0009281F">
              <w:rPr>
                <w:rFonts w:ascii="Calibri" w:hAnsi="Calibri" w:cs="Calibri"/>
                <w:color w:val="000000"/>
                <w:sz w:val="20"/>
                <w:szCs w:val="20"/>
              </w:rPr>
              <w:t>Act requirements</w:t>
            </w:r>
            <w:r w:rsidRPr="0009281F">
              <w:rPr>
                <w:rFonts w:ascii="Calibri" w:hAnsi="Calibri" w:cs="Calibri"/>
                <w:color w:val="000000"/>
                <w:sz w:val="20"/>
                <w:szCs w:val="20"/>
              </w:rPr>
              <w:t xml:space="preserve"> in other approval processes.)</w:t>
            </w:r>
          </w:p>
          <w:p w14:paraId="08412564" w14:textId="77777777" w:rsidR="00BC306E" w:rsidRPr="0009281F" w:rsidRDefault="00BC306E" w:rsidP="00933F2B">
            <w:pPr>
              <w:rPr>
                <w:sz w:val="20"/>
                <w:szCs w:val="20"/>
              </w:rPr>
            </w:pPr>
          </w:p>
        </w:tc>
        <w:tc>
          <w:tcPr>
            <w:tcW w:w="3559" w:type="dxa"/>
          </w:tcPr>
          <w:p w14:paraId="4644340F" w14:textId="4CADD2FB" w:rsidR="00BC306E" w:rsidRPr="0009281F" w:rsidRDefault="00531BC3" w:rsidP="00933F2B">
            <w:pPr>
              <w:rPr>
                <w:rFonts w:cstheme="minorHAnsi"/>
                <w:sz w:val="20"/>
                <w:szCs w:val="20"/>
              </w:rPr>
            </w:pPr>
            <w:r w:rsidRPr="0009281F">
              <w:rPr>
                <w:rFonts w:cstheme="minorHAnsi"/>
                <w:sz w:val="20"/>
                <w:szCs w:val="20"/>
              </w:rPr>
              <w:lastRenderedPageBreak/>
              <w:t>A robust compliance and enforcement system must be in place to ensure that species and their habitats are being protected.</w:t>
            </w:r>
          </w:p>
        </w:tc>
      </w:tr>
    </w:tbl>
    <w:p w14:paraId="61426679" w14:textId="77777777" w:rsidR="00CC625E" w:rsidRDefault="00CC625E"/>
    <w:sectPr w:rsidR="00CC625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3505B" w14:textId="77777777" w:rsidR="001D1378" w:rsidRDefault="001D1378" w:rsidP="001D1378">
      <w:pPr>
        <w:spacing w:after="0" w:line="240" w:lineRule="auto"/>
      </w:pPr>
      <w:r>
        <w:separator/>
      </w:r>
    </w:p>
  </w:endnote>
  <w:endnote w:type="continuationSeparator" w:id="0">
    <w:p w14:paraId="53C7E709" w14:textId="77777777" w:rsidR="001D1378" w:rsidRDefault="001D1378" w:rsidP="001D1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C56C0" w14:textId="77777777" w:rsidR="001D1378" w:rsidRDefault="001D1378" w:rsidP="001D1378">
      <w:pPr>
        <w:spacing w:after="0" w:line="240" w:lineRule="auto"/>
      </w:pPr>
      <w:r>
        <w:separator/>
      </w:r>
    </w:p>
  </w:footnote>
  <w:footnote w:type="continuationSeparator" w:id="0">
    <w:p w14:paraId="42B2B342" w14:textId="77777777" w:rsidR="001D1378" w:rsidRDefault="001D1378" w:rsidP="001D1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F4941" w14:textId="77777777" w:rsidR="001D1378" w:rsidRDefault="001D1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1920A7"/>
    <w:multiLevelType w:val="hybridMultilevel"/>
    <w:tmpl w:val="223707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F5C6E1"/>
    <w:multiLevelType w:val="hybridMultilevel"/>
    <w:tmpl w:val="0BECC49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553285"/>
    <w:multiLevelType w:val="hybridMultilevel"/>
    <w:tmpl w:val="7B4A6B02"/>
    <w:lvl w:ilvl="0" w:tplc="298E79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F3C97"/>
    <w:multiLevelType w:val="hybridMultilevel"/>
    <w:tmpl w:val="3C60A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64626"/>
    <w:multiLevelType w:val="multilevel"/>
    <w:tmpl w:val="8B2806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81"/>
    <w:rsid w:val="00092739"/>
    <w:rsid w:val="0009281F"/>
    <w:rsid w:val="00103883"/>
    <w:rsid w:val="001068F7"/>
    <w:rsid w:val="001667BD"/>
    <w:rsid w:val="001A0D78"/>
    <w:rsid w:val="001D1378"/>
    <w:rsid w:val="00231E15"/>
    <w:rsid w:val="00266FF1"/>
    <w:rsid w:val="002920A5"/>
    <w:rsid w:val="002F4309"/>
    <w:rsid w:val="00304254"/>
    <w:rsid w:val="00367077"/>
    <w:rsid w:val="00396018"/>
    <w:rsid w:val="003B706A"/>
    <w:rsid w:val="00441ADA"/>
    <w:rsid w:val="0046626D"/>
    <w:rsid w:val="004937D3"/>
    <w:rsid w:val="00497C0A"/>
    <w:rsid w:val="004C19D6"/>
    <w:rsid w:val="004E5A07"/>
    <w:rsid w:val="004F4DCF"/>
    <w:rsid w:val="005273CD"/>
    <w:rsid w:val="00530AFB"/>
    <w:rsid w:val="00531BC3"/>
    <w:rsid w:val="00581282"/>
    <w:rsid w:val="00591DC0"/>
    <w:rsid w:val="005D37C8"/>
    <w:rsid w:val="005F022C"/>
    <w:rsid w:val="006C0222"/>
    <w:rsid w:val="006C24C7"/>
    <w:rsid w:val="00753BA3"/>
    <w:rsid w:val="007A5359"/>
    <w:rsid w:val="007D54F9"/>
    <w:rsid w:val="00836FD8"/>
    <w:rsid w:val="00851805"/>
    <w:rsid w:val="008715FF"/>
    <w:rsid w:val="008B2CCE"/>
    <w:rsid w:val="008C6C97"/>
    <w:rsid w:val="00911347"/>
    <w:rsid w:val="0092798D"/>
    <w:rsid w:val="00936D39"/>
    <w:rsid w:val="009D2B75"/>
    <w:rsid w:val="00A00381"/>
    <w:rsid w:val="00A02316"/>
    <w:rsid w:val="00A32BED"/>
    <w:rsid w:val="00A40E48"/>
    <w:rsid w:val="00A43DC6"/>
    <w:rsid w:val="00A44713"/>
    <w:rsid w:val="00B55FF2"/>
    <w:rsid w:val="00BC306E"/>
    <w:rsid w:val="00BF3AEC"/>
    <w:rsid w:val="00C31824"/>
    <w:rsid w:val="00CB5FD8"/>
    <w:rsid w:val="00CC625E"/>
    <w:rsid w:val="00CE06D2"/>
    <w:rsid w:val="00D33511"/>
    <w:rsid w:val="00D43B5D"/>
    <w:rsid w:val="00DA320F"/>
    <w:rsid w:val="00DC63EA"/>
    <w:rsid w:val="00E277BF"/>
    <w:rsid w:val="00E81E9B"/>
    <w:rsid w:val="00F86BDD"/>
    <w:rsid w:val="00FA032B"/>
    <w:rsid w:val="00FD3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1415A"/>
  <w15:chartTrackingRefBased/>
  <w15:docId w15:val="{FF41E8F9-57CC-4768-A252-3704AC50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B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0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1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378"/>
  </w:style>
  <w:style w:type="paragraph" w:styleId="Footer">
    <w:name w:val="footer"/>
    <w:basedOn w:val="Normal"/>
    <w:link w:val="FooterChar"/>
    <w:uiPriority w:val="99"/>
    <w:unhideWhenUsed/>
    <w:rsid w:val="001D1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378"/>
  </w:style>
  <w:style w:type="paragraph" w:customStyle="1" w:styleId="Default">
    <w:name w:val="Default"/>
    <w:rsid w:val="00A0231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31E15"/>
    <w:pPr>
      <w:ind w:left="720"/>
      <w:contextualSpacing/>
    </w:pPr>
  </w:style>
  <w:style w:type="paragraph" w:styleId="BalloonText">
    <w:name w:val="Balloon Text"/>
    <w:basedOn w:val="Normal"/>
    <w:link w:val="BalloonTextChar"/>
    <w:uiPriority w:val="99"/>
    <w:semiHidden/>
    <w:unhideWhenUsed/>
    <w:rsid w:val="005F02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22C"/>
    <w:rPr>
      <w:rFonts w:ascii="Segoe UI" w:hAnsi="Segoe UI" w:cs="Segoe UI"/>
      <w:sz w:val="18"/>
      <w:szCs w:val="18"/>
    </w:rPr>
  </w:style>
  <w:style w:type="character" w:styleId="CommentReference">
    <w:name w:val="annotation reference"/>
    <w:basedOn w:val="DefaultParagraphFont"/>
    <w:uiPriority w:val="99"/>
    <w:semiHidden/>
    <w:unhideWhenUsed/>
    <w:rsid w:val="00B55FF2"/>
    <w:rPr>
      <w:sz w:val="16"/>
      <w:szCs w:val="16"/>
    </w:rPr>
  </w:style>
  <w:style w:type="paragraph" w:styleId="CommentText">
    <w:name w:val="annotation text"/>
    <w:basedOn w:val="Normal"/>
    <w:link w:val="CommentTextChar"/>
    <w:uiPriority w:val="99"/>
    <w:semiHidden/>
    <w:unhideWhenUsed/>
    <w:rsid w:val="00B55FF2"/>
    <w:pPr>
      <w:spacing w:line="240" w:lineRule="auto"/>
    </w:pPr>
    <w:rPr>
      <w:sz w:val="20"/>
      <w:szCs w:val="20"/>
    </w:rPr>
  </w:style>
  <w:style w:type="character" w:customStyle="1" w:styleId="CommentTextChar">
    <w:name w:val="Comment Text Char"/>
    <w:basedOn w:val="DefaultParagraphFont"/>
    <w:link w:val="CommentText"/>
    <w:uiPriority w:val="99"/>
    <w:semiHidden/>
    <w:rsid w:val="00B55FF2"/>
    <w:rPr>
      <w:sz w:val="20"/>
      <w:szCs w:val="20"/>
    </w:rPr>
  </w:style>
  <w:style w:type="paragraph" w:styleId="CommentSubject">
    <w:name w:val="annotation subject"/>
    <w:basedOn w:val="CommentText"/>
    <w:next w:val="CommentText"/>
    <w:link w:val="CommentSubjectChar"/>
    <w:uiPriority w:val="99"/>
    <w:semiHidden/>
    <w:unhideWhenUsed/>
    <w:rsid w:val="00B55FF2"/>
    <w:rPr>
      <w:b/>
      <w:bCs/>
    </w:rPr>
  </w:style>
  <w:style w:type="character" w:customStyle="1" w:styleId="CommentSubjectChar">
    <w:name w:val="Comment Subject Char"/>
    <w:basedOn w:val="CommentTextChar"/>
    <w:link w:val="CommentSubject"/>
    <w:uiPriority w:val="99"/>
    <w:semiHidden/>
    <w:rsid w:val="00B55FF2"/>
    <w:rPr>
      <w:b/>
      <w:bCs/>
      <w:sz w:val="20"/>
      <w:szCs w:val="20"/>
    </w:rPr>
  </w:style>
  <w:style w:type="character" w:customStyle="1" w:styleId="Heading1Char">
    <w:name w:val="Heading 1 Char"/>
    <w:basedOn w:val="DefaultParagraphFont"/>
    <w:link w:val="Heading1"/>
    <w:uiPriority w:val="9"/>
    <w:rsid w:val="00A32BE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2582</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Ellah, Mitch</dc:creator>
  <cp:keywords/>
  <dc:description/>
  <cp:lastModifiedBy>Giesbrecht, Debra</cp:lastModifiedBy>
  <cp:revision>2</cp:revision>
  <dcterms:created xsi:type="dcterms:W3CDTF">2019-03-05T02:23:00Z</dcterms:created>
  <dcterms:modified xsi:type="dcterms:W3CDTF">2019-03-05T02:23:00Z</dcterms:modified>
</cp:coreProperties>
</file>