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2D96" w:rsidRPr="00012D96" w:rsidRDefault="00012D96" w:rsidP="00012D96">
      <w:pPr>
        <w:spacing w:after="120"/>
        <w:ind w:left="360"/>
        <w:rPr>
          <w:b/>
        </w:rPr>
      </w:pPr>
      <w:r w:rsidRPr="00012D96">
        <w:rPr>
          <w:b/>
        </w:rPr>
        <w:t>CITY OF MISSISSAUGA</w:t>
      </w:r>
    </w:p>
    <w:p w:rsidR="00B662A2" w:rsidRDefault="00012D96" w:rsidP="00012D96">
      <w:pPr>
        <w:ind w:left="360"/>
        <w:rPr>
          <w:b/>
        </w:rPr>
      </w:pPr>
      <w:r w:rsidRPr="00012D96">
        <w:rPr>
          <w:b/>
        </w:rPr>
        <w:t xml:space="preserve">Council Endorsed Comments </w:t>
      </w:r>
      <w:proofErr w:type="gramStart"/>
      <w:r w:rsidRPr="00012D96">
        <w:rPr>
          <w:b/>
        </w:rPr>
        <w:t>On</w:t>
      </w:r>
      <w:proofErr w:type="gramEnd"/>
      <w:r w:rsidRPr="00012D96">
        <w:rPr>
          <w:b/>
        </w:rPr>
        <w:t xml:space="preserve"> </w:t>
      </w:r>
      <w:r w:rsidRPr="00012D96">
        <w:rPr>
          <w:b/>
          <w:i/>
        </w:rPr>
        <w:t>Endangered Species Act, Environmental Protection Act, Environmental Assessment Act</w:t>
      </w:r>
      <w:r w:rsidRPr="00012D96">
        <w:rPr>
          <w:b/>
        </w:rPr>
        <w:t xml:space="preserve">  </w:t>
      </w:r>
    </w:p>
    <w:tbl>
      <w:tblPr>
        <w:tblStyle w:val="TableGrid"/>
        <w:tblW w:w="0" w:type="auto"/>
        <w:tblLook w:val="04A0" w:firstRow="1" w:lastRow="0" w:firstColumn="1" w:lastColumn="0" w:noHBand="0" w:noVBand="1"/>
      </w:tblPr>
      <w:tblGrid>
        <w:gridCol w:w="2235"/>
        <w:gridCol w:w="5811"/>
        <w:gridCol w:w="5130"/>
      </w:tblGrid>
      <w:tr w:rsidR="003034F1" w:rsidTr="008768A5">
        <w:trPr>
          <w:tblHeader/>
        </w:trPr>
        <w:tc>
          <w:tcPr>
            <w:tcW w:w="2235" w:type="dxa"/>
            <w:shd w:val="clear" w:color="auto" w:fill="8DB3E2" w:themeFill="text2" w:themeFillTint="66"/>
          </w:tcPr>
          <w:p w:rsidR="003034F1" w:rsidRPr="003034F1" w:rsidRDefault="003034F1" w:rsidP="00B662A2">
            <w:pPr>
              <w:widowControl w:val="0"/>
              <w:spacing w:after="200"/>
              <w:jc w:val="center"/>
              <w:rPr>
                <w:b/>
              </w:rPr>
            </w:pPr>
            <w:r w:rsidRPr="003034F1">
              <w:rPr>
                <w:b/>
              </w:rPr>
              <w:t>ACT / REGULATION</w:t>
            </w:r>
          </w:p>
        </w:tc>
        <w:tc>
          <w:tcPr>
            <w:tcW w:w="5811" w:type="dxa"/>
            <w:shd w:val="clear" w:color="auto" w:fill="8DB3E2" w:themeFill="text2" w:themeFillTint="66"/>
          </w:tcPr>
          <w:p w:rsidR="003034F1" w:rsidRDefault="003034F1" w:rsidP="00B662A2">
            <w:pPr>
              <w:widowControl w:val="0"/>
              <w:spacing w:after="200"/>
              <w:jc w:val="center"/>
              <w:rPr>
                <w:b/>
              </w:rPr>
            </w:pPr>
            <w:r>
              <w:rPr>
                <w:b/>
              </w:rPr>
              <w:t>SUMMARY OF PROPOSED CHANGES</w:t>
            </w:r>
          </w:p>
        </w:tc>
        <w:tc>
          <w:tcPr>
            <w:tcW w:w="5130" w:type="dxa"/>
            <w:shd w:val="clear" w:color="auto" w:fill="8DB3E2" w:themeFill="text2" w:themeFillTint="66"/>
          </w:tcPr>
          <w:p w:rsidR="003034F1" w:rsidRDefault="003034F1" w:rsidP="00B662A2">
            <w:pPr>
              <w:widowControl w:val="0"/>
              <w:spacing w:after="200"/>
              <w:jc w:val="center"/>
              <w:rPr>
                <w:b/>
              </w:rPr>
            </w:pPr>
            <w:r>
              <w:rPr>
                <w:b/>
              </w:rPr>
              <w:t>STAFF COMMENTS</w:t>
            </w:r>
          </w:p>
        </w:tc>
      </w:tr>
      <w:tr w:rsidR="003034F1" w:rsidTr="008768A5">
        <w:tc>
          <w:tcPr>
            <w:tcW w:w="2235" w:type="dxa"/>
          </w:tcPr>
          <w:p w:rsidR="003034F1" w:rsidRDefault="003034F1" w:rsidP="00B662A2">
            <w:pPr>
              <w:widowControl w:val="0"/>
              <w:spacing w:after="120"/>
              <w:rPr>
                <w:b/>
              </w:rPr>
            </w:pPr>
            <w:r>
              <w:rPr>
                <w:b/>
              </w:rPr>
              <w:t>Environmental Protection Act</w:t>
            </w:r>
            <w:r w:rsidR="008768A5">
              <w:rPr>
                <w:b/>
              </w:rPr>
              <w:t xml:space="preserve"> – Enforcement Tools</w:t>
            </w:r>
          </w:p>
        </w:tc>
        <w:tc>
          <w:tcPr>
            <w:tcW w:w="5811" w:type="dxa"/>
          </w:tcPr>
          <w:p w:rsidR="003034F1" w:rsidRPr="00CD5489" w:rsidRDefault="003034F1" w:rsidP="00B662A2">
            <w:pPr>
              <w:pStyle w:val="ListParagraph"/>
              <w:widowControl w:val="0"/>
              <w:numPr>
                <w:ilvl w:val="0"/>
                <w:numId w:val="3"/>
              </w:numPr>
              <w:spacing w:after="120"/>
              <w:ind w:left="342"/>
              <w:contextualSpacing w:val="0"/>
              <w:rPr>
                <w:b/>
              </w:rPr>
            </w:pPr>
            <w:r>
              <w:rPr>
                <w:b/>
              </w:rPr>
              <w:t>Vehicle Permits and Number Plates</w:t>
            </w:r>
          </w:p>
          <w:p w:rsidR="003034F1" w:rsidRPr="003034F1" w:rsidRDefault="003034F1" w:rsidP="00B662A2">
            <w:pPr>
              <w:pStyle w:val="ListParagraph"/>
              <w:widowControl w:val="0"/>
              <w:numPr>
                <w:ilvl w:val="0"/>
                <w:numId w:val="1"/>
              </w:numPr>
              <w:spacing w:before="0" w:after="120"/>
              <w:ind w:left="702"/>
              <w:contextualSpacing w:val="0"/>
              <w:rPr>
                <w:sz w:val="20"/>
              </w:rPr>
            </w:pPr>
            <w:r>
              <w:rPr>
                <w:sz w:val="20"/>
              </w:rPr>
              <w:t>P</w:t>
            </w:r>
            <w:r w:rsidRPr="003034F1">
              <w:rPr>
                <w:sz w:val="20"/>
              </w:rPr>
              <w:t>roposes to re-enact Part V.1 of th</w:t>
            </w:r>
            <w:r>
              <w:rPr>
                <w:sz w:val="20"/>
              </w:rPr>
              <w:t>e EPA to allow p</w:t>
            </w:r>
            <w:r w:rsidRPr="003034F1">
              <w:rPr>
                <w:sz w:val="20"/>
              </w:rPr>
              <w:t xml:space="preserve">rovincial officers to seize vehicle permits and numbered plates (including out-of-province vehicle plates) if it is reasonably believed that the vehicle was or is being used in connection with the commission of an offence under the </w:t>
            </w:r>
            <w:r w:rsidRPr="003034F1">
              <w:rPr>
                <w:i/>
                <w:sz w:val="20"/>
              </w:rPr>
              <w:t>EPA, Nutrient Management Act, Ontario Water Resources Act, Pesticides Act, Safe Drinking Water Act or Toxics Reduction Act</w:t>
            </w:r>
            <w:r w:rsidRPr="003034F1">
              <w:rPr>
                <w:sz w:val="20"/>
              </w:rPr>
              <w:t>.</w:t>
            </w:r>
          </w:p>
          <w:p w:rsidR="003034F1" w:rsidRPr="003034F1" w:rsidRDefault="003034F1" w:rsidP="00B662A2">
            <w:pPr>
              <w:pStyle w:val="ListParagraph"/>
              <w:widowControl w:val="0"/>
              <w:numPr>
                <w:ilvl w:val="0"/>
                <w:numId w:val="1"/>
              </w:numPr>
              <w:spacing w:before="0" w:after="120"/>
              <w:ind w:left="702"/>
              <w:contextualSpacing w:val="0"/>
              <w:rPr>
                <w:sz w:val="20"/>
              </w:rPr>
            </w:pPr>
            <w:r w:rsidRPr="003034F1">
              <w:rPr>
                <w:sz w:val="20"/>
              </w:rPr>
              <w:t>This proposed enforcement tool is being re-enacted primarily to enhance enforcement of the proposed Excess Soil Regulatory proposal that is also currently posted on the Environmental Bill of Rights registry for public comment until May 31, 2019.</w:t>
            </w:r>
          </w:p>
          <w:p w:rsidR="003034F1" w:rsidRPr="003034F1" w:rsidRDefault="003034F1" w:rsidP="00B662A2">
            <w:pPr>
              <w:pStyle w:val="ListParagraph"/>
              <w:widowControl w:val="0"/>
              <w:numPr>
                <w:ilvl w:val="0"/>
                <w:numId w:val="1"/>
              </w:numPr>
              <w:spacing w:before="0" w:after="120"/>
              <w:ind w:left="702"/>
              <w:contextualSpacing w:val="0"/>
              <w:rPr>
                <w:sz w:val="20"/>
              </w:rPr>
            </w:pPr>
            <w:r w:rsidRPr="003034F1">
              <w:rPr>
                <w:sz w:val="20"/>
              </w:rPr>
              <w:t>The proposed legislation will ensure that no new vehicle licence permit and plates can be issued to the permit holder of the vehicle until further notice or until the prescribed prohibition period (ending no later than 30 days following the day on which the vehicle plates were seized).</w:t>
            </w:r>
          </w:p>
          <w:p w:rsidR="003034F1" w:rsidRPr="003034F1" w:rsidRDefault="003034F1" w:rsidP="00B662A2">
            <w:pPr>
              <w:pStyle w:val="ListParagraph"/>
              <w:widowControl w:val="0"/>
              <w:numPr>
                <w:ilvl w:val="0"/>
                <w:numId w:val="1"/>
              </w:numPr>
              <w:spacing w:before="0" w:after="120"/>
              <w:ind w:left="702"/>
              <w:contextualSpacing w:val="0"/>
              <w:rPr>
                <w:sz w:val="20"/>
              </w:rPr>
            </w:pPr>
            <w:r w:rsidRPr="003034F1">
              <w:rPr>
                <w:sz w:val="20"/>
              </w:rPr>
              <w:t>Further, no person can apply for, obtain or have in possession a vehicle permit or plates for a vehicle that would result in a contravention of a notice of seizure, made under s. 49, or a court order issued under s. 50.</w:t>
            </w:r>
          </w:p>
          <w:p w:rsidR="003034F1" w:rsidRPr="003034F1" w:rsidRDefault="003034F1" w:rsidP="00B662A2">
            <w:pPr>
              <w:pStyle w:val="ListParagraph"/>
              <w:widowControl w:val="0"/>
              <w:numPr>
                <w:ilvl w:val="0"/>
                <w:numId w:val="1"/>
              </w:numPr>
              <w:spacing w:before="0" w:after="120"/>
              <w:ind w:left="702"/>
              <w:contextualSpacing w:val="0"/>
              <w:rPr>
                <w:sz w:val="20"/>
              </w:rPr>
            </w:pPr>
            <w:r w:rsidRPr="003034F1">
              <w:rPr>
                <w:sz w:val="20"/>
              </w:rPr>
              <w:t>Provincial officers may dispose of the seized vehicle plates and section 158.2 of the Provincial Offences Act does not apply to this type of seizure. (</w:t>
            </w:r>
            <w:proofErr w:type="gramStart"/>
            <w:r w:rsidRPr="003034F1">
              <w:rPr>
                <w:sz w:val="20"/>
              </w:rPr>
              <w:t>s.158.2</w:t>
            </w:r>
            <w:proofErr w:type="gramEnd"/>
            <w:r w:rsidRPr="003034F1">
              <w:rPr>
                <w:sz w:val="20"/>
              </w:rPr>
              <w:t xml:space="preserve"> of POA </w:t>
            </w:r>
            <w:r w:rsidRPr="003034F1">
              <w:rPr>
                <w:sz w:val="20"/>
              </w:rPr>
              <w:lastRenderedPageBreak/>
              <w:t>relates to seizure under a warrant.)</w:t>
            </w:r>
          </w:p>
          <w:p w:rsidR="003034F1" w:rsidRPr="003034F1" w:rsidRDefault="003034F1" w:rsidP="00B662A2">
            <w:pPr>
              <w:pStyle w:val="ListParagraph"/>
              <w:widowControl w:val="0"/>
              <w:numPr>
                <w:ilvl w:val="0"/>
                <w:numId w:val="1"/>
              </w:numPr>
              <w:spacing w:before="0" w:after="120"/>
              <w:ind w:left="702"/>
              <w:contextualSpacing w:val="0"/>
              <w:rPr>
                <w:sz w:val="20"/>
              </w:rPr>
            </w:pPr>
            <w:r w:rsidRPr="003034F1">
              <w:rPr>
                <w:sz w:val="20"/>
              </w:rPr>
              <w:t>When a seizure is undertaken under this provision of the EPA, the Ministry is required to give notice to the Registrar.</w:t>
            </w:r>
          </w:p>
          <w:p w:rsidR="003034F1" w:rsidRDefault="003034F1" w:rsidP="00B662A2">
            <w:pPr>
              <w:pStyle w:val="ListParagraph"/>
              <w:widowControl w:val="0"/>
              <w:numPr>
                <w:ilvl w:val="0"/>
                <w:numId w:val="1"/>
              </w:numPr>
              <w:spacing w:before="0" w:after="120"/>
              <w:ind w:left="702"/>
              <w:contextualSpacing w:val="0"/>
              <w:rPr>
                <w:b/>
              </w:rPr>
            </w:pPr>
            <w:r w:rsidRPr="003034F1">
              <w:rPr>
                <w:sz w:val="20"/>
              </w:rPr>
              <w:t>The court may issue an order under this section in addition to any other penalty imposed.</w:t>
            </w:r>
          </w:p>
        </w:tc>
        <w:tc>
          <w:tcPr>
            <w:tcW w:w="5130" w:type="dxa"/>
          </w:tcPr>
          <w:p w:rsidR="003034F1" w:rsidRDefault="00043AA3" w:rsidP="00B662A2">
            <w:pPr>
              <w:widowControl w:val="0"/>
              <w:spacing w:after="120"/>
            </w:pPr>
            <w:r>
              <w:lastRenderedPageBreak/>
              <w:t>NO COMMENTS.</w:t>
            </w:r>
          </w:p>
          <w:p w:rsidR="00043AA3" w:rsidRPr="00043AA3" w:rsidRDefault="00043AA3" w:rsidP="00B662A2">
            <w:pPr>
              <w:widowControl w:val="0"/>
              <w:spacing w:beforeLines="200" w:before="480" w:after="120"/>
              <w:rPr>
                <w:i/>
              </w:rPr>
            </w:pPr>
            <w:r w:rsidRPr="00043AA3">
              <w:rPr>
                <w:i/>
              </w:rPr>
              <w:t xml:space="preserve">(No issues identified </w:t>
            </w:r>
            <w:r>
              <w:rPr>
                <w:i/>
              </w:rPr>
              <w:t xml:space="preserve">or </w:t>
            </w:r>
            <w:r w:rsidRPr="00043AA3">
              <w:rPr>
                <w:i/>
              </w:rPr>
              <w:t xml:space="preserve">any significant changes that </w:t>
            </w:r>
            <w:r>
              <w:rPr>
                <w:i/>
              </w:rPr>
              <w:t xml:space="preserve">may </w:t>
            </w:r>
            <w:r w:rsidRPr="00043AA3">
              <w:rPr>
                <w:i/>
              </w:rPr>
              <w:t>affect the City.)</w:t>
            </w:r>
          </w:p>
          <w:p w:rsidR="00043AA3" w:rsidRPr="00043AA3" w:rsidRDefault="00043AA3" w:rsidP="00B662A2">
            <w:pPr>
              <w:widowControl w:val="0"/>
              <w:spacing w:beforeLines="200" w:before="480" w:after="120"/>
            </w:pPr>
          </w:p>
        </w:tc>
      </w:tr>
      <w:tr w:rsidR="003034F1" w:rsidTr="008768A5">
        <w:tc>
          <w:tcPr>
            <w:tcW w:w="2235" w:type="dxa"/>
          </w:tcPr>
          <w:p w:rsidR="003034F1" w:rsidRDefault="007E413D" w:rsidP="00B662A2">
            <w:pPr>
              <w:widowControl w:val="0"/>
              <w:spacing w:after="120"/>
              <w:rPr>
                <w:b/>
              </w:rPr>
            </w:pPr>
            <w:r w:rsidRPr="007E413D">
              <w:rPr>
                <w:b/>
              </w:rPr>
              <w:lastRenderedPageBreak/>
              <w:t>Environmental Protection Act – Enforcement Tools</w:t>
            </w:r>
          </w:p>
        </w:tc>
        <w:tc>
          <w:tcPr>
            <w:tcW w:w="5811" w:type="dxa"/>
          </w:tcPr>
          <w:p w:rsidR="003034F1" w:rsidRDefault="003034F1" w:rsidP="00B662A2">
            <w:pPr>
              <w:pStyle w:val="ListParagraph"/>
              <w:widowControl w:val="0"/>
              <w:numPr>
                <w:ilvl w:val="0"/>
                <w:numId w:val="3"/>
              </w:numPr>
              <w:spacing w:after="120"/>
              <w:contextualSpacing w:val="0"/>
            </w:pPr>
            <w:r>
              <w:rPr>
                <w:b/>
              </w:rPr>
              <w:t>Administrative Penalties</w:t>
            </w:r>
          </w:p>
          <w:p w:rsidR="003034F1" w:rsidRPr="00043AA3" w:rsidRDefault="00043AA3" w:rsidP="00B662A2">
            <w:pPr>
              <w:pStyle w:val="ListParagraph"/>
              <w:widowControl w:val="0"/>
              <w:numPr>
                <w:ilvl w:val="0"/>
                <w:numId w:val="1"/>
              </w:numPr>
              <w:spacing w:before="0" w:after="120"/>
              <w:contextualSpacing w:val="0"/>
              <w:rPr>
                <w:sz w:val="20"/>
              </w:rPr>
            </w:pPr>
            <w:r w:rsidRPr="00043AA3">
              <w:rPr>
                <w:sz w:val="20"/>
              </w:rPr>
              <w:t xml:space="preserve">Propose </w:t>
            </w:r>
            <w:r w:rsidR="003034F1" w:rsidRPr="00043AA3">
              <w:rPr>
                <w:sz w:val="20"/>
              </w:rPr>
              <w:t>to repeal s</w:t>
            </w:r>
            <w:r w:rsidRPr="00043AA3">
              <w:rPr>
                <w:sz w:val="20"/>
              </w:rPr>
              <w:t>.182.3 of the Act and replace</w:t>
            </w:r>
            <w:r w:rsidR="003034F1" w:rsidRPr="00043AA3">
              <w:rPr>
                <w:sz w:val="20"/>
              </w:rPr>
              <w:t xml:space="preserve"> with a revised section on Administrative Penalties, which has been broadened in scope to apply to any requirements or orders made under this Act, instead of a more</w:t>
            </w:r>
            <w:bookmarkStart w:id="0" w:name="_GoBack"/>
            <w:bookmarkEnd w:id="0"/>
            <w:r w:rsidR="003034F1" w:rsidRPr="00043AA3">
              <w:rPr>
                <w:sz w:val="20"/>
              </w:rPr>
              <w:t xml:space="preserve"> limited list of circumstances.</w:t>
            </w:r>
          </w:p>
          <w:p w:rsidR="003034F1" w:rsidRPr="00043AA3" w:rsidRDefault="003034F1" w:rsidP="00B662A2">
            <w:pPr>
              <w:pStyle w:val="ListParagraph"/>
              <w:widowControl w:val="0"/>
              <w:numPr>
                <w:ilvl w:val="0"/>
                <w:numId w:val="1"/>
              </w:numPr>
              <w:spacing w:before="0" w:after="120"/>
              <w:contextualSpacing w:val="0"/>
              <w:rPr>
                <w:sz w:val="20"/>
              </w:rPr>
            </w:pPr>
            <w:r w:rsidRPr="00043AA3">
              <w:rPr>
                <w:sz w:val="20"/>
              </w:rPr>
              <w:t>A subsection on “prescribed contraventions” has been added, which may be in respect of,</w:t>
            </w:r>
          </w:p>
          <w:p w:rsidR="003034F1" w:rsidRPr="00043AA3" w:rsidRDefault="003034F1" w:rsidP="00B662A2">
            <w:pPr>
              <w:pStyle w:val="ListParagraph"/>
              <w:widowControl w:val="0"/>
              <w:numPr>
                <w:ilvl w:val="1"/>
                <w:numId w:val="1"/>
              </w:numPr>
              <w:spacing w:before="0" w:after="120"/>
              <w:contextualSpacing w:val="0"/>
              <w:rPr>
                <w:sz w:val="20"/>
              </w:rPr>
            </w:pPr>
            <w:r w:rsidRPr="00043AA3">
              <w:rPr>
                <w:sz w:val="20"/>
              </w:rPr>
              <w:t>A provision of this Act or the regulations;</w:t>
            </w:r>
          </w:p>
          <w:p w:rsidR="003034F1" w:rsidRPr="00043AA3" w:rsidRDefault="003034F1" w:rsidP="00B662A2">
            <w:pPr>
              <w:pStyle w:val="ListParagraph"/>
              <w:widowControl w:val="0"/>
              <w:numPr>
                <w:ilvl w:val="1"/>
                <w:numId w:val="1"/>
              </w:numPr>
              <w:spacing w:before="0" w:after="120"/>
              <w:contextualSpacing w:val="0"/>
              <w:rPr>
                <w:sz w:val="20"/>
              </w:rPr>
            </w:pPr>
            <w:r w:rsidRPr="00043AA3">
              <w:rPr>
                <w:sz w:val="20"/>
              </w:rPr>
              <w:t>A provision of an order under this Act; or</w:t>
            </w:r>
          </w:p>
          <w:p w:rsidR="003034F1" w:rsidRPr="00043AA3" w:rsidRDefault="003034F1" w:rsidP="00B662A2">
            <w:pPr>
              <w:pStyle w:val="ListParagraph"/>
              <w:widowControl w:val="0"/>
              <w:numPr>
                <w:ilvl w:val="1"/>
                <w:numId w:val="1"/>
              </w:numPr>
              <w:spacing w:before="0" w:after="120"/>
              <w:contextualSpacing w:val="0"/>
              <w:rPr>
                <w:sz w:val="20"/>
              </w:rPr>
            </w:pPr>
            <w:r w:rsidRPr="00043AA3">
              <w:rPr>
                <w:sz w:val="20"/>
              </w:rPr>
              <w:t>A term or condition of an environmental compliance approval, certificate of property use, renewable energy approval, licence or permit under this Act.</w:t>
            </w:r>
          </w:p>
          <w:p w:rsidR="003034F1" w:rsidRPr="00043AA3" w:rsidRDefault="00043AA3" w:rsidP="00B662A2">
            <w:pPr>
              <w:pStyle w:val="ListParagraph"/>
              <w:widowControl w:val="0"/>
              <w:numPr>
                <w:ilvl w:val="0"/>
                <w:numId w:val="1"/>
              </w:numPr>
              <w:spacing w:before="0" w:after="120"/>
              <w:contextualSpacing w:val="0"/>
              <w:rPr>
                <w:sz w:val="20"/>
              </w:rPr>
            </w:pPr>
            <w:r>
              <w:rPr>
                <w:sz w:val="20"/>
              </w:rPr>
              <w:t>E</w:t>
            </w:r>
            <w:r w:rsidR="003034F1" w:rsidRPr="00043AA3">
              <w:rPr>
                <w:sz w:val="20"/>
              </w:rPr>
              <w:t>xception to issuing an order for the above prescribed contraventions if the Director is able to issue an environmental penalty order to the person in respect of the same contravention.</w:t>
            </w:r>
          </w:p>
          <w:p w:rsidR="003034F1" w:rsidRPr="00043AA3" w:rsidRDefault="003034F1" w:rsidP="00B662A2">
            <w:pPr>
              <w:pStyle w:val="ListParagraph"/>
              <w:widowControl w:val="0"/>
              <w:numPr>
                <w:ilvl w:val="0"/>
                <w:numId w:val="1"/>
              </w:numPr>
              <w:spacing w:before="0" w:after="120"/>
              <w:contextualSpacing w:val="0"/>
              <w:rPr>
                <w:sz w:val="20"/>
              </w:rPr>
            </w:pPr>
            <w:r w:rsidRPr="00043AA3">
              <w:rPr>
                <w:sz w:val="20"/>
              </w:rPr>
              <w:t>The total penalty has been increased from $100,000 to $200,000 for each co</w:t>
            </w:r>
            <w:r w:rsidR="00043AA3">
              <w:rPr>
                <w:sz w:val="20"/>
              </w:rPr>
              <w:t>ntravention. T</w:t>
            </w:r>
            <w:r w:rsidRPr="00043AA3">
              <w:rPr>
                <w:sz w:val="20"/>
              </w:rPr>
              <w:t>otal amount of the administrative penalty may be increased by an amount equal to the amount of monetary benefit acquired or accrued by the person as a result of the contravention.</w:t>
            </w:r>
          </w:p>
          <w:p w:rsidR="003034F1" w:rsidRPr="00043AA3" w:rsidRDefault="003034F1" w:rsidP="00B662A2">
            <w:pPr>
              <w:pStyle w:val="ListParagraph"/>
              <w:widowControl w:val="0"/>
              <w:numPr>
                <w:ilvl w:val="0"/>
                <w:numId w:val="1"/>
              </w:numPr>
              <w:spacing w:before="0" w:after="120"/>
              <w:contextualSpacing w:val="0"/>
              <w:rPr>
                <w:sz w:val="20"/>
              </w:rPr>
            </w:pPr>
            <w:r w:rsidRPr="00043AA3">
              <w:rPr>
                <w:sz w:val="20"/>
              </w:rPr>
              <w:lastRenderedPageBreak/>
              <w:t>The existing subsection that provides the contents of a notice has been removed and is replaced with a subsection prescribing contents of an order made under s. 182.3.</w:t>
            </w:r>
          </w:p>
          <w:p w:rsidR="003034F1" w:rsidRPr="00043AA3" w:rsidRDefault="003034F1" w:rsidP="00B662A2">
            <w:pPr>
              <w:pStyle w:val="ListParagraph"/>
              <w:widowControl w:val="0"/>
              <w:numPr>
                <w:ilvl w:val="0"/>
                <w:numId w:val="1"/>
              </w:numPr>
              <w:spacing w:before="0" w:after="120"/>
              <w:contextualSpacing w:val="0"/>
              <w:rPr>
                <w:sz w:val="20"/>
              </w:rPr>
            </w:pPr>
            <w:r w:rsidRPr="00043AA3">
              <w:rPr>
                <w:sz w:val="20"/>
              </w:rPr>
              <w:t>A new provision for an annual report will be required regarding orders made under s. 182.3.</w:t>
            </w:r>
          </w:p>
          <w:p w:rsidR="003034F1" w:rsidRDefault="003034F1" w:rsidP="00B662A2">
            <w:pPr>
              <w:pStyle w:val="ListParagraph"/>
              <w:widowControl w:val="0"/>
              <w:numPr>
                <w:ilvl w:val="0"/>
                <w:numId w:val="1"/>
              </w:numPr>
              <w:spacing w:before="0" w:after="120"/>
              <w:contextualSpacing w:val="0"/>
              <w:rPr>
                <w:b/>
              </w:rPr>
            </w:pPr>
            <w:r w:rsidRPr="00043AA3">
              <w:rPr>
                <w:sz w:val="20"/>
              </w:rPr>
              <w:t>The subsection on regulations has been expanded to include regulations on prescribing circumstances where a provincial officer is authorized or prohibited from issuing an order, the amount of administrative penalties, including the maximum amount relating to monetary benefits, prescribing procedures related to administrative penalties, and payment of interest and late payment penalties</w:t>
            </w:r>
            <w:r>
              <w:t>.</w:t>
            </w:r>
          </w:p>
        </w:tc>
        <w:tc>
          <w:tcPr>
            <w:tcW w:w="5130" w:type="dxa"/>
          </w:tcPr>
          <w:p w:rsidR="00043AA3" w:rsidRDefault="00043AA3" w:rsidP="00043AA3">
            <w:pPr>
              <w:keepNext/>
              <w:keepLines/>
              <w:spacing w:after="120"/>
            </w:pPr>
            <w:r>
              <w:lastRenderedPageBreak/>
              <w:t>NO COMMENTS.</w:t>
            </w:r>
          </w:p>
          <w:p w:rsidR="00043AA3" w:rsidRPr="00043AA3" w:rsidRDefault="00043AA3" w:rsidP="00043AA3">
            <w:pPr>
              <w:keepNext/>
              <w:keepLines/>
              <w:spacing w:after="120"/>
              <w:rPr>
                <w:i/>
              </w:rPr>
            </w:pPr>
            <w:r w:rsidRPr="00043AA3">
              <w:rPr>
                <w:i/>
              </w:rPr>
              <w:t xml:space="preserve">(No issues identified </w:t>
            </w:r>
            <w:r>
              <w:rPr>
                <w:i/>
              </w:rPr>
              <w:t xml:space="preserve">or </w:t>
            </w:r>
            <w:r w:rsidRPr="00043AA3">
              <w:rPr>
                <w:i/>
              </w:rPr>
              <w:t xml:space="preserve">any significant changes that </w:t>
            </w:r>
            <w:r>
              <w:rPr>
                <w:i/>
              </w:rPr>
              <w:t xml:space="preserve">may </w:t>
            </w:r>
            <w:r w:rsidRPr="00043AA3">
              <w:rPr>
                <w:i/>
              </w:rPr>
              <w:t>affect the City.)</w:t>
            </w:r>
          </w:p>
          <w:p w:rsidR="003034F1" w:rsidRDefault="003034F1" w:rsidP="00043AA3">
            <w:pPr>
              <w:keepNext/>
              <w:keepLines/>
              <w:spacing w:after="120"/>
              <w:rPr>
                <w:b/>
              </w:rPr>
            </w:pPr>
          </w:p>
        </w:tc>
      </w:tr>
      <w:tr w:rsidR="003034F1" w:rsidTr="008768A5">
        <w:tc>
          <w:tcPr>
            <w:tcW w:w="2235" w:type="dxa"/>
          </w:tcPr>
          <w:p w:rsidR="003034F1" w:rsidRDefault="004346C7" w:rsidP="00B662A2">
            <w:pPr>
              <w:widowControl w:val="0"/>
              <w:spacing w:after="120"/>
              <w:rPr>
                <w:b/>
              </w:rPr>
            </w:pPr>
            <w:r>
              <w:rPr>
                <w:b/>
              </w:rPr>
              <w:lastRenderedPageBreak/>
              <w:t>Environmental Protection Act</w:t>
            </w:r>
            <w:r w:rsidR="008768A5">
              <w:rPr>
                <w:b/>
              </w:rPr>
              <w:t xml:space="preserve"> - ECA</w:t>
            </w:r>
          </w:p>
        </w:tc>
        <w:tc>
          <w:tcPr>
            <w:tcW w:w="5811" w:type="dxa"/>
          </w:tcPr>
          <w:p w:rsidR="004346C7" w:rsidRPr="00CD5489" w:rsidRDefault="004346C7" w:rsidP="00B662A2">
            <w:pPr>
              <w:pStyle w:val="ListParagraph"/>
              <w:widowControl w:val="0"/>
              <w:spacing w:after="120"/>
              <w:ind w:left="342"/>
              <w:contextualSpacing w:val="0"/>
              <w:rPr>
                <w:b/>
              </w:rPr>
            </w:pPr>
            <w:r>
              <w:rPr>
                <w:b/>
              </w:rPr>
              <w:t>Environmental Compliance Approval (ECA) in Respect of Sewage Works</w:t>
            </w:r>
          </w:p>
          <w:p w:rsidR="004346C7" w:rsidRDefault="004346C7" w:rsidP="00B662A2">
            <w:pPr>
              <w:pStyle w:val="ListParagraph"/>
              <w:widowControl w:val="0"/>
              <w:numPr>
                <w:ilvl w:val="0"/>
                <w:numId w:val="1"/>
              </w:numPr>
              <w:spacing w:before="0" w:after="120"/>
              <w:ind w:left="702"/>
              <w:contextualSpacing w:val="0"/>
              <w:rPr>
                <w:sz w:val="20"/>
              </w:rPr>
            </w:pPr>
            <w:r>
              <w:rPr>
                <w:sz w:val="20"/>
              </w:rPr>
              <w:t>Overview: The proposed regulation would allow developers who enter into an agreement with the municipality to construct sewage works that the municipality may owner under the municipality’s ECA. This would apply to munici</w:t>
            </w:r>
            <w:r w:rsidR="00732D16">
              <w:rPr>
                <w:sz w:val="20"/>
              </w:rPr>
              <w:t>palities who have ECAs with pre-</w:t>
            </w:r>
            <w:r w:rsidR="00C376F4">
              <w:rPr>
                <w:sz w:val="20"/>
              </w:rPr>
              <w:t>authorizations</w:t>
            </w:r>
            <w:r>
              <w:rPr>
                <w:sz w:val="20"/>
              </w:rPr>
              <w:t xml:space="preserve"> and would enable developers to construct works that the municipality may owner under the </w:t>
            </w:r>
            <w:r w:rsidR="00732D16">
              <w:rPr>
                <w:sz w:val="20"/>
              </w:rPr>
              <w:t>municipality’s</w:t>
            </w:r>
            <w:r>
              <w:rPr>
                <w:sz w:val="20"/>
              </w:rPr>
              <w:t xml:space="preserve"> ECAs, if specific conditions are met (see </w:t>
            </w:r>
            <w:r w:rsidR="00732D16">
              <w:rPr>
                <w:sz w:val="20"/>
              </w:rPr>
              <w:t>details</w:t>
            </w:r>
            <w:r>
              <w:rPr>
                <w:sz w:val="20"/>
              </w:rPr>
              <w:t xml:space="preserve"> below).</w:t>
            </w:r>
          </w:p>
          <w:p w:rsidR="00694CF6" w:rsidRPr="00315548" w:rsidRDefault="00694CF6" w:rsidP="00B662A2">
            <w:pPr>
              <w:pStyle w:val="ListParagraph"/>
              <w:widowControl w:val="0"/>
              <w:numPr>
                <w:ilvl w:val="0"/>
                <w:numId w:val="1"/>
              </w:numPr>
              <w:spacing w:before="0" w:after="120"/>
              <w:ind w:left="702"/>
              <w:contextualSpacing w:val="0"/>
              <w:rPr>
                <w:sz w:val="20"/>
              </w:rPr>
            </w:pPr>
            <w:r w:rsidRPr="00315548">
              <w:rPr>
                <w:sz w:val="20"/>
              </w:rPr>
              <w:t>For the purposes of clause 20.6 (1) (c) of the Environmental Protection Act</w:t>
            </w:r>
            <w:r w:rsidR="00315548" w:rsidRPr="00315548">
              <w:rPr>
                <w:sz w:val="20"/>
              </w:rPr>
              <w:t xml:space="preserve"> (EPA)</w:t>
            </w:r>
            <w:r w:rsidRPr="00315548">
              <w:rPr>
                <w:sz w:val="20"/>
              </w:rPr>
              <w:t xml:space="preserve">, </w:t>
            </w:r>
            <w:r w:rsidRPr="00315548">
              <w:rPr>
                <w:i/>
                <w:sz w:val="20"/>
              </w:rPr>
              <w:t xml:space="preserve">Prescribed Persons </w:t>
            </w:r>
            <w:r w:rsidRPr="00315548">
              <w:rPr>
                <w:sz w:val="20"/>
              </w:rPr>
              <w:t>are defined as, any person who alters, extends, enlarges or replaces a sewage work, if both conditions below are met:</w:t>
            </w:r>
          </w:p>
          <w:p w:rsidR="00694CF6" w:rsidRPr="00315548" w:rsidRDefault="00694CF6" w:rsidP="00B662A2">
            <w:pPr>
              <w:pStyle w:val="ListParagraph"/>
              <w:widowControl w:val="0"/>
              <w:numPr>
                <w:ilvl w:val="0"/>
                <w:numId w:val="4"/>
              </w:numPr>
              <w:spacing w:before="0" w:after="120"/>
              <w:contextualSpacing w:val="0"/>
              <w:rPr>
                <w:sz w:val="20"/>
              </w:rPr>
            </w:pPr>
            <w:r w:rsidRPr="00315548">
              <w:rPr>
                <w:sz w:val="20"/>
              </w:rPr>
              <w:t xml:space="preserve">The altering, extending, enlarging or replacing is carried out under an agreement with a </w:t>
            </w:r>
            <w:r w:rsidRPr="00315548">
              <w:rPr>
                <w:sz w:val="20"/>
              </w:rPr>
              <w:lastRenderedPageBreak/>
              <w:t xml:space="preserve">municipality, entered into under the </w:t>
            </w:r>
            <w:r w:rsidRPr="00315548">
              <w:rPr>
                <w:i/>
                <w:sz w:val="20"/>
              </w:rPr>
              <w:t>Planning Act</w:t>
            </w:r>
            <w:r w:rsidRPr="00315548">
              <w:rPr>
                <w:sz w:val="20"/>
              </w:rPr>
              <w:t xml:space="preserve"> or the </w:t>
            </w:r>
            <w:r w:rsidRPr="00315548">
              <w:rPr>
                <w:i/>
                <w:sz w:val="20"/>
              </w:rPr>
              <w:t>Development Charges Act</w:t>
            </w:r>
            <w:r w:rsidRPr="00315548">
              <w:rPr>
                <w:sz w:val="20"/>
              </w:rPr>
              <w:t>,</w:t>
            </w:r>
            <w:r w:rsidRPr="00315548">
              <w:rPr>
                <w:i/>
                <w:sz w:val="20"/>
              </w:rPr>
              <w:t xml:space="preserve"> 1997.</w:t>
            </w:r>
          </w:p>
          <w:p w:rsidR="003034F1" w:rsidRPr="00315548" w:rsidRDefault="00694CF6" w:rsidP="00B662A2">
            <w:pPr>
              <w:pStyle w:val="ListParagraph"/>
              <w:widowControl w:val="0"/>
              <w:numPr>
                <w:ilvl w:val="0"/>
                <w:numId w:val="4"/>
              </w:numPr>
              <w:spacing w:before="0" w:after="120"/>
              <w:contextualSpacing w:val="0"/>
              <w:rPr>
                <w:sz w:val="20"/>
              </w:rPr>
            </w:pPr>
            <w:r w:rsidRPr="00315548">
              <w:rPr>
                <w:sz w:val="20"/>
              </w:rPr>
              <w:t xml:space="preserve">The agreement provides that ownership of the sewage works may be transferred to: 1) the municipality; 2) a public utility commission </w:t>
            </w:r>
            <w:r w:rsidR="00315548" w:rsidRPr="00315548">
              <w:rPr>
                <w:sz w:val="20"/>
              </w:rPr>
              <w:t>deemed to</w:t>
            </w:r>
            <w:r w:rsidRPr="00315548">
              <w:rPr>
                <w:sz w:val="20"/>
              </w:rPr>
              <w:t xml:space="preserve"> be a municipal service board under the </w:t>
            </w:r>
            <w:r w:rsidRPr="00315548">
              <w:rPr>
                <w:i/>
                <w:sz w:val="20"/>
              </w:rPr>
              <w:t>Municipal Act, 2001</w:t>
            </w:r>
            <w:r w:rsidR="00315548" w:rsidRPr="00315548">
              <w:rPr>
                <w:sz w:val="20"/>
              </w:rPr>
              <w:t xml:space="preserve">; 3) a municipal service board established under the </w:t>
            </w:r>
            <w:r w:rsidR="00315548" w:rsidRPr="00315548">
              <w:rPr>
                <w:i/>
                <w:sz w:val="20"/>
              </w:rPr>
              <w:t xml:space="preserve">Municipal Act, 2001 </w:t>
            </w:r>
            <w:r w:rsidR="00315548" w:rsidRPr="00315548">
              <w:rPr>
                <w:sz w:val="20"/>
              </w:rPr>
              <w:t>or a city board as defined in the</w:t>
            </w:r>
            <w:r w:rsidR="00315548" w:rsidRPr="00315548">
              <w:rPr>
                <w:i/>
                <w:sz w:val="20"/>
              </w:rPr>
              <w:t xml:space="preserve"> City of Toronto Act, 2006</w:t>
            </w:r>
            <w:r w:rsidR="00315548" w:rsidRPr="00315548">
              <w:rPr>
                <w:sz w:val="20"/>
              </w:rPr>
              <w:t>; or 4)</w:t>
            </w:r>
            <w:r w:rsidR="00315548">
              <w:rPr>
                <w:sz w:val="20"/>
              </w:rPr>
              <w:t xml:space="preserve"> a</w:t>
            </w:r>
            <w:r w:rsidR="00315548" w:rsidRPr="00315548">
              <w:rPr>
                <w:sz w:val="20"/>
              </w:rPr>
              <w:t xml:space="preserve"> corporation established under the </w:t>
            </w:r>
            <w:r w:rsidR="00315548" w:rsidRPr="00315548">
              <w:rPr>
                <w:i/>
                <w:sz w:val="20"/>
              </w:rPr>
              <w:t>Municipal Act, 2001</w:t>
            </w:r>
            <w:r w:rsidR="00315548" w:rsidRPr="00315548">
              <w:rPr>
                <w:sz w:val="20"/>
              </w:rPr>
              <w:t xml:space="preserve"> or under the </w:t>
            </w:r>
            <w:r w:rsidR="00315548" w:rsidRPr="00315548">
              <w:rPr>
                <w:i/>
                <w:sz w:val="20"/>
              </w:rPr>
              <w:t>City of Toronto Act, 2006</w:t>
            </w:r>
            <w:r w:rsidR="00315548" w:rsidRPr="00315548">
              <w:rPr>
                <w:sz w:val="20"/>
              </w:rPr>
              <w:t xml:space="preserve">. </w:t>
            </w:r>
          </w:p>
        </w:tc>
        <w:tc>
          <w:tcPr>
            <w:tcW w:w="5130" w:type="dxa"/>
          </w:tcPr>
          <w:p w:rsidR="004346C7" w:rsidRDefault="004346C7" w:rsidP="00B662A2">
            <w:pPr>
              <w:widowControl w:val="0"/>
              <w:spacing w:after="120"/>
            </w:pPr>
            <w:r>
              <w:lastRenderedPageBreak/>
              <w:t>NO COMMENTS.</w:t>
            </w:r>
          </w:p>
          <w:p w:rsidR="004346C7" w:rsidRPr="00043AA3" w:rsidRDefault="004346C7" w:rsidP="00B662A2">
            <w:pPr>
              <w:widowControl w:val="0"/>
              <w:spacing w:after="120"/>
              <w:rPr>
                <w:i/>
              </w:rPr>
            </w:pPr>
            <w:r w:rsidRPr="00043AA3">
              <w:rPr>
                <w:i/>
              </w:rPr>
              <w:t xml:space="preserve">(No issues identified </w:t>
            </w:r>
            <w:r>
              <w:rPr>
                <w:i/>
              </w:rPr>
              <w:t xml:space="preserve">or </w:t>
            </w:r>
            <w:r w:rsidRPr="00043AA3">
              <w:rPr>
                <w:i/>
              </w:rPr>
              <w:t xml:space="preserve">any significant changes that </w:t>
            </w:r>
            <w:r>
              <w:rPr>
                <w:i/>
              </w:rPr>
              <w:t xml:space="preserve">may </w:t>
            </w:r>
            <w:r w:rsidRPr="00043AA3">
              <w:rPr>
                <w:i/>
              </w:rPr>
              <w:t>affect the City.)</w:t>
            </w:r>
          </w:p>
          <w:p w:rsidR="003034F1" w:rsidRDefault="003034F1" w:rsidP="00B662A2">
            <w:pPr>
              <w:widowControl w:val="0"/>
              <w:spacing w:after="120"/>
              <w:rPr>
                <w:b/>
              </w:rPr>
            </w:pPr>
          </w:p>
        </w:tc>
      </w:tr>
      <w:tr w:rsidR="003034F1" w:rsidTr="008768A5">
        <w:tc>
          <w:tcPr>
            <w:tcW w:w="2235" w:type="dxa"/>
          </w:tcPr>
          <w:p w:rsidR="003034F1" w:rsidRDefault="00942EF7" w:rsidP="003034F1">
            <w:pPr>
              <w:keepNext/>
              <w:keepLines/>
              <w:spacing w:before="0" w:after="120"/>
              <w:rPr>
                <w:b/>
              </w:rPr>
            </w:pPr>
            <w:r w:rsidRPr="00942EF7">
              <w:rPr>
                <w:b/>
                <w:lang w:val="en"/>
              </w:rPr>
              <w:lastRenderedPageBreak/>
              <w:t>Conservation Authorities Act</w:t>
            </w:r>
          </w:p>
        </w:tc>
        <w:tc>
          <w:tcPr>
            <w:tcW w:w="5811" w:type="dxa"/>
          </w:tcPr>
          <w:p w:rsidR="003034F1" w:rsidRDefault="00942EF7" w:rsidP="00942EF7">
            <w:pPr>
              <w:keepNext/>
              <w:keepLines/>
              <w:spacing w:before="0" w:after="120"/>
              <w:jc w:val="center"/>
              <w:rPr>
                <w:b/>
              </w:rPr>
            </w:pPr>
            <w:r>
              <w:rPr>
                <w:b/>
              </w:rPr>
              <w:t>--</w:t>
            </w:r>
          </w:p>
        </w:tc>
        <w:tc>
          <w:tcPr>
            <w:tcW w:w="5130" w:type="dxa"/>
          </w:tcPr>
          <w:p w:rsidR="008768A5" w:rsidRPr="003D4A1A" w:rsidRDefault="008768A5" w:rsidP="008768A5">
            <w:pPr>
              <w:keepNext/>
              <w:keepLines/>
              <w:numPr>
                <w:ilvl w:val="0"/>
                <w:numId w:val="5"/>
              </w:numPr>
              <w:spacing w:after="120"/>
            </w:pPr>
            <w:r w:rsidRPr="003D4A1A">
              <w:t>It is unclear what the impact on municipalities would be from potential new fees for Conservation Authority programs and services</w:t>
            </w:r>
          </w:p>
          <w:p w:rsidR="008768A5" w:rsidRPr="003D4A1A" w:rsidRDefault="008768A5" w:rsidP="008768A5">
            <w:pPr>
              <w:keepNext/>
              <w:keepLines/>
              <w:numPr>
                <w:ilvl w:val="0"/>
                <w:numId w:val="5"/>
              </w:numPr>
              <w:spacing w:after="120"/>
            </w:pPr>
            <w:r w:rsidRPr="003D4A1A">
              <w:rPr>
                <w:lang w:val="en"/>
              </w:rPr>
              <w:t xml:space="preserve">Further clarification of all mandatory and non-mandatory Conservation Authority programs and services will assist in identifying which services/programs are desirable to the municipality and to establish agreements moving forward including transparent recovery of capital costs and operating expenses (as applicable) </w:t>
            </w:r>
          </w:p>
          <w:p w:rsidR="003034F1" w:rsidRPr="007E413D" w:rsidRDefault="008768A5" w:rsidP="00043AA3">
            <w:pPr>
              <w:keepNext/>
              <w:keepLines/>
              <w:numPr>
                <w:ilvl w:val="0"/>
                <w:numId w:val="5"/>
              </w:numPr>
              <w:spacing w:after="120"/>
              <w:rPr>
                <w:i/>
              </w:rPr>
            </w:pPr>
            <w:r w:rsidRPr="003D4A1A">
              <w:rPr>
                <w:lang w:val="en"/>
              </w:rPr>
              <w:t>It is unclear how new provisions of the Act will impact municipalities with regards to regulation of areas/development permitting</w:t>
            </w:r>
          </w:p>
        </w:tc>
      </w:tr>
      <w:tr w:rsidR="003034F1" w:rsidTr="008768A5">
        <w:tc>
          <w:tcPr>
            <w:tcW w:w="2235" w:type="dxa"/>
          </w:tcPr>
          <w:p w:rsidR="003034F1" w:rsidRDefault="00942EF7" w:rsidP="003034F1">
            <w:pPr>
              <w:keepNext/>
              <w:keepLines/>
              <w:spacing w:before="0" w:after="120"/>
              <w:rPr>
                <w:b/>
              </w:rPr>
            </w:pPr>
            <w:r w:rsidRPr="00942EF7">
              <w:rPr>
                <w:b/>
              </w:rPr>
              <w:t>Ontario Regulation 97/04</w:t>
            </w:r>
            <w:r w:rsidR="003D4A1A">
              <w:rPr>
                <w:b/>
              </w:rPr>
              <w:t xml:space="preserve"> – CA’s</w:t>
            </w:r>
          </w:p>
        </w:tc>
        <w:tc>
          <w:tcPr>
            <w:tcW w:w="5811" w:type="dxa"/>
          </w:tcPr>
          <w:p w:rsidR="003034F1" w:rsidRDefault="00942EF7" w:rsidP="00942EF7">
            <w:pPr>
              <w:keepNext/>
              <w:keepLines/>
              <w:spacing w:before="0" w:after="120"/>
              <w:jc w:val="center"/>
              <w:rPr>
                <w:b/>
              </w:rPr>
            </w:pPr>
            <w:r>
              <w:rPr>
                <w:b/>
              </w:rPr>
              <w:t>--</w:t>
            </w:r>
          </w:p>
        </w:tc>
        <w:tc>
          <w:tcPr>
            <w:tcW w:w="5130" w:type="dxa"/>
          </w:tcPr>
          <w:p w:rsidR="007E413D" w:rsidRPr="003D4A1A" w:rsidRDefault="007E413D" w:rsidP="007E413D">
            <w:pPr>
              <w:keepNext/>
              <w:keepLines/>
              <w:numPr>
                <w:ilvl w:val="0"/>
                <w:numId w:val="6"/>
              </w:numPr>
              <w:spacing w:after="120"/>
            </w:pPr>
            <w:r w:rsidRPr="003D4A1A">
              <w:rPr>
                <w:lang w:val="en"/>
              </w:rPr>
              <w:t>It is unclear if updating definitions for key regulatory terms, including: “wetland”, “watercourse” and “pollution” would have impact on the development applications received by the municipality</w:t>
            </w:r>
          </w:p>
          <w:p w:rsidR="003034F1" w:rsidRPr="00972782" w:rsidRDefault="007E413D" w:rsidP="00043AA3">
            <w:pPr>
              <w:keepNext/>
              <w:keepLines/>
              <w:numPr>
                <w:ilvl w:val="0"/>
                <w:numId w:val="6"/>
              </w:numPr>
              <w:spacing w:after="120"/>
              <w:rPr>
                <w:i/>
              </w:rPr>
            </w:pPr>
            <w:r w:rsidRPr="003D4A1A">
              <w:rPr>
                <w:lang w:val="en"/>
              </w:rPr>
              <w:t>It is unclear what qualifies as low-risk development allowing conservation authorities to further exempt activities from requiring a permit and what impact this would have on the municipalities development application process</w:t>
            </w:r>
          </w:p>
          <w:p w:rsidR="00972782" w:rsidRPr="007E413D" w:rsidRDefault="00972782" w:rsidP="00972782">
            <w:pPr>
              <w:keepNext/>
              <w:keepLines/>
              <w:spacing w:after="120"/>
              <w:ind w:left="720"/>
              <w:rPr>
                <w:i/>
              </w:rPr>
            </w:pPr>
          </w:p>
        </w:tc>
      </w:tr>
      <w:tr w:rsidR="003034F1" w:rsidTr="008768A5">
        <w:tc>
          <w:tcPr>
            <w:tcW w:w="2235" w:type="dxa"/>
          </w:tcPr>
          <w:p w:rsidR="003034F1" w:rsidRDefault="00942EF7" w:rsidP="003034F1">
            <w:pPr>
              <w:keepNext/>
              <w:keepLines/>
              <w:spacing w:before="0" w:after="120"/>
              <w:rPr>
                <w:b/>
              </w:rPr>
            </w:pPr>
            <w:r w:rsidRPr="00942EF7">
              <w:rPr>
                <w:b/>
              </w:rPr>
              <w:lastRenderedPageBreak/>
              <w:t>Environmental Assessment Act</w:t>
            </w:r>
          </w:p>
        </w:tc>
        <w:tc>
          <w:tcPr>
            <w:tcW w:w="5811" w:type="dxa"/>
          </w:tcPr>
          <w:p w:rsidR="00E36AC7" w:rsidRDefault="00E36AC7" w:rsidP="00E36AC7">
            <w:pPr>
              <w:numPr>
                <w:ilvl w:val="0"/>
                <w:numId w:val="7"/>
              </w:numPr>
            </w:pPr>
            <w:r w:rsidRPr="00E36AC7">
              <w:rPr>
                <w:b/>
              </w:rPr>
              <w:t>Section 5</w:t>
            </w:r>
            <w:r w:rsidRPr="00E36AC7">
              <w:t xml:space="preserve">: </w:t>
            </w:r>
          </w:p>
          <w:p w:rsidR="00E36AC7" w:rsidRPr="00972782" w:rsidRDefault="00E36AC7" w:rsidP="00E36AC7">
            <w:pPr>
              <w:numPr>
                <w:ilvl w:val="1"/>
                <w:numId w:val="7"/>
              </w:numPr>
              <w:rPr>
                <w:sz w:val="20"/>
              </w:rPr>
            </w:pPr>
            <w:r w:rsidRPr="00972782">
              <w:rPr>
                <w:sz w:val="20"/>
              </w:rPr>
              <w:t>Section 5 amends the Act to make room for future modifications surrounding exempt projects, and exempts the Province from a number of EA requirements related to transit, mines, parks and real estate transactions, as well as Schedule A and A+ municipal class EAs.</w:t>
            </w:r>
          </w:p>
          <w:p w:rsidR="00E36AC7" w:rsidRPr="00972782" w:rsidRDefault="00E36AC7" w:rsidP="00E36AC7">
            <w:pPr>
              <w:pStyle w:val="ListParagraph"/>
              <w:numPr>
                <w:ilvl w:val="1"/>
                <w:numId w:val="7"/>
              </w:numPr>
              <w:rPr>
                <w:sz w:val="20"/>
              </w:rPr>
            </w:pPr>
            <w:r w:rsidRPr="00972782">
              <w:rPr>
                <w:sz w:val="20"/>
              </w:rPr>
              <w:t xml:space="preserve">Section 5 also adds language to the act that will provide a mechanism for the Minister to amend an approved class environmental assessment. The addition of Section 15.4 allows for both administrative amendments and more substantive amendments to approved Class EAs. </w:t>
            </w:r>
          </w:p>
          <w:p w:rsidR="00E36AC7" w:rsidRDefault="00E36AC7" w:rsidP="00E36AC7">
            <w:pPr>
              <w:numPr>
                <w:ilvl w:val="0"/>
                <w:numId w:val="7"/>
              </w:numPr>
            </w:pPr>
            <w:r>
              <w:rPr>
                <w:b/>
              </w:rPr>
              <w:t>Section 6</w:t>
            </w:r>
            <w:r>
              <w:t>:</w:t>
            </w:r>
          </w:p>
          <w:p w:rsidR="00E36AC7" w:rsidRPr="00972782" w:rsidRDefault="00E36AC7" w:rsidP="00E36AC7">
            <w:pPr>
              <w:numPr>
                <w:ilvl w:val="1"/>
                <w:numId w:val="7"/>
              </w:numPr>
              <w:rPr>
                <w:sz w:val="20"/>
              </w:rPr>
            </w:pPr>
            <w:r w:rsidRPr="00972782">
              <w:rPr>
                <w:b/>
                <w:sz w:val="20"/>
              </w:rPr>
              <w:t>Part 4</w:t>
            </w:r>
            <w:r w:rsidRPr="00972782">
              <w:rPr>
                <w:sz w:val="20"/>
              </w:rPr>
              <w:t xml:space="preserve"> is the addition of a sub-section for grounds for order. The addition of subsection 4.1 implies that an order will only be issued when minister is of the opinion that the order may prevent, mitigate or remedy adverse impacts on;</w:t>
            </w:r>
          </w:p>
          <w:p w:rsidR="00E36AC7" w:rsidRPr="00972782" w:rsidRDefault="00E36AC7" w:rsidP="00E36AC7">
            <w:pPr>
              <w:numPr>
                <w:ilvl w:val="2"/>
                <w:numId w:val="7"/>
              </w:numPr>
              <w:rPr>
                <w:sz w:val="20"/>
              </w:rPr>
            </w:pPr>
            <w:r w:rsidRPr="00972782">
              <w:rPr>
                <w:sz w:val="20"/>
              </w:rPr>
              <w:t>The existing aboriginal and treaty rights of the aboriginal peoples of Canada as recognized and affirmed in section 35 of the constitution Act, 1982; or</w:t>
            </w:r>
          </w:p>
          <w:p w:rsidR="00E36AC7" w:rsidRPr="00972782" w:rsidRDefault="00E36AC7" w:rsidP="00E36AC7">
            <w:pPr>
              <w:numPr>
                <w:ilvl w:val="2"/>
                <w:numId w:val="7"/>
              </w:numPr>
              <w:rPr>
                <w:sz w:val="20"/>
              </w:rPr>
            </w:pPr>
            <w:r w:rsidRPr="00972782">
              <w:rPr>
                <w:sz w:val="20"/>
              </w:rPr>
              <w:t>A prescribed matter of provincial importance</w:t>
            </w:r>
          </w:p>
          <w:p w:rsidR="00E36AC7" w:rsidRPr="00972782" w:rsidRDefault="00E36AC7" w:rsidP="00E36AC7">
            <w:pPr>
              <w:numPr>
                <w:ilvl w:val="1"/>
                <w:numId w:val="7"/>
              </w:numPr>
              <w:rPr>
                <w:sz w:val="20"/>
              </w:rPr>
            </w:pPr>
            <w:r w:rsidRPr="00972782">
              <w:rPr>
                <w:b/>
                <w:sz w:val="20"/>
              </w:rPr>
              <w:t>Parts 6 and 7</w:t>
            </w:r>
            <w:r w:rsidRPr="00972782">
              <w:rPr>
                <w:sz w:val="20"/>
              </w:rPr>
              <w:t xml:space="preserve"> are adding language to </w:t>
            </w:r>
            <w:r w:rsidRPr="00972782">
              <w:rPr>
                <w:sz w:val="20"/>
              </w:rPr>
              <w:lastRenderedPageBreak/>
              <w:t>deadlines set to request an order as well as to respond to an order. This part also adds the review of request by Director. The new act will require that the Director shall review an order request to determine its validity ahead of presenting to the Minister</w:t>
            </w:r>
          </w:p>
          <w:p w:rsidR="00E36AC7" w:rsidRPr="00972782" w:rsidRDefault="00E36AC7" w:rsidP="00E36AC7">
            <w:pPr>
              <w:pStyle w:val="ListParagraph"/>
              <w:numPr>
                <w:ilvl w:val="1"/>
                <w:numId w:val="7"/>
              </w:numPr>
              <w:rPr>
                <w:sz w:val="20"/>
              </w:rPr>
            </w:pPr>
            <w:r w:rsidRPr="00972782">
              <w:rPr>
                <w:b/>
                <w:sz w:val="20"/>
              </w:rPr>
              <w:t>Part 8</w:t>
            </w:r>
            <w:r w:rsidRPr="00972782">
              <w:rPr>
                <w:sz w:val="20"/>
              </w:rPr>
              <w:t xml:space="preserve"> allows the Minister to delegate order request issuance to a tribunal</w:t>
            </w:r>
          </w:p>
          <w:p w:rsidR="003034F1" w:rsidRPr="00E36AC7" w:rsidRDefault="003034F1" w:rsidP="00E36AC7">
            <w:pPr>
              <w:keepNext/>
              <w:keepLines/>
              <w:spacing w:before="0" w:after="120"/>
            </w:pPr>
          </w:p>
        </w:tc>
        <w:tc>
          <w:tcPr>
            <w:tcW w:w="5130" w:type="dxa"/>
          </w:tcPr>
          <w:p w:rsidR="003034F1" w:rsidRDefault="00E36AC7" w:rsidP="00E36AC7">
            <w:pPr>
              <w:pStyle w:val="ListParagraph"/>
              <w:keepNext/>
              <w:keepLines/>
              <w:numPr>
                <w:ilvl w:val="0"/>
                <w:numId w:val="8"/>
              </w:numPr>
              <w:spacing w:after="120"/>
            </w:pPr>
            <w:r w:rsidRPr="00E36AC7">
              <w:lastRenderedPageBreak/>
              <w:t>Section 5 - It is unclear at this time how this will impact the City. This could be a housekeeping modification, or further regulat</w:t>
            </w:r>
            <w:r w:rsidR="00972782">
              <w:t>ions could provide more contexts</w:t>
            </w:r>
            <w:r w:rsidRPr="00E36AC7">
              <w:t xml:space="preserve"> for this modification.</w:t>
            </w:r>
          </w:p>
          <w:p w:rsidR="00E36AC7" w:rsidRPr="00E36AC7" w:rsidRDefault="00E36AC7" w:rsidP="00E36AC7">
            <w:pPr>
              <w:pStyle w:val="ListParagraph"/>
              <w:keepNext/>
              <w:keepLines/>
              <w:spacing w:after="120"/>
            </w:pPr>
          </w:p>
          <w:p w:rsidR="00E36AC7" w:rsidRDefault="00E36AC7" w:rsidP="00043AA3">
            <w:pPr>
              <w:pStyle w:val="ListParagraph"/>
              <w:keepNext/>
              <w:keepLines/>
              <w:numPr>
                <w:ilvl w:val="0"/>
                <w:numId w:val="8"/>
              </w:numPr>
              <w:spacing w:after="120"/>
            </w:pPr>
            <w:r w:rsidRPr="00E36AC7">
              <w:t>Section 6, Part 4 - It is unclear at this time how this will impact the City. We would like clarification on the implication of restricting orders in this manner</w:t>
            </w:r>
            <w:r w:rsidR="00972782">
              <w:t>.</w:t>
            </w:r>
          </w:p>
          <w:p w:rsidR="00E36AC7" w:rsidRDefault="00E36AC7" w:rsidP="00E36AC7">
            <w:pPr>
              <w:pStyle w:val="ListParagraph"/>
            </w:pPr>
          </w:p>
          <w:p w:rsidR="00E36AC7" w:rsidRDefault="00E36AC7" w:rsidP="00043AA3">
            <w:pPr>
              <w:pStyle w:val="ListParagraph"/>
              <w:keepNext/>
              <w:keepLines/>
              <w:numPr>
                <w:ilvl w:val="0"/>
                <w:numId w:val="8"/>
              </w:numPr>
              <w:spacing w:after="120"/>
            </w:pPr>
            <w:r w:rsidRPr="00E36AC7">
              <w:t>Section 6, Parts 6 &amp; 7 - It is our hope that this improve</w:t>
            </w:r>
            <w:r w:rsidR="00972782">
              <w:t>s</w:t>
            </w:r>
            <w:r w:rsidRPr="00E36AC7">
              <w:t xml:space="preserve"> timelines on responses to Part II orders. Effectively creating a screening process for Order requests will </w:t>
            </w:r>
            <w:r w:rsidR="00972782">
              <w:t>mitigate the volume issues the M</w:t>
            </w:r>
            <w:r w:rsidRPr="00E36AC7">
              <w:t>inistry is experiencing.</w:t>
            </w:r>
          </w:p>
          <w:p w:rsidR="00E36AC7" w:rsidRDefault="00E36AC7" w:rsidP="00E36AC7">
            <w:pPr>
              <w:pStyle w:val="ListParagraph"/>
            </w:pPr>
          </w:p>
          <w:p w:rsidR="00E36AC7" w:rsidRPr="00E36AC7" w:rsidRDefault="00E36AC7" w:rsidP="0016683F">
            <w:pPr>
              <w:pStyle w:val="ListParagraph"/>
              <w:keepNext/>
              <w:keepLines/>
              <w:numPr>
                <w:ilvl w:val="0"/>
                <w:numId w:val="8"/>
              </w:numPr>
              <w:spacing w:after="120"/>
            </w:pPr>
            <w:r>
              <w:t xml:space="preserve">Section 6, Part 8 - </w:t>
            </w:r>
            <w:r w:rsidRPr="00E36AC7">
              <w:t xml:space="preserve">It is our hope that this will alleviate what is perceived as a </w:t>
            </w:r>
            <w:r w:rsidR="00972782">
              <w:t xml:space="preserve">staffing issue at the Ministry. </w:t>
            </w:r>
            <w:proofErr w:type="gramStart"/>
            <w:r w:rsidR="0016683F">
              <w:t>Staff support</w:t>
            </w:r>
            <w:proofErr w:type="gramEnd"/>
            <w:r w:rsidRPr="00E36AC7">
              <w:t xml:space="preserve"> this decision and are optimistic that this modification to the EAA will benefit the City.</w:t>
            </w:r>
          </w:p>
        </w:tc>
      </w:tr>
    </w:tbl>
    <w:p w:rsidR="003034F1" w:rsidRDefault="003034F1" w:rsidP="003034F1">
      <w:pPr>
        <w:keepNext/>
        <w:keepLines/>
        <w:spacing w:before="0" w:after="120"/>
        <w:rPr>
          <w:b/>
        </w:rPr>
      </w:pPr>
    </w:p>
    <w:sectPr w:rsidR="003034F1" w:rsidSect="00012D96">
      <w:pgSz w:w="15840" w:h="12240" w:orient="landscape"/>
      <w:pgMar w:top="108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0B3" w:rsidRDefault="000100B3" w:rsidP="000100B3">
      <w:pPr>
        <w:spacing w:before="0" w:after="0" w:line="240" w:lineRule="auto"/>
      </w:pPr>
      <w:r>
        <w:separator/>
      </w:r>
    </w:p>
  </w:endnote>
  <w:endnote w:type="continuationSeparator" w:id="0">
    <w:p w:rsidR="000100B3" w:rsidRDefault="000100B3" w:rsidP="000100B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Gotham Narrow Book">
    <w:altName w:val="Arial"/>
    <w:panose1 w:val="00000000000000000000"/>
    <w:charset w:val="00"/>
    <w:family w:val="modern"/>
    <w:notTrueType/>
    <w:pitch w:val="variable"/>
    <w:sig w:usb0="00000001" w:usb1="4000004A" w:usb2="00000000" w:usb3="00000000" w:csb0="0000009B"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0B3" w:rsidRDefault="000100B3" w:rsidP="000100B3">
      <w:pPr>
        <w:spacing w:before="0" w:after="0" w:line="240" w:lineRule="auto"/>
      </w:pPr>
      <w:r>
        <w:separator/>
      </w:r>
    </w:p>
  </w:footnote>
  <w:footnote w:type="continuationSeparator" w:id="0">
    <w:p w:rsidR="000100B3" w:rsidRDefault="000100B3" w:rsidP="000100B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0712C"/>
    <w:multiLevelType w:val="hybridMultilevel"/>
    <w:tmpl w:val="159E9396"/>
    <w:lvl w:ilvl="0" w:tplc="10090001">
      <w:start w:val="1"/>
      <w:numFmt w:val="bullet"/>
      <w:lvlText w:val=""/>
      <w:lvlJc w:val="left"/>
      <w:pPr>
        <w:ind w:left="1080" w:hanging="360"/>
      </w:pPr>
      <w:rPr>
        <w:rFonts w:ascii="Symbol" w:hAnsi="Symbol" w:hint="default"/>
      </w:rPr>
    </w:lvl>
    <w:lvl w:ilvl="1" w:tplc="291C8E6A">
      <w:start w:val="1"/>
      <w:numFmt w:val="lowerLetter"/>
      <w:lvlText w:val="(%2)"/>
      <w:lvlJc w:val="left"/>
      <w:pPr>
        <w:ind w:left="1800" w:hanging="360"/>
      </w:pPr>
      <w:rPr>
        <w:rFonts w:ascii="Arial" w:hAnsi="Arial" w:hint="default"/>
        <w:sz w:val="22"/>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nsid w:val="141174A5"/>
    <w:multiLevelType w:val="hybridMultilevel"/>
    <w:tmpl w:val="76029BC2"/>
    <w:lvl w:ilvl="0" w:tplc="10090003">
      <w:start w:val="1"/>
      <w:numFmt w:val="bullet"/>
      <w:lvlText w:val="o"/>
      <w:lvlJc w:val="left"/>
      <w:pPr>
        <w:ind w:left="1422" w:hanging="360"/>
      </w:pPr>
      <w:rPr>
        <w:rFonts w:ascii="Courier New" w:hAnsi="Courier New" w:cs="Courier New" w:hint="default"/>
      </w:rPr>
    </w:lvl>
    <w:lvl w:ilvl="1" w:tplc="10090003" w:tentative="1">
      <w:start w:val="1"/>
      <w:numFmt w:val="bullet"/>
      <w:lvlText w:val="o"/>
      <w:lvlJc w:val="left"/>
      <w:pPr>
        <w:ind w:left="2142" w:hanging="360"/>
      </w:pPr>
      <w:rPr>
        <w:rFonts w:ascii="Courier New" w:hAnsi="Courier New" w:cs="Courier New" w:hint="default"/>
      </w:rPr>
    </w:lvl>
    <w:lvl w:ilvl="2" w:tplc="10090005" w:tentative="1">
      <w:start w:val="1"/>
      <w:numFmt w:val="bullet"/>
      <w:lvlText w:val=""/>
      <w:lvlJc w:val="left"/>
      <w:pPr>
        <w:ind w:left="2862" w:hanging="360"/>
      </w:pPr>
      <w:rPr>
        <w:rFonts w:ascii="Wingdings" w:hAnsi="Wingdings" w:hint="default"/>
      </w:rPr>
    </w:lvl>
    <w:lvl w:ilvl="3" w:tplc="10090001" w:tentative="1">
      <w:start w:val="1"/>
      <w:numFmt w:val="bullet"/>
      <w:lvlText w:val=""/>
      <w:lvlJc w:val="left"/>
      <w:pPr>
        <w:ind w:left="3582" w:hanging="360"/>
      </w:pPr>
      <w:rPr>
        <w:rFonts w:ascii="Symbol" w:hAnsi="Symbol" w:hint="default"/>
      </w:rPr>
    </w:lvl>
    <w:lvl w:ilvl="4" w:tplc="10090003" w:tentative="1">
      <w:start w:val="1"/>
      <w:numFmt w:val="bullet"/>
      <w:lvlText w:val="o"/>
      <w:lvlJc w:val="left"/>
      <w:pPr>
        <w:ind w:left="4302" w:hanging="360"/>
      </w:pPr>
      <w:rPr>
        <w:rFonts w:ascii="Courier New" w:hAnsi="Courier New" w:cs="Courier New" w:hint="default"/>
      </w:rPr>
    </w:lvl>
    <w:lvl w:ilvl="5" w:tplc="10090005" w:tentative="1">
      <w:start w:val="1"/>
      <w:numFmt w:val="bullet"/>
      <w:lvlText w:val=""/>
      <w:lvlJc w:val="left"/>
      <w:pPr>
        <w:ind w:left="5022" w:hanging="360"/>
      </w:pPr>
      <w:rPr>
        <w:rFonts w:ascii="Wingdings" w:hAnsi="Wingdings" w:hint="default"/>
      </w:rPr>
    </w:lvl>
    <w:lvl w:ilvl="6" w:tplc="10090001" w:tentative="1">
      <w:start w:val="1"/>
      <w:numFmt w:val="bullet"/>
      <w:lvlText w:val=""/>
      <w:lvlJc w:val="left"/>
      <w:pPr>
        <w:ind w:left="5742" w:hanging="360"/>
      </w:pPr>
      <w:rPr>
        <w:rFonts w:ascii="Symbol" w:hAnsi="Symbol" w:hint="default"/>
      </w:rPr>
    </w:lvl>
    <w:lvl w:ilvl="7" w:tplc="10090003" w:tentative="1">
      <w:start w:val="1"/>
      <w:numFmt w:val="bullet"/>
      <w:lvlText w:val="o"/>
      <w:lvlJc w:val="left"/>
      <w:pPr>
        <w:ind w:left="6462" w:hanging="360"/>
      </w:pPr>
      <w:rPr>
        <w:rFonts w:ascii="Courier New" w:hAnsi="Courier New" w:cs="Courier New" w:hint="default"/>
      </w:rPr>
    </w:lvl>
    <w:lvl w:ilvl="8" w:tplc="10090005" w:tentative="1">
      <w:start w:val="1"/>
      <w:numFmt w:val="bullet"/>
      <w:lvlText w:val=""/>
      <w:lvlJc w:val="left"/>
      <w:pPr>
        <w:ind w:left="7182" w:hanging="360"/>
      </w:pPr>
      <w:rPr>
        <w:rFonts w:ascii="Wingdings" w:hAnsi="Wingdings" w:hint="default"/>
      </w:rPr>
    </w:lvl>
  </w:abstractNum>
  <w:abstractNum w:abstractNumId="2">
    <w:nsid w:val="18A64A34"/>
    <w:multiLevelType w:val="hybridMultilevel"/>
    <w:tmpl w:val="C450E0E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
    <w:nsid w:val="207E4719"/>
    <w:multiLevelType w:val="hybridMultilevel"/>
    <w:tmpl w:val="ED6245FE"/>
    <w:lvl w:ilvl="0" w:tplc="E586096E">
      <w:start w:val="1"/>
      <w:numFmt w:val="decimal"/>
      <w:lvlText w:val="%1."/>
      <w:lvlJc w:val="left"/>
      <w:pPr>
        <w:ind w:left="720" w:hanging="360"/>
      </w:pPr>
      <w:rPr>
        <w:rFonts w:hint="default"/>
        <w:b/>
        <w:i w:val="0"/>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2995616B"/>
    <w:multiLevelType w:val="hybridMultilevel"/>
    <w:tmpl w:val="0EBC9D9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E266D5F"/>
    <w:multiLevelType w:val="hybridMultilevel"/>
    <w:tmpl w:val="24EE1D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nsid w:val="42F44E4D"/>
    <w:multiLevelType w:val="hybridMultilevel"/>
    <w:tmpl w:val="CB80820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nsid w:val="4F1A6237"/>
    <w:multiLevelType w:val="multilevel"/>
    <w:tmpl w:val="423C6EE8"/>
    <w:lvl w:ilvl="0">
      <w:start w:val="1"/>
      <w:numFmt w:val="decimal"/>
      <w:pStyle w:val="city-bodytext11-numbered"/>
      <w:lvlText w:val="%1."/>
      <w:lvlJc w:val="left"/>
      <w:pPr>
        <w:ind w:left="180" w:hanging="18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nsid w:val="63870294"/>
    <w:multiLevelType w:val="hybridMultilevel"/>
    <w:tmpl w:val="4008E05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9">
    <w:nsid w:val="72630820"/>
    <w:multiLevelType w:val="hybridMultilevel"/>
    <w:tmpl w:val="7E004F7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nsid w:val="79533E15"/>
    <w:multiLevelType w:val="hybridMultilevel"/>
    <w:tmpl w:val="BCBC22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3"/>
  </w:num>
  <w:num w:numId="4">
    <w:abstractNumId w:val="1"/>
  </w:num>
  <w:num w:numId="5">
    <w:abstractNumId w:val="5"/>
  </w:num>
  <w:num w:numId="6">
    <w:abstractNumId w:val="2"/>
  </w:num>
  <w:num w:numId="7">
    <w:abstractNumId w:val="9"/>
  </w:num>
  <w:num w:numId="8">
    <w:abstractNumId w:val="10"/>
  </w:num>
  <w:num w:numId="9">
    <w:abstractNumId w:val="7"/>
  </w:num>
  <w:num w:numId="10">
    <w:abstractNumId w:val="4"/>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86"/>
    <w:rsid w:val="000100B3"/>
    <w:rsid w:val="00012D96"/>
    <w:rsid w:val="00043AA3"/>
    <w:rsid w:val="00104CA5"/>
    <w:rsid w:val="0016683F"/>
    <w:rsid w:val="00260089"/>
    <w:rsid w:val="00281417"/>
    <w:rsid w:val="003034F1"/>
    <w:rsid w:val="00315548"/>
    <w:rsid w:val="00377B7D"/>
    <w:rsid w:val="003D18B4"/>
    <w:rsid w:val="003D4A1A"/>
    <w:rsid w:val="003D5ABB"/>
    <w:rsid w:val="00420286"/>
    <w:rsid w:val="004346C7"/>
    <w:rsid w:val="005C47B3"/>
    <w:rsid w:val="00616B62"/>
    <w:rsid w:val="00646ABD"/>
    <w:rsid w:val="00694CF6"/>
    <w:rsid w:val="006E37AB"/>
    <w:rsid w:val="00732D16"/>
    <w:rsid w:val="007E413D"/>
    <w:rsid w:val="008768A5"/>
    <w:rsid w:val="00942EF7"/>
    <w:rsid w:val="00972782"/>
    <w:rsid w:val="00B5190C"/>
    <w:rsid w:val="00B662A2"/>
    <w:rsid w:val="00B838A4"/>
    <w:rsid w:val="00C376F4"/>
    <w:rsid w:val="00CD266A"/>
    <w:rsid w:val="00CD5489"/>
    <w:rsid w:val="00D4230C"/>
    <w:rsid w:val="00D6315D"/>
    <w:rsid w:val="00D73CFD"/>
    <w:rsid w:val="00D91D92"/>
    <w:rsid w:val="00E36AC7"/>
    <w:rsid w:val="00F013AE"/>
    <w:rsid w:val="00FB53FB"/>
    <w:rsid w:val="00FC64F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FB"/>
    <w:pPr>
      <w:spacing w:before="200"/>
    </w:pPr>
    <w:rPr>
      <w:rFonts w:ascii="Arial" w:eastAsiaTheme="minorEastAsia"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B53FB"/>
    <w:pPr>
      <w:spacing w:before="720"/>
    </w:pPr>
    <w:rPr>
      <w:caps/>
      <w:color w:val="076AAD"/>
      <w:spacing w:val="10"/>
      <w:kern w:val="28"/>
      <w:sz w:val="52"/>
      <w:szCs w:val="52"/>
    </w:rPr>
  </w:style>
  <w:style w:type="character" w:customStyle="1" w:styleId="TitleChar">
    <w:name w:val="Title Char"/>
    <w:basedOn w:val="DefaultParagraphFont"/>
    <w:link w:val="Title"/>
    <w:uiPriority w:val="10"/>
    <w:rsid w:val="00FB53FB"/>
    <w:rPr>
      <w:caps/>
      <w:color w:val="076AAD"/>
      <w:spacing w:val="10"/>
      <w:kern w:val="28"/>
      <w:sz w:val="52"/>
      <w:szCs w:val="52"/>
    </w:rPr>
  </w:style>
  <w:style w:type="paragraph" w:styleId="Header">
    <w:name w:val="header"/>
    <w:basedOn w:val="Normal"/>
    <w:link w:val="HeaderChar"/>
    <w:uiPriority w:val="99"/>
    <w:unhideWhenUsed/>
    <w:rsid w:val="000100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00B3"/>
    <w:rPr>
      <w:rFonts w:ascii="Arial" w:eastAsiaTheme="minorEastAsia" w:hAnsi="Arial"/>
      <w:szCs w:val="20"/>
    </w:rPr>
  </w:style>
  <w:style w:type="paragraph" w:styleId="Footer">
    <w:name w:val="footer"/>
    <w:basedOn w:val="Normal"/>
    <w:link w:val="FooterChar"/>
    <w:uiPriority w:val="99"/>
    <w:unhideWhenUsed/>
    <w:rsid w:val="000100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00B3"/>
    <w:rPr>
      <w:rFonts w:ascii="Arial" w:eastAsiaTheme="minorEastAsia" w:hAnsi="Arial"/>
      <w:szCs w:val="20"/>
    </w:rPr>
  </w:style>
  <w:style w:type="paragraph" w:styleId="ListParagraph">
    <w:name w:val="List Paragraph"/>
    <w:basedOn w:val="Normal"/>
    <w:uiPriority w:val="34"/>
    <w:qFormat/>
    <w:rsid w:val="000100B3"/>
    <w:pPr>
      <w:ind w:left="720"/>
      <w:contextualSpacing/>
    </w:pPr>
  </w:style>
  <w:style w:type="table" w:styleId="TableGrid">
    <w:name w:val="Table Grid"/>
    <w:basedOn w:val="TableNormal"/>
    <w:uiPriority w:val="59"/>
    <w:rsid w:val="0030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1417"/>
    <w:pPr>
      <w:spacing w:after="0" w:line="240" w:lineRule="auto"/>
    </w:pPr>
    <w:rPr>
      <w:rFonts w:ascii="Calibri" w:eastAsia="Calibri" w:hAnsi="Calibri" w:cs="Times New Roman"/>
    </w:rPr>
  </w:style>
  <w:style w:type="paragraph" w:customStyle="1" w:styleId="city-bodytext11-numbered">
    <w:name w:val="city - body text 11 - numbered"/>
    <w:basedOn w:val="Normal"/>
    <w:rsid w:val="00281417"/>
    <w:pPr>
      <w:numPr>
        <w:numId w:val="9"/>
      </w:numPr>
      <w:spacing w:before="0" w:after="140" w:line="240" w:lineRule="auto"/>
    </w:pPr>
    <w:rPr>
      <w:rFonts w:ascii="Gotham Narrow Book" w:eastAsia="Calibri" w:hAnsi="Gotham Narrow Book" w:cs="Times New Roman"/>
      <w:spacing w:val="-10"/>
    </w:rPr>
  </w:style>
  <w:style w:type="paragraph" w:styleId="CommentText">
    <w:name w:val="annotation text"/>
    <w:basedOn w:val="Normal"/>
    <w:link w:val="CommentTextChar"/>
    <w:uiPriority w:val="99"/>
    <w:unhideWhenUsed/>
    <w:rsid w:val="00281417"/>
    <w:pPr>
      <w:spacing w:line="240" w:lineRule="auto"/>
    </w:pPr>
    <w:rPr>
      <w:sz w:val="20"/>
    </w:rPr>
  </w:style>
  <w:style w:type="character" w:customStyle="1" w:styleId="CommentTextChar">
    <w:name w:val="Comment Text Char"/>
    <w:basedOn w:val="DefaultParagraphFont"/>
    <w:link w:val="CommentText"/>
    <w:uiPriority w:val="99"/>
    <w:rsid w:val="00281417"/>
    <w:rPr>
      <w:rFonts w:ascii="Arial" w:eastAsiaTheme="minorEastAsia" w:hAnsi="Arial"/>
      <w:sz w:val="20"/>
      <w:szCs w:val="20"/>
    </w:rPr>
  </w:style>
  <w:style w:type="paragraph" w:styleId="BalloonText">
    <w:name w:val="Balloon Text"/>
    <w:basedOn w:val="Normal"/>
    <w:link w:val="BalloonTextChar"/>
    <w:uiPriority w:val="99"/>
    <w:semiHidden/>
    <w:unhideWhenUsed/>
    <w:rsid w:val="003D18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B4"/>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3FB"/>
    <w:pPr>
      <w:spacing w:before="200"/>
    </w:pPr>
    <w:rPr>
      <w:rFonts w:ascii="Arial" w:eastAsiaTheme="minorEastAsia" w:hAnsi="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FB53FB"/>
    <w:pPr>
      <w:spacing w:before="720"/>
    </w:pPr>
    <w:rPr>
      <w:caps/>
      <w:color w:val="076AAD"/>
      <w:spacing w:val="10"/>
      <w:kern w:val="28"/>
      <w:sz w:val="52"/>
      <w:szCs w:val="52"/>
    </w:rPr>
  </w:style>
  <w:style w:type="character" w:customStyle="1" w:styleId="TitleChar">
    <w:name w:val="Title Char"/>
    <w:basedOn w:val="DefaultParagraphFont"/>
    <w:link w:val="Title"/>
    <w:uiPriority w:val="10"/>
    <w:rsid w:val="00FB53FB"/>
    <w:rPr>
      <w:caps/>
      <w:color w:val="076AAD"/>
      <w:spacing w:val="10"/>
      <w:kern w:val="28"/>
      <w:sz w:val="52"/>
      <w:szCs w:val="52"/>
    </w:rPr>
  </w:style>
  <w:style w:type="paragraph" w:styleId="Header">
    <w:name w:val="header"/>
    <w:basedOn w:val="Normal"/>
    <w:link w:val="HeaderChar"/>
    <w:uiPriority w:val="99"/>
    <w:unhideWhenUsed/>
    <w:rsid w:val="000100B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100B3"/>
    <w:rPr>
      <w:rFonts w:ascii="Arial" w:eastAsiaTheme="minorEastAsia" w:hAnsi="Arial"/>
      <w:szCs w:val="20"/>
    </w:rPr>
  </w:style>
  <w:style w:type="paragraph" w:styleId="Footer">
    <w:name w:val="footer"/>
    <w:basedOn w:val="Normal"/>
    <w:link w:val="FooterChar"/>
    <w:uiPriority w:val="99"/>
    <w:unhideWhenUsed/>
    <w:rsid w:val="000100B3"/>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0100B3"/>
    <w:rPr>
      <w:rFonts w:ascii="Arial" w:eastAsiaTheme="minorEastAsia" w:hAnsi="Arial"/>
      <w:szCs w:val="20"/>
    </w:rPr>
  </w:style>
  <w:style w:type="paragraph" w:styleId="ListParagraph">
    <w:name w:val="List Paragraph"/>
    <w:basedOn w:val="Normal"/>
    <w:uiPriority w:val="34"/>
    <w:qFormat/>
    <w:rsid w:val="000100B3"/>
    <w:pPr>
      <w:ind w:left="720"/>
      <w:contextualSpacing/>
    </w:pPr>
  </w:style>
  <w:style w:type="table" w:styleId="TableGrid">
    <w:name w:val="Table Grid"/>
    <w:basedOn w:val="TableNormal"/>
    <w:uiPriority w:val="59"/>
    <w:rsid w:val="00303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81417"/>
    <w:pPr>
      <w:spacing w:after="0" w:line="240" w:lineRule="auto"/>
    </w:pPr>
    <w:rPr>
      <w:rFonts w:ascii="Calibri" w:eastAsia="Calibri" w:hAnsi="Calibri" w:cs="Times New Roman"/>
    </w:rPr>
  </w:style>
  <w:style w:type="paragraph" w:customStyle="1" w:styleId="city-bodytext11-numbered">
    <w:name w:val="city - body text 11 - numbered"/>
    <w:basedOn w:val="Normal"/>
    <w:rsid w:val="00281417"/>
    <w:pPr>
      <w:numPr>
        <w:numId w:val="9"/>
      </w:numPr>
      <w:spacing w:before="0" w:after="140" w:line="240" w:lineRule="auto"/>
    </w:pPr>
    <w:rPr>
      <w:rFonts w:ascii="Gotham Narrow Book" w:eastAsia="Calibri" w:hAnsi="Gotham Narrow Book" w:cs="Times New Roman"/>
      <w:spacing w:val="-10"/>
    </w:rPr>
  </w:style>
  <w:style w:type="paragraph" w:styleId="CommentText">
    <w:name w:val="annotation text"/>
    <w:basedOn w:val="Normal"/>
    <w:link w:val="CommentTextChar"/>
    <w:uiPriority w:val="99"/>
    <w:unhideWhenUsed/>
    <w:rsid w:val="00281417"/>
    <w:pPr>
      <w:spacing w:line="240" w:lineRule="auto"/>
    </w:pPr>
    <w:rPr>
      <w:sz w:val="20"/>
    </w:rPr>
  </w:style>
  <w:style w:type="character" w:customStyle="1" w:styleId="CommentTextChar">
    <w:name w:val="Comment Text Char"/>
    <w:basedOn w:val="DefaultParagraphFont"/>
    <w:link w:val="CommentText"/>
    <w:uiPriority w:val="99"/>
    <w:rsid w:val="00281417"/>
    <w:rPr>
      <w:rFonts w:ascii="Arial" w:eastAsiaTheme="minorEastAsia" w:hAnsi="Arial"/>
      <w:sz w:val="20"/>
      <w:szCs w:val="20"/>
    </w:rPr>
  </w:style>
  <w:style w:type="paragraph" w:styleId="BalloonText">
    <w:name w:val="Balloon Text"/>
    <w:basedOn w:val="Normal"/>
    <w:link w:val="BalloonTextChar"/>
    <w:uiPriority w:val="99"/>
    <w:semiHidden/>
    <w:unhideWhenUsed/>
    <w:rsid w:val="003D18B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8B4"/>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2012322">
      <w:bodyDiv w:val="1"/>
      <w:marLeft w:val="0"/>
      <w:marRight w:val="0"/>
      <w:marTop w:val="0"/>
      <w:marBottom w:val="0"/>
      <w:divBdr>
        <w:top w:val="none" w:sz="0" w:space="0" w:color="auto"/>
        <w:left w:val="none" w:sz="0" w:space="0" w:color="auto"/>
        <w:bottom w:val="none" w:sz="0" w:space="0" w:color="auto"/>
        <w:right w:val="none" w:sz="0" w:space="0" w:color="auto"/>
      </w:divBdr>
    </w:div>
    <w:div w:id="207751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7</Pages>
  <Words>1267</Words>
  <Characters>7226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City of Mississauga</Company>
  <LinksUpToDate>false</LinksUpToDate>
  <CharactersWithSpaces>8477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Imshun Je</dc:creator>
  <cp:lastModifiedBy>Katherine Morton</cp:lastModifiedBy>
  <cp:revision>5</cp:revision>
  <cp:lastPrinted>2019-05-22T11:36:00Z</cp:lastPrinted>
  <dcterms:created xsi:type="dcterms:W3CDTF">2019-05-21T17:46:00Z</dcterms:created>
  <dcterms:modified xsi:type="dcterms:W3CDTF">2019-05-24T15:01:00Z</dcterms:modified>
</cp:coreProperties>
</file>