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0482B" w14:textId="3C27F267" w:rsidR="00CC1E4E" w:rsidRDefault="00117F00" w:rsidP="00117F00">
      <w:pPr>
        <w:jc w:val="center"/>
        <w:rPr>
          <w:b/>
          <w:sz w:val="28"/>
          <w:szCs w:val="28"/>
        </w:rPr>
      </w:pPr>
      <w:r>
        <w:rPr>
          <w:b/>
          <w:sz w:val="28"/>
          <w:szCs w:val="28"/>
        </w:rPr>
        <w:t>Environmental Site Assessments---T</w:t>
      </w:r>
      <w:r w:rsidRPr="00117F00">
        <w:rPr>
          <w:b/>
          <w:sz w:val="28"/>
          <w:szCs w:val="28"/>
        </w:rPr>
        <w:t>he Consultant’s Dilemma</w:t>
      </w:r>
    </w:p>
    <w:p w14:paraId="75822AAF" w14:textId="4C7BA593" w:rsidR="00067A10" w:rsidRDefault="00D740B3" w:rsidP="00117F00">
      <w:pPr>
        <w:jc w:val="both"/>
      </w:pPr>
      <w:r>
        <w:t>B</w:t>
      </w:r>
      <w:r w:rsidR="00F55604">
        <w:t xml:space="preserve">uying and selling commercial/industrial properties </w:t>
      </w:r>
      <w:r>
        <w:t xml:space="preserve">in </w:t>
      </w:r>
      <w:r w:rsidR="00F55604">
        <w:t xml:space="preserve">Canada generally requires an </w:t>
      </w:r>
      <w:r w:rsidR="003973EB">
        <w:t>Environmental Site Assessmen</w:t>
      </w:r>
      <w:r w:rsidR="00F55604">
        <w:t>t</w:t>
      </w:r>
      <w:r w:rsidR="003973EB">
        <w:t xml:space="preserve"> (ESA) </w:t>
      </w:r>
      <w:r w:rsidR="001B07DD">
        <w:t>to see if the</w:t>
      </w:r>
      <w:r w:rsidR="004C3557">
        <w:t xml:space="preserve"> property has any issues stemming from its previouse uses or current condition</w:t>
      </w:r>
      <w:r w:rsidR="00F55604">
        <w:t xml:space="preserve">. </w:t>
      </w:r>
      <w:r w:rsidR="00C67C4A">
        <w:t>They also</w:t>
      </w:r>
      <w:r>
        <w:t xml:space="preserve"> include a review of the surrounding properties for any possible impact to the site</w:t>
      </w:r>
      <w:r w:rsidR="004A531F">
        <w:t xml:space="preserve"> with a particular emphasis on “red-flag” operations such as gas stations and dry cleaners or industrial manufacturers.</w:t>
      </w:r>
      <w:r w:rsidR="00F55604">
        <w:t xml:space="preserve"> </w:t>
      </w:r>
      <w:r w:rsidR="00257CD9">
        <w:t xml:space="preserve">Demand for </w:t>
      </w:r>
      <w:r w:rsidR="004A531F">
        <w:t>ESAs</w:t>
      </w:r>
      <w:r w:rsidR="00257CD9">
        <w:t xml:space="preserve"> began in the </w:t>
      </w:r>
      <w:r w:rsidR="004A531F">
        <w:t xml:space="preserve">late </w:t>
      </w:r>
      <w:r w:rsidR="00257CD9">
        <w:t>1980’s when new environmental standards were introduced</w:t>
      </w:r>
      <w:r w:rsidR="000D6A7E">
        <w:t xml:space="preserve"> placing limits on the levels of contaminants in soil and ground water</w:t>
      </w:r>
      <w:r w:rsidR="006D42A5">
        <w:t xml:space="preserve">.  This </w:t>
      </w:r>
      <w:r w:rsidR="00FA717C">
        <w:t>prompt</w:t>
      </w:r>
      <w:r w:rsidR="006D42A5">
        <w:t>ed</w:t>
      </w:r>
      <w:r w:rsidR="00FA717C">
        <w:t xml:space="preserve"> buyers and sellers, bankers and lawyers to </w:t>
      </w:r>
      <w:r w:rsidR="004A531F">
        <w:t>seek the help of</w:t>
      </w:r>
      <w:r w:rsidR="00FA717C">
        <w:t xml:space="preserve"> environmental consultants to examine their </w:t>
      </w:r>
      <w:r w:rsidR="004C3557">
        <w:t>properties</w:t>
      </w:r>
      <w:r w:rsidR="00FA717C">
        <w:t xml:space="preserve"> and report back on any environmental issues found</w:t>
      </w:r>
      <w:r w:rsidR="00C67C4A">
        <w:t xml:space="preserve"> with recommendations on what to do about them. At the beginning,</w:t>
      </w:r>
      <w:r w:rsidR="00C0565B">
        <w:t xml:space="preserve"> </w:t>
      </w:r>
      <w:r w:rsidR="004A531F">
        <w:t xml:space="preserve">the </w:t>
      </w:r>
      <w:r w:rsidR="00FA717C">
        <w:t xml:space="preserve">new rules </w:t>
      </w:r>
      <w:r w:rsidR="00EB73F7">
        <w:t>were</w:t>
      </w:r>
      <w:r w:rsidR="00FA717C">
        <w:t xml:space="preserve"> </w:t>
      </w:r>
      <w:r w:rsidR="009971F6">
        <w:t>most</w:t>
      </w:r>
      <w:r w:rsidR="00343E5A">
        <w:t>ly</w:t>
      </w:r>
      <w:r w:rsidR="004A531F">
        <w:t xml:space="preserve"> </w:t>
      </w:r>
      <w:r w:rsidR="00C0565B">
        <w:t>ignored</w:t>
      </w:r>
      <w:r w:rsidR="007163B8">
        <w:t xml:space="preserve"> because</w:t>
      </w:r>
      <w:r w:rsidR="00812862">
        <w:t xml:space="preserve"> </w:t>
      </w:r>
      <w:r w:rsidR="00C67C4A">
        <w:t xml:space="preserve">those involved </w:t>
      </w:r>
      <w:r w:rsidR="00AA46B9">
        <w:t xml:space="preserve">really </w:t>
      </w:r>
      <w:r w:rsidR="00C67C4A">
        <w:t>didn’t understand what the fuss was all about and</w:t>
      </w:r>
      <w:r w:rsidR="00812862">
        <w:t xml:space="preserve"> </w:t>
      </w:r>
      <w:r w:rsidR="00C67C4A">
        <w:t xml:space="preserve">didn’t see the need for another layer of bureaucrasy in an already expensive real estate process.  </w:t>
      </w:r>
      <w:r w:rsidR="00DD2473">
        <w:t xml:space="preserve">Also, </w:t>
      </w:r>
      <w:r w:rsidR="007163B8">
        <w:t xml:space="preserve">the new rules were in the form of </w:t>
      </w:r>
      <w:r w:rsidR="00EB73F7">
        <w:t xml:space="preserve">voluntary </w:t>
      </w:r>
      <w:r w:rsidR="007163B8">
        <w:t xml:space="preserve">guidelines </w:t>
      </w:r>
      <w:r w:rsidR="004A531F">
        <w:t>rather than</w:t>
      </w:r>
      <w:r w:rsidR="007163B8">
        <w:t xml:space="preserve"> </w:t>
      </w:r>
      <w:r w:rsidR="004A531F">
        <w:t>R</w:t>
      </w:r>
      <w:r w:rsidR="007163B8">
        <w:t xml:space="preserve">egulations, so </w:t>
      </w:r>
      <w:r w:rsidR="00EB73F7">
        <w:t xml:space="preserve">there was no pressing reason to take on the increased costs and time delays of applying them to property </w:t>
      </w:r>
      <w:r w:rsidR="00DA09A7">
        <w:t>purchases</w:t>
      </w:r>
      <w:r w:rsidR="007163B8">
        <w:t xml:space="preserve">. </w:t>
      </w:r>
      <w:r w:rsidR="00343E5A">
        <w:t>T</w:t>
      </w:r>
      <w:r w:rsidR="00DA09A7">
        <w:t>his changed, slowly at first</w:t>
      </w:r>
      <w:r w:rsidR="00A177D7">
        <w:t>,</w:t>
      </w:r>
      <w:r w:rsidR="00DA09A7">
        <w:t xml:space="preserve"> then with increasing rapidity as news spread of property values collapsing </w:t>
      </w:r>
      <w:r w:rsidR="00AA46B9">
        <w:t xml:space="preserve">as a result of applying the new rules </w:t>
      </w:r>
      <w:r w:rsidR="00D879D4">
        <w:t>a</w:t>
      </w:r>
      <w:r w:rsidR="00C074F1">
        <w:t>fter</w:t>
      </w:r>
      <w:r w:rsidR="00D879D4">
        <w:t xml:space="preserve"> finding the site was contaminated</w:t>
      </w:r>
      <w:r w:rsidR="00AA46B9">
        <w:t>.  Sites and businesses which had seen their cash value continue to soar over the previous decades were suddenly blind-sided by an enviro</w:t>
      </w:r>
      <w:r w:rsidR="00F75DC1">
        <w:t>nmental report showing their real estate was contaminated and its value worthless or catastrophically reduced</w:t>
      </w:r>
      <w:r w:rsidR="009971F6">
        <w:t>. P</w:t>
      </w:r>
      <w:r w:rsidR="00F75DC1">
        <w:t xml:space="preserve">articularly troublesome </w:t>
      </w:r>
      <w:r w:rsidR="009971F6">
        <w:t xml:space="preserve">for some </w:t>
      </w:r>
      <w:r w:rsidR="00F75DC1">
        <w:t xml:space="preserve">was the news that </w:t>
      </w:r>
      <w:r w:rsidR="009971F6">
        <w:t>the contaminants had been there</w:t>
      </w:r>
      <w:r w:rsidR="00F75DC1">
        <w:t xml:space="preserve"> </w:t>
      </w:r>
      <w:r w:rsidR="009971F6">
        <w:t>long before</w:t>
      </w:r>
      <w:r w:rsidR="00F75DC1">
        <w:t xml:space="preserve"> they purchased </w:t>
      </w:r>
      <w:r w:rsidR="009971F6">
        <w:t>the property</w:t>
      </w:r>
      <w:r w:rsidR="00716A6A">
        <w:t xml:space="preserve">.  </w:t>
      </w:r>
      <w:r w:rsidR="009971F6">
        <w:t>So, i</w:t>
      </w:r>
      <w:r w:rsidR="00716A6A">
        <w:t>t is true to say that on the day the new rules were introduced, billions of dollars in property values disappeared and most of us didn’t know it, especially the countless mom-and-pop businesses</w:t>
      </w:r>
      <w:r w:rsidR="00716A6A" w:rsidRPr="00716A6A">
        <w:t xml:space="preserve"> </w:t>
      </w:r>
      <w:r w:rsidR="00716A6A">
        <w:t xml:space="preserve">built on old industrial land or over or near old leaky gas stations, fuel depots, dry cleaners and so on! For them, the business was their retirement nest-egg and </w:t>
      </w:r>
      <w:r w:rsidR="00067A10">
        <w:t>their anger at the government and the environmentalists</w:t>
      </w:r>
      <w:r w:rsidR="009971F6">
        <w:t xml:space="preserve"> for penalising them for something they didn’t know about</w:t>
      </w:r>
      <w:r w:rsidR="00067A10">
        <w:t xml:space="preserve"> was palpable.</w:t>
      </w:r>
      <w:r w:rsidR="00716A6A">
        <w:t xml:space="preserve"> </w:t>
      </w:r>
      <w:r w:rsidR="007163B8">
        <w:t xml:space="preserve"> </w:t>
      </w:r>
      <w:r w:rsidR="00067A10">
        <w:t xml:space="preserve">The </w:t>
      </w:r>
      <w:r w:rsidR="00D879D4">
        <w:t>outcome</w:t>
      </w:r>
      <w:r w:rsidR="009971F6">
        <w:t xml:space="preserve"> thoughout the 1990’s</w:t>
      </w:r>
      <w:r w:rsidR="00067A10">
        <w:t xml:space="preserve"> was a landscape dotted with derelict gas stations, shuttered buildings and abandoned industrial lands which were given a new name---brownfields!</w:t>
      </w:r>
    </w:p>
    <w:p w14:paraId="0434CA37" w14:textId="64AD9650" w:rsidR="00A177D7" w:rsidRDefault="00DA09A7" w:rsidP="00117F00">
      <w:pPr>
        <w:jc w:val="both"/>
      </w:pPr>
      <w:r>
        <w:t>Th</w:t>
      </w:r>
      <w:r w:rsidR="007163B8">
        <w:t xml:space="preserve">e banks </w:t>
      </w:r>
      <w:r w:rsidR="00EB73F7">
        <w:t xml:space="preserve">were </w:t>
      </w:r>
      <w:r>
        <w:t>quick</w:t>
      </w:r>
      <w:r w:rsidR="00EB73F7">
        <w:t xml:space="preserve"> to realise that</w:t>
      </w:r>
      <w:r w:rsidR="007163B8">
        <w:t xml:space="preserve"> </w:t>
      </w:r>
      <w:r w:rsidR="00EB73F7">
        <w:t xml:space="preserve">a </w:t>
      </w:r>
      <w:r w:rsidR="007163B8">
        <w:t>property</w:t>
      </w:r>
      <w:r w:rsidR="00EB73F7">
        <w:t>’s cash</w:t>
      </w:r>
      <w:r w:rsidR="007163B8">
        <w:t xml:space="preserve"> value</w:t>
      </w:r>
      <w:r w:rsidR="00EB73F7">
        <w:t xml:space="preserve"> </w:t>
      </w:r>
      <w:r>
        <w:t xml:space="preserve">was </w:t>
      </w:r>
      <w:r w:rsidR="00EB73F7">
        <w:t xml:space="preserve">very much </w:t>
      </w:r>
      <w:r>
        <w:t xml:space="preserve">tied to </w:t>
      </w:r>
      <w:r w:rsidR="00A177D7">
        <w:t>its environmental condition---</w:t>
      </w:r>
      <w:r w:rsidR="00CD23C3">
        <w:t xml:space="preserve">that is, </w:t>
      </w:r>
      <w:r>
        <w:t>whether or not the property’s soil and ground water met the new contamination limits</w:t>
      </w:r>
      <w:r w:rsidR="00A177D7">
        <w:t xml:space="preserve"> </w:t>
      </w:r>
      <w:r w:rsidR="00CD23C3">
        <w:t>s</w:t>
      </w:r>
      <w:r>
        <w:t>o</w:t>
      </w:r>
      <w:r w:rsidR="00A177D7">
        <w:t xml:space="preserve"> they</w:t>
      </w:r>
      <w:r>
        <w:t xml:space="preserve"> </w:t>
      </w:r>
      <w:r w:rsidR="00CD23C3">
        <w:t>quickly made</w:t>
      </w:r>
      <w:r w:rsidR="007163B8">
        <w:t xml:space="preserve"> </w:t>
      </w:r>
      <w:r>
        <w:t xml:space="preserve">ESA’s a prerequisite </w:t>
      </w:r>
      <w:r w:rsidR="00B27A9D">
        <w:t>for</w:t>
      </w:r>
      <w:r>
        <w:t xml:space="preserve"> loan approval</w:t>
      </w:r>
      <w:r w:rsidR="007163B8">
        <w:t xml:space="preserve">. </w:t>
      </w:r>
      <w:r w:rsidR="00EE629E">
        <w:t>The new millenium brought more changes</w:t>
      </w:r>
      <w:r w:rsidR="009971F6">
        <w:t xml:space="preserve"> and new headaches. G</w:t>
      </w:r>
      <w:r w:rsidR="00162DB8">
        <w:t>uidelines</w:t>
      </w:r>
      <w:r w:rsidR="000D6A7E">
        <w:t xml:space="preserve"> </w:t>
      </w:r>
      <w:r w:rsidR="00EE629E">
        <w:t>were</w:t>
      </w:r>
      <w:r w:rsidR="000D6A7E">
        <w:t xml:space="preserve"> </w:t>
      </w:r>
      <w:r w:rsidR="00162DB8">
        <w:t>replac</w:t>
      </w:r>
      <w:r w:rsidR="000D6A7E">
        <w:t xml:space="preserve">ed </w:t>
      </w:r>
      <w:r w:rsidR="00162DB8">
        <w:t xml:space="preserve">with Regulations </w:t>
      </w:r>
      <w:r w:rsidR="00CD23C3">
        <w:t>and the Regulations</w:t>
      </w:r>
      <w:r w:rsidR="00EE629E">
        <w:t xml:space="preserve"> greatly expanded </w:t>
      </w:r>
      <w:r w:rsidR="00CD23C3">
        <w:t xml:space="preserve">the </w:t>
      </w:r>
      <w:r w:rsidR="00EE629E">
        <w:t>list of</w:t>
      </w:r>
      <w:r w:rsidR="00343E5A">
        <w:t xml:space="preserve"> </w:t>
      </w:r>
      <w:r w:rsidR="00EE629E">
        <w:t xml:space="preserve">contaminants </w:t>
      </w:r>
      <w:r w:rsidR="00CD23C3">
        <w:t>while</w:t>
      </w:r>
      <w:r w:rsidR="00EE629E">
        <w:t xml:space="preserve"> </w:t>
      </w:r>
      <w:r w:rsidR="00CD23C3">
        <w:t xml:space="preserve">at the same time </w:t>
      </w:r>
      <w:r w:rsidR="00EE629E">
        <w:t>lower</w:t>
      </w:r>
      <w:r w:rsidR="00CD23C3">
        <w:t>ing</w:t>
      </w:r>
      <w:r w:rsidR="00EE629E">
        <w:t xml:space="preserve"> </w:t>
      </w:r>
      <w:r w:rsidR="00CD23C3">
        <w:t xml:space="preserve">the </w:t>
      </w:r>
      <w:r w:rsidR="00EE629E">
        <w:t xml:space="preserve">allowable limits </w:t>
      </w:r>
      <w:r w:rsidR="00CD23C3">
        <w:t>for most of them</w:t>
      </w:r>
      <w:r w:rsidR="00A56E7B">
        <w:t>,</w:t>
      </w:r>
      <w:r w:rsidR="00CD23C3">
        <w:t xml:space="preserve"> </w:t>
      </w:r>
      <w:r w:rsidR="006A262A">
        <w:t>t</w:t>
      </w:r>
      <w:r w:rsidR="00CD23C3">
        <w:t xml:space="preserve">hereby </w:t>
      </w:r>
      <w:r w:rsidR="00CD23C3">
        <w:lastRenderedPageBreak/>
        <w:t>c</w:t>
      </w:r>
      <w:r w:rsidR="006A262A">
        <w:t>onverting</w:t>
      </w:r>
      <w:r w:rsidR="00CD23C3">
        <w:t xml:space="preserve"> more properties from assets to serious liabilities</w:t>
      </w:r>
      <w:r w:rsidR="006A262A">
        <w:t>---</w:t>
      </w:r>
      <w:r w:rsidR="00CD23C3">
        <w:t xml:space="preserve">including some that had </w:t>
      </w:r>
      <w:r w:rsidR="006A262A">
        <w:t>already been shown to</w:t>
      </w:r>
      <w:r w:rsidR="00A56E7B">
        <w:t xml:space="preserve"> be clean</w:t>
      </w:r>
      <w:r w:rsidR="006A262A">
        <w:t xml:space="preserve"> </w:t>
      </w:r>
      <w:r w:rsidR="00A56E7B">
        <w:t>under the</w:t>
      </w:r>
      <w:r w:rsidR="00CD23C3">
        <w:t xml:space="preserve"> previous limits.</w:t>
      </w:r>
      <w:r w:rsidR="00343E5A">
        <w:t xml:space="preserve">  </w:t>
      </w:r>
      <w:r w:rsidR="00A56E7B">
        <w:t>By lowering the allowable limits t</w:t>
      </w:r>
      <w:r w:rsidR="006A262A">
        <w:t xml:space="preserve">hese </w:t>
      </w:r>
      <w:r w:rsidR="00A56E7B">
        <w:t xml:space="preserve">“clean” properties </w:t>
      </w:r>
      <w:r w:rsidR="006A262A">
        <w:t xml:space="preserve">were now “contaminated” again despite the fact that the owners had done nothing to cause this! </w:t>
      </w:r>
      <w:r w:rsidR="00A56E7B">
        <w:t xml:space="preserve"> This situation  continue</w:t>
      </w:r>
      <w:r w:rsidR="00CB3F2E">
        <w:t>s</w:t>
      </w:r>
      <w:r w:rsidR="00A56E7B">
        <w:t xml:space="preserve"> every time the </w:t>
      </w:r>
      <w:r w:rsidR="00D879D4">
        <w:t xml:space="preserve">Regulations are revised and </w:t>
      </w:r>
      <w:r w:rsidR="00A56E7B">
        <w:t>an allowable limit</w:t>
      </w:r>
      <w:r w:rsidR="00D879D4">
        <w:t xml:space="preserve"> is lowered</w:t>
      </w:r>
      <w:r w:rsidR="00A56E7B">
        <w:t>.</w:t>
      </w:r>
    </w:p>
    <w:p w14:paraId="265D95F1" w14:textId="0E5A99E1" w:rsidR="00A177D7" w:rsidRPr="00DF1539" w:rsidRDefault="00A177D7" w:rsidP="00117F00">
      <w:pPr>
        <w:jc w:val="both"/>
        <w:rPr>
          <w:b/>
          <w:color w:val="8064A2"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bookmarkStart w:id="0" w:name="_Hlk6926790"/>
      <w:r w:rsidRPr="00DF1539">
        <w:rPr>
          <w:b/>
          <w:color w:val="8064A2"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The Consultant’s Role</w:t>
      </w:r>
    </w:p>
    <w:bookmarkEnd w:id="0"/>
    <w:p w14:paraId="47DC3F8D" w14:textId="7B324C20" w:rsidR="00117F00" w:rsidRDefault="000D6A7E" w:rsidP="00117F00">
      <w:pPr>
        <w:jc w:val="both"/>
      </w:pPr>
      <w:r>
        <w:t>ESA’s</w:t>
      </w:r>
      <w:r w:rsidR="00523806">
        <w:t xml:space="preserve"> are now common practice </w:t>
      </w:r>
      <w:r>
        <w:t>in the buying and selling of commercial/industrial real estate</w:t>
      </w:r>
      <w:r w:rsidR="00523806">
        <w:t xml:space="preserve"> </w:t>
      </w:r>
      <w:r w:rsidR="00EC1711">
        <w:t xml:space="preserve">and the role of the environmental consultant is now firmly established in the process.  </w:t>
      </w:r>
      <w:r w:rsidR="00A177D7">
        <w:t>(</w:t>
      </w:r>
      <w:r w:rsidR="00EC1711">
        <w:t>Surprisingly, although the</w:t>
      </w:r>
      <w:r w:rsidR="00A177D7">
        <w:t xml:space="preserve"> same</w:t>
      </w:r>
      <w:r w:rsidR="00EC1711">
        <w:t xml:space="preserve"> rules also apply in large part to the residential real estate market, there has been much less interest from home buyers in establishing the environmental condition of their properties.</w:t>
      </w:r>
      <w:r w:rsidR="00A177D7">
        <w:t>)  The consultant is tasked with the job of recording a site’s previous history from an environmental viewpoint</w:t>
      </w:r>
      <w:r w:rsidR="00941401">
        <w:t xml:space="preserve"> to see if there is any chance that it may now exceed a regulatory limit in its soil and ground water.  This in</w:t>
      </w:r>
      <w:r w:rsidR="00123C07">
        <w:t>volve</w:t>
      </w:r>
      <w:r w:rsidR="00941401">
        <w:t>s a walk-through site inspection, including the interior of any buildings,</w:t>
      </w:r>
      <w:r w:rsidR="00603055">
        <w:t xml:space="preserve"> </w:t>
      </w:r>
      <w:r w:rsidR="00941401">
        <w:t xml:space="preserve">to look for actual or potential environmental issues but does not include any soil or ground water sampling. </w:t>
      </w:r>
      <w:r w:rsidR="00123C07">
        <w:t>The surrounding properties are also scanned for any possible impact to the subject property</w:t>
      </w:r>
      <w:r w:rsidR="00A56E7B">
        <w:t xml:space="preserve"> and t</w:t>
      </w:r>
      <w:r w:rsidR="00941401">
        <w:t xml:space="preserve">he whole exercise is presented to the client in the form of a </w:t>
      </w:r>
      <w:r w:rsidR="00941401">
        <w:rPr>
          <w:i/>
        </w:rPr>
        <w:t>Phase 1 Environmental Site Assessment</w:t>
      </w:r>
      <w:r w:rsidR="00A56E7B">
        <w:rPr>
          <w:i/>
        </w:rPr>
        <w:t xml:space="preserve"> </w:t>
      </w:r>
      <w:r w:rsidR="00CB3F2E">
        <w:t>r</w:t>
      </w:r>
      <w:r w:rsidR="00A56E7B" w:rsidRPr="00CB3F2E">
        <w:t>eport</w:t>
      </w:r>
      <w:r w:rsidR="00941401">
        <w:t xml:space="preserve">.  If any contamination is known or suspected, a </w:t>
      </w:r>
      <w:r w:rsidR="00941401">
        <w:rPr>
          <w:i/>
        </w:rPr>
        <w:t>Phase 2 Environmental Site Assessment</w:t>
      </w:r>
      <w:r w:rsidR="00941401">
        <w:t xml:space="preserve"> is </w:t>
      </w:r>
      <w:r w:rsidR="00D879D4">
        <w:t xml:space="preserve">then </w:t>
      </w:r>
      <w:r w:rsidR="00941401">
        <w:t xml:space="preserve">recommended and this </w:t>
      </w:r>
      <w:r w:rsidR="00A56E7B">
        <w:t xml:space="preserve">involves borehole drilling or excavating test-pits to </w:t>
      </w:r>
      <w:r w:rsidR="00941401">
        <w:t xml:space="preserve">examine the soil and ground water on site to see </w:t>
      </w:r>
      <w:r w:rsidR="00A56E7B">
        <w:t>if</w:t>
      </w:r>
      <w:r w:rsidR="00941401">
        <w:t xml:space="preserve"> it complies with the regulatory limits (“</w:t>
      </w:r>
      <w:r w:rsidR="00A56E7B">
        <w:t>S</w:t>
      </w:r>
      <w:r w:rsidR="00941401">
        <w:t xml:space="preserve">ite </w:t>
      </w:r>
      <w:r w:rsidR="00A56E7B">
        <w:t>C</w:t>
      </w:r>
      <w:r w:rsidR="00941401">
        <w:t xml:space="preserve">ondition </w:t>
      </w:r>
      <w:r w:rsidR="00A56E7B">
        <w:t>S</w:t>
      </w:r>
      <w:r w:rsidR="00941401">
        <w:t>tandards” in Ontario)</w:t>
      </w:r>
      <w:r w:rsidR="00DF1539">
        <w:t>.  If contaminants exceeding the limits are found, further investigation is required to define the horizontal and vertical extent of this followed by a cleanup of the impacted zone.</w:t>
      </w:r>
      <w:r w:rsidR="00206976">
        <w:t xml:space="preserve"> </w:t>
      </w:r>
      <w:r w:rsidR="00CB3F2E">
        <w:t>After</w:t>
      </w:r>
      <w:r w:rsidR="00206976">
        <w:t xml:space="preserve"> the cleanup, additional samples are gathered to verify the contaminants have been removed.</w:t>
      </w:r>
      <w:r w:rsidR="00CB3F2E">
        <w:t xml:space="preserve">  Costs for phase 2 ESAs range from low five to six-figures and cleanup </w:t>
      </w:r>
      <w:r w:rsidR="00DC4D3C">
        <w:t xml:space="preserve">costs </w:t>
      </w:r>
      <w:r w:rsidR="00CB3F2E">
        <w:t>can take this</w:t>
      </w:r>
      <w:r w:rsidR="004015C2">
        <w:t xml:space="preserve"> into seven figures, well beyond the means of most mom-and-pops. </w:t>
      </w:r>
    </w:p>
    <w:p w14:paraId="0C5F2208" w14:textId="78EE7489" w:rsidR="00DF1539" w:rsidRPr="00DF1539" w:rsidRDefault="00DF1539" w:rsidP="00DF1539">
      <w:pPr>
        <w:jc w:val="both"/>
        <w:rPr>
          <w:b/>
          <w:color w:val="8064A2"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DF1539">
        <w:rPr>
          <w:b/>
          <w:color w:val="8064A2"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The Consultant’s </w:t>
      </w:r>
      <w:r w:rsidR="00CD3989">
        <w:rPr>
          <w:b/>
          <w:color w:val="8064A2"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First </w:t>
      </w:r>
      <w:r w:rsidRPr="00DF1539">
        <w:rPr>
          <w:b/>
          <w:color w:val="8064A2"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Dilemma</w:t>
      </w:r>
    </w:p>
    <w:p w14:paraId="3CF9270B" w14:textId="68893D5E" w:rsidR="00BE2E02" w:rsidRDefault="00DF1539" w:rsidP="00117F00">
      <w:pPr>
        <w:jc w:val="both"/>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Phase 2 ESAs present a series of challenges to the consultant</w:t>
      </w:r>
      <w:r w:rsidR="00206976">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which are not easily met and some of which are </w:t>
      </w:r>
      <w:r w:rsidR="004015C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just not</w:t>
      </w:r>
      <w:r w:rsidR="00206976">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met</w:t>
      </w:r>
      <w:r w:rsidR="004015C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at all</w:t>
      </w:r>
      <w:r w:rsidR="00206976">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t>
      </w:r>
      <w:r w:rsidR="00C50841">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Following the completion of the phase 1 report, a phase 2 sampling and analysis plan is prepared which defines the number of boreholes and monitoring wells to be installed and the number and depths of samples to be retrieved. However, phase 1 reports are often sketchy at best</w:t>
      </w:r>
      <w:r w:rsidR="00CC00D5">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with much missing information such as what chemicals, if any, were used </w:t>
      </w:r>
      <w:r w:rsidR="00D879D4">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on site</w:t>
      </w:r>
      <w:r w:rsidR="00C047AF">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where were they used and how were they disposed of.  Did they have any spills</w:t>
      </w:r>
      <w:r w:rsidR="00033427">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What were the neighbours up to at that time? Did </w:t>
      </w:r>
      <w:r w:rsidR="00033427">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they have any spills?... and on it goes.  These </w:t>
      </w:r>
      <w:r w:rsidR="00C047AF">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questions </w:t>
      </w:r>
      <w:r w:rsidR="00033427">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are </w:t>
      </w:r>
      <w:r w:rsidR="00C047AF">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hard to answer </w:t>
      </w:r>
      <w:r w:rsidR="00BE2E0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especially </w:t>
      </w:r>
      <w:r w:rsidR="00C047AF">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when it </w:t>
      </w:r>
      <w:r w:rsidR="00033427">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relates to activities that</w:t>
      </w:r>
      <w:r w:rsidR="00C047AF">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happened 50 </w:t>
      </w:r>
      <w:r w:rsidR="006327C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or more </w:t>
      </w:r>
      <w:r w:rsidR="00C047AF">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years ago and there’s no one around to ask</w:t>
      </w:r>
      <w:r w:rsidR="00E45791">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E</w:t>
      </w:r>
      <w:r w:rsidR="00BE2E0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ven if your lucky enough to find someone</w:t>
      </w:r>
      <w:r w:rsidR="00033427">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t>
      </w:r>
      <w:r w:rsidR="00BE2E0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memories fade and environmental issues were not on the radar screen at that time.</w:t>
      </w:r>
      <w:r w:rsidR="003769D4">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6C0866CA" w14:textId="28732DD4" w:rsidR="004A22D4" w:rsidRDefault="00BE2E02" w:rsidP="00117F00">
      <w:pPr>
        <w:jc w:val="both"/>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Before starting a phase 2 ESA, the consultant must prepare a “Sampling Plan” which defines the number of boreholes and monitoring wells to be installed and the number of samples to be gathered.  How many boreholes</w:t>
      </w:r>
      <w:r w:rsidR="0070077B">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w:t>
      </w:r>
      <w:r>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how many samples?, all the Regulation says is “a sufficient number”</w:t>
      </w:r>
      <w:r w:rsidR="0070077B">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and what that</w:t>
      </w:r>
      <w:r w:rsidR="00E45791">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number</w:t>
      </w:r>
      <w:r w:rsidR="0070077B">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is is up to the consultan</w:t>
      </w:r>
      <w:r w:rsidR="0001230D">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t to decide and here’s the dilemma: the science </w:t>
      </w:r>
      <w:r w:rsidR="006327C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and common-sense </w:t>
      </w:r>
      <w:r w:rsidR="0001230D">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says when you don’t have answers to the above questions, </w:t>
      </w:r>
      <w:r w:rsidR="00A4052F">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a “sufficient number of samples” </w:t>
      </w:r>
      <w:r w:rsidR="003769D4">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is to drill closely-spaced boreholes all across the site</w:t>
      </w:r>
      <w:r w:rsidR="00CC00D5">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t>
      </w:r>
      <w:r w:rsidR="003769D4">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and analyse </w:t>
      </w:r>
      <w:r w:rsidR="00A4052F">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samples from multiple depths beneath the surface to cover all </w:t>
      </w:r>
      <w:r w:rsidR="0001230D">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possible contaminants</w:t>
      </w:r>
      <w:r w:rsidR="00A4052F">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Opposing this </w:t>
      </w:r>
      <w:r w:rsidR="0001230D">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scientific </w:t>
      </w:r>
      <w:r w:rsidR="00A4052F">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approach is the client whose pockets are not deep enough to cover the </w:t>
      </w:r>
      <w:r w:rsidR="0001230D">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drilling and lab </w:t>
      </w:r>
      <w:r w:rsidR="00A4052F">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cost</w:t>
      </w:r>
      <w:r w:rsidR="0001230D">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s</w:t>
      </w:r>
      <w:r w:rsidR="00E45791">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and the</w:t>
      </w:r>
      <w:r w:rsidR="0001230D">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t>
      </w:r>
      <w:r w:rsidR="006327C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consultant’s </w:t>
      </w:r>
      <w:r w:rsidR="00A4052F">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marketplace where the lowest bid wins</w:t>
      </w:r>
      <w:r w:rsidR="0001230D">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and padding a project with expensive drilling and lab costs is not a </w:t>
      </w:r>
      <w:r w:rsidR="00EE14BE">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recipe for success</w:t>
      </w:r>
      <w:r w:rsidR="0001230D">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t>
      </w:r>
      <w:r w:rsidR="00EE14BE">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So</w:t>
      </w:r>
      <w:r w:rsidR="00A4052F">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where do you strike the balance?  Current practice is to define “Areas of Potential Environmental Concern</w:t>
      </w:r>
      <w:r w:rsidR="00A93034">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(APEC) on the site based on the findings of the phase 1 investigation and then concentrate on these areas in the phase 2 investigation but this is a </w:t>
      </w:r>
      <w:r w:rsidR="00E45791">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h</w:t>
      </w:r>
      <w:r w:rsidR="00A93034">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it-and-miss process given the amount of missing information</w:t>
      </w:r>
      <w:r w:rsidR="001E0B53">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and</w:t>
      </w:r>
      <w:r w:rsidR="00EE14BE">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even here there is no guidance on how many boreholes and how many samples are required.</w:t>
      </w:r>
    </w:p>
    <w:p w14:paraId="740F5443" w14:textId="5A22DF68" w:rsidR="00E45791" w:rsidRDefault="00E45791" w:rsidP="00117F00">
      <w:pPr>
        <w:jc w:val="both"/>
        <w:rPr>
          <w:b/>
          <w:color w:val="4F81BD" w:themeColor="accent1"/>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E45791">
        <w:rPr>
          <w:b/>
          <w:color w:val="4F81BD" w:themeColor="accent1"/>
          <w:sz w:val="28"/>
          <w:szCs w:val="28"/>
          <w14:textOutline w14:w="0" w14:cap="flat" w14:cmpd="sng" w14:algn="ctr">
            <w14:noFill/>
            <w14:prstDash w14:val="solid"/>
            <w14:round/>
          </w14:textOutline>
          <w14:props3d w14:extrusionH="57150" w14:contourW="0" w14:prstMaterial="softEdge">
            <w14:bevelT w14:w="25400" w14:h="38100" w14:prst="circle"/>
          </w14:props3d>
        </w:rPr>
        <w:t>For Example</w:t>
      </w:r>
      <w:r>
        <w:rPr>
          <w:b/>
          <w:color w:val="4F81BD" w:themeColor="accent1"/>
          <w:sz w:val="28"/>
          <w:szCs w:val="28"/>
          <w14:textOutline w14:w="0" w14:cap="flat" w14:cmpd="sng" w14:algn="ctr">
            <w14:noFill/>
            <w14:prstDash w14:val="solid"/>
            <w14:round/>
          </w14:textOutline>
          <w14:props3d w14:extrusionH="57150" w14:contourW="0" w14:prstMaterial="softEdge">
            <w14:bevelT w14:w="25400" w14:h="38100" w14:prst="circle"/>
          </w14:props3d>
        </w:rPr>
        <w:t>..</w:t>
      </w:r>
    </w:p>
    <w:p w14:paraId="3E163344" w14:textId="47E384F2" w:rsidR="0029209B" w:rsidRDefault="0029209B" w:rsidP="00117F00">
      <w:pPr>
        <w:jc w:val="both"/>
        <w:rPr>
          <w:b/>
          <w:color w:val="4F81BD" w:themeColor="accen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b/>
          <w:color w:val="4F81BD" w:themeColor="accent1"/>
          <w:sz w:val="28"/>
          <w:szCs w:val="28"/>
        </w:rPr>
        <w:drawing>
          <wp:anchor distT="0" distB="0" distL="114300" distR="114300" simplePos="0" relativeHeight="251658240" behindDoc="0" locked="0" layoutInCell="1" allowOverlap="1" wp14:anchorId="7E70101A" wp14:editId="09BC6344">
            <wp:simplePos x="0" y="0"/>
            <wp:positionH relativeFrom="column">
              <wp:posOffset>0</wp:posOffset>
            </wp:positionH>
            <wp:positionV relativeFrom="paragraph">
              <wp:posOffset>1270</wp:posOffset>
            </wp:positionV>
            <wp:extent cx="4470400" cy="33528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_212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70400" cy="3352800"/>
                    </a:xfrm>
                    <a:prstGeom prst="rect">
                      <a:avLst/>
                    </a:prstGeom>
                  </pic:spPr>
                </pic:pic>
              </a:graphicData>
            </a:graphic>
            <wp14:sizeRelH relativeFrom="page">
              <wp14:pctWidth>0</wp14:pctWidth>
            </wp14:sizeRelH>
            <wp14:sizeRelV relativeFrom="page">
              <wp14:pctHeight>0</wp14:pctHeight>
            </wp14:sizeRelV>
          </wp:anchor>
        </w:drawing>
      </w:r>
    </w:p>
    <w:p w14:paraId="6DAB6CA7" w14:textId="4B15223E" w:rsidR="00CD3989" w:rsidRDefault="00A93034" w:rsidP="00117F00">
      <w:pPr>
        <w:jc w:val="both"/>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Take, for example, a 1 hectare downtown site currently used as a </w:t>
      </w:r>
      <w:r w:rsidR="00EE14BE">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commercial office building with parking lot</w:t>
      </w:r>
      <w:r>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The phase 1 report shows that back in the late 1800’s there was a leather tannery on site</w:t>
      </w:r>
      <w:r w:rsidR="00353646">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heated by coal which closed in the 1920’s</w:t>
      </w:r>
      <w:r w:rsidR="001E0B53">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t>
      </w:r>
      <w:r w:rsidR="001E0B53">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lastRenderedPageBreak/>
        <w:t>This was</w:t>
      </w:r>
      <w:r w:rsidR="00353646">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followed by a widget manufacturer who </w:t>
      </w:r>
      <w:r w:rsidR="004A22D4">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made</w:t>
      </w:r>
      <w:r w:rsidR="00353646">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widgets that are no longer used but no one is quite sure what chemicals or processes were involved</w:t>
      </w:r>
      <w:r w:rsidR="00353646" w:rsidRPr="00353646">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t>
      </w:r>
      <w:r w:rsidR="00353646">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or where and how these were stored. Did they spray-paint them with lead-based primer and if so, where was the exhaust outlet from the paint booth?  However, they closed up in the 19</w:t>
      </w:r>
      <w:r w:rsidR="00EE14BE">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4</w:t>
      </w:r>
      <w:r w:rsidR="00353646">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0’s</w:t>
      </w:r>
      <w:r w:rsidR="004A22D4">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and were replaced with a welding shop which used a sand-blasting process to clean the rust prior to painting.  </w:t>
      </w:r>
      <w:r w:rsidR="00EE14BE">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From the 1940’s to the 1970’s</w:t>
      </w:r>
      <w:r w:rsidR="004A22D4">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the </w:t>
      </w:r>
      <w:r w:rsidR="00EE14BE">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site was used as a </w:t>
      </w:r>
      <w:r w:rsidR="004A22D4">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gas station and</w:t>
      </w:r>
      <w:r w:rsidR="00EE14BE">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auto</w:t>
      </w:r>
      <w:r w:rsidR="004A22D4">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garage</w:t>
      </w:r>
      <w:r w:rsidR="00EE14BE">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with underground fuel tanks </w:t>
      </w:r>
      <w:r w:rsidR="00093E0B">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whose location is uncertain</w:t>
      </w:r>
      <w:r w:rsidR="00EE14BE">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then </w:t>
      </w:r>
      <w:r w:rsidR="00093E0B">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the garage building with its underground hydraulic lifts was </w:t>
      </w:r>
      <w:r w:rsidR="00EE14BE">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demolished to make way for the new office building now on site</w:t>
      </w:r>
      <w:r w:rsidR="00093E0B">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There’s no record of any cleanup being performed. </w:t>
      </w:r>
      <w:r w:rsidR="004A22D4">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Accurately defining APECs on this type of site</w:t>
      </w:r>
      <w:r w:rsidR="00093E0B">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t>
      </w:r>
      <w:r w:rsidR="00093E0B" w:rsidRPr="00093E0B">
        <w:rPr>
          <w:i/>
          <w:color w:val="000000" w:themeColor="text1"/>
          <w14:textOutline w14:w="0" w14:cap="flat" w14:cmpd="sng" w14:algn="ctr">
            <w14:noFill/>
            <w14:prstDash w14:val="solid"/>
            <w14:round/>
          </w14:textOutline>
          <w14:props3d w14:extrusionH="57150" w14:contourW="0" w14:prstMaterial="softEdge">
            <w14:bevelT w14:w="25400" w14:h="38100" w14:prst="circle"/>
          </w14:props3d>
        </w:rPr>
        <w:t>before any drilling is done</w:t>
      </w:r>
      <w:r w:rsidR="004A22D4">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t>
      </w:r>
      <w:r w:rsidR="00C72F0F">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is </w:t>
      </w:r>
      <w:r w:rsidR="00093E0B">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ver</w:t>
      </w:r>
      <w:r w:rsidR="00C72F0F">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y difficult </w:t>
      </w:r>
      <w:r w:rsidR="001E0B53">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and the list of possible contaminants is long given the different types of operations on the site </w:t>
      </w:r>
      <w:r w:rsidR="00093E0B">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so</w:t>
      </w:r>
      <w:r w:rsidR="001E0B53">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w:t>
      </w:r>
      <w:r w:rsidR="00093E0B">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it means completing the phase 2 ESA in two parts: preliminary and final. The preliminary </w:t>
      </w:r>
      <w:r w:rsidR="00065E78">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phase 2 </w:t>
      </w:r>
      <w:r w:rsidR="00093E0B">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examination of the site drill</w:t>
      </w:r>
      <w:r w:rsidR="00065E78">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s</w:t>
      </w:r>
      <w:r w:rsidR="00093E0B">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a few boreholes in </w:t>
      </w:r>
      <w:r w:rsidR="00065E78">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each identified APEC to check the soil and ground water for the “contaminants of potential concern” in the hope that these are “sufficient” to indicate if the site is contaminated or not.  If nothing amiss is found, the site is declared to “show no evidence of any exceedances of a regulatory limit for the contaminants examined” and nothing more is done. If exceedances are found, further drilling and sampling is done to define the horizontal and vertical extent followed by a site cleanup or risk assessment</w:t>
      </w:r>
      <w:r w:rsidR="00E45791">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the latter being used to see if the contaminants can be left in place.</w:t>
      </w:r>
      <w:r w:rsidR="00065E78">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t>
      </w:r>
      <w:r w:rsidR="001E0B53">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Remember, all of this is based on the sketchy information in the phase 1 report and the best guess at where any contaminants might be.</w:t>
      </w:r>
    </w:p>
    <w:p w14:paraId="565F4E6C" w14:textId="48CE6B32" w:rsidR="00CD3989" w:rsidRDefault="00CD3989" w:rsidP="00117F00">
      <w:pPr>
        <w:jc w:val="both"/>
        <w:rPr>
          <w:color w:val="8064A2" w:themeColor="accent4"/>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3989">
        <w:rPr>
          <w:color w:val="8064A2" w:themeColor="accent4"/>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Consultant’s Second Dilemma</w:t>
      </w:r>
    </w:p>
    <w:p w14:paraId="31F33A00" w14:textId="1FF566BD" w:rsidR="00D17AF4" w:rsidRPr="00CD3989" w:rsidRDefault="00924406" w:rsidP="00117F00">
      <w:pPr>
        <w:jc w:val="both"/>
        <w:rPr>
          <w:color w:val="8064A2" w:themeColor="accent4"/>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drawing>
          <wp:anchor distT="0" distB="0" distL="114300" distR="114300" simplePos="0" relativeHeight="251659264" behindDoc="0" locked="0" layoutInCell="1" allowOverlap="1" wp14:anchorId="64D00469" wp14:editId="499D5E4B">
            <wp:simplePos x="0" y="0"/>
            <wp:positionH relativeFrom="column">
              <wp:posOffset>0</wp:posOffset>
            </wp:positionH>
            <wp:positionV relativeFrom="paragraph">
              <wp:posOffset>-635</wp:posOffset>
            </wp:positionV>
            <wp:extent cx="3514725" cy="26289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4725"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77F7D" w14:textId="6645AA63" w:rsidR="009B1482" w:rsidRDefault="00A61F73" w:rsidP="00117F00">
      <w:pPr>
        <w:jc w:val="both"/>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The Regulations </w:t>
      </w:r>
      <w:r w:rsidR="00575B61">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specify that “representative samples” must be submitted for analysis but </w:t>
      </w:r>
      <w:r w:rsidR="001E0B53">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once again </w:t>
      </w:r>
      <w:r w:rsidR="00575B61">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they do not define how to </w:t>
      </w:r>
      <w:r w:rsidR="00CE52DB">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achieve this</w:t>
      </w:r>
      <w:r w:rsidR="00575B61">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--what size </w:t>
      </w:r>
      <w:r w:rsidR="00CD3989">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of </w:t>
      </w:r>
      <w:r w:rsidR="00575B61">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sample </w:t>
      </w:r>
      <w:r w:rsidR="00CE52DB">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and</w:t>
      </w:r>
      <w:r w:rsidR="00575B61">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how many should be collected</w:t>
      </w:r>
      <w:r w:rsidR="00CE52DB">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This decision</w:t>
      </w:r>
      <w:r w:rsidR="00575B61">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n is left to the consultant </w:t>
      </w:r>
      <w:r w:rsidR="00FF12A5">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who is already under intense pressure from two </w:t>
      </w:r>
      <w:r w:rsidR="00187785">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conflicting </w:t>
      </w:r>
      <w:r w:rsidR="00FF12A5">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sources: the client who demands costs be kept to a minimum </w:t>
      </w:r>
      <w:r w:rsidR="00F831E5">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and the same client</w:t>
      </w:r>
      <w:r w:rsidR="00FF12A5">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who </w:t>
      </w:r>
      <w:r w:rsidR="00F831E5">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later finds out that you failed to detect contaminants that </w:t>
      </w:r>
      <w:r w:rsidR="00F831E5">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someone else </w:t>
      </w:r>
      <w:r w:rsidR="00CE52DB">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has discovered and is now threatening to sue you!  Worse still, it really doesn’t matter what size of sample you </w:t>
      </w:r>
      <w:r w:rsidR="00187785">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send to the lab</w:t>
      </w:r>
      <w:r w:rsidR="00CE52DB">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(typically around 100 – 200 grams), </w:t>
      </w:r>
      <w:r w:rsidR="00CE52DB">
        <w:rPr>
          <w:i/>
          <w:color w:val="000000" w:themeColor="text1"/>
          <w14:textOutline w14:w="0" w14:cap="flat" w14:cmpd="sng" w14:algn="ctr">
            <w14:noFill/>
            <w14:prstDash w14:val="solid"/>
            <w14:round/>
          </w14:textOutline>
          <w14:props3d w14:extrusionH="57150" w14:contourW="0" w14:prstMaterial="softEdge">
            <w14:bevelT w14:w="25400" w14:h="38100" w14:prst="circle"/>
          </w14:props3d>
        </w:rPr>
        <w:t>the laboratory</w:t>
      </w:r>
      <w:r w:rsidR="00C02E98">
        <w:rPr>
          <w:i/>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only uses about one gram (&lt; 1%) of the sample to complete the analysis.  The other 99% stays in the bottle!  </w:t>
      </w:r>
      <w:r w:rsidR="00187785" w:rsidRPr="00187785">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This is less of an issue</w:t>
      </w:r>
      <w:r w:rsidR="00187785">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when sampling groundwater which is much more homogeneous because the contaminants are in a dissolved state but it is often an insurmountable issue when sampling soil, especially when you have no prior knowledge how the contaminant is dispersed within the soil. Yes, your nose and eyeballs and vapour meters can help but only with contaminants you can see and smell and volatilise but if the allowable limit for the contaminant </w:t>
      </w:r>
      <w:r w:rsidR="00601BD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in question </w:t>
      </w:r>
      <w:r w:rsidR="00187785">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is in the low to sub-parts per million level---and many of them are---</w:t>
      </w:r>
      <w:r w:rsidR="0090578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and you can’t see it or smell it or meter it, </w:t>
      </w:r>
      <w:r w:rsidR="00601BD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n</w:t>
      </w:r>
      <w:r w:rsidR="00187785">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one of these three avenues </w:t>
      </w:r>
      <w:r w:rsidR="00601BD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are any help.  </w:t>
      </w:r>
      <w:r w:rsidR="0090578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It makes no sense to argue that </w:t>
      </w:r>
      <w:r w:rsidR="00F7207C">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a</w:t>
      </w:r>
      <w:r w:rsidR="00601BD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one gram sample analysed at the laboratory </w:t>
      </w:r>
      <w:r w:rsidR="0090578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is</w:t>
      </w:r>
      <w:r w:rsidR="00601BD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representative of the millions </w:t>
      </w:r>
      <w:r w:rsidR="0090578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and millions </w:t>
      </w:r>
      <w:r w:rsidR="00601BD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of grams at the site unless the contaminant particles in the soil are evenly dispersed and in sufficient number</w:t>
      </w:r>
      <w:r w:rsidR="0090578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s</w:t>
      </w:r>
      <w:r w:rsidR="00601BD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to allow 1 gram of soil </w:t>
      </w:r>
      <w:r w:rsidR="00F7207C">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(typically a few thousand particles) </w:t>
      </w:r>
      <w:r w:rsidR="00601BD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to contain an average number of contaminant particles</w:t>
      </w:r>
      <w:r w:rsidR="00F7207C">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This never happens in reality and is especially troublesome </w:t>
      </w:r>
      <w:r w:rsidR="000F128D">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when dealing with</w:t>
      </w:r>
      <w:r w:rsidR="00F7207C">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toxic metal</w:t>
      </w:r>
      <w:r w:rsidR="000F128D">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s (antimony, beryllium, cadmium, </w:t>
      </w:r>
      <w:r w:rsidR="000F128D">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mercury,</w:t>
      </w:r>
      <w:r w:rsidR="000F128D">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etc.) and polycyclic aromtaic hydrocarbons (PAHs) where it only takes a few contaminat particles per million soil particles to exceed the limit</w:t>
      </w:r>
      <w:r w:rsidR="00F7207C">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A site which shows an exceedance of </w:t>
      </w:r>
      <w:r w:rsidR="00F7207C" w:rsidRPr="000F128D">
        <w:rPr>
          <w:i/>
          <w:color w:val="000000" w:themeColor="text1"/>
          <w14:textOutline w14:w="0" w14:cap="flat" w14:cmpd="sng" w14:algn="ctr">
            <w14:noFill/>
            <w14:prstDash w14:val="solid"/>
            <w14:round/>
          </w14:textOutline>
          <w14:props3d w14:extrusionH="57150" w14:contourW="0" w14:prstMaterial="softEdge">
            <w14:bevelT w14:w="25400" w14:h="38100" w14:prst="circle"/>
          </w14:props3d>
        </w:rPr>
        <w:t>any</w:t>
      </w:r>
      <w:r w:rsidR="00F7207C">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contaminants must be cleaned up or risk assessed</w:t>
      </w:r>
      <w:r w:rsidR="00601BD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w:t>
      </w:r>
      <w:r w:rsidR="0090578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t>
      </w:r>
      <w:r w:rsidR="000F128D">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In these and many other cases, one gram samples simply</w:t>
      </w:r>
      <w:r w:rsidR="0090578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t>
      </w:r>
      <w:r w:rsidR="000F128D">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cannot </w:t>
      </w:r>
      <w:r w:rsidR="0090578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be representative </w:t>
      </w:r>
      <w:r w:rsidR="000F128D">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because </w:t>
      </w:r>
      <w:r w:rsidR="0090578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the lab takes only a couple of thousand particles from the sample bottle</w:t>
      </w:r>
      <w:r w:rsidR="000F128D">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for analysis</w:t>
      </w:r>
      <w:r w:rsidR="0090578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Statiscally, the chances of the </w:t>
      </w:r>
      <w:r w:rsidR="000F128D">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1 gram </w:t>
      </w:r>
      <w:r w:rsidR="0090578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lab sample containing </w:t>
      </w:r>
      <w:r w:rsidR="00905782">
        <w:rPr>
          <w:i/>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any </w:t>
      </w:r>
      <w:r w:rsidR="0090578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contaminant particles is close to zero but if it does happen to include one, the lab </w:t>
      </w:r>
      <w:r w:rsidR="00F7207C">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certificate</w:t>
      </w:r>
      <w:r w:rsidR="00905782">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will show a </w:t>
      </w:r>
      <w:r w:rsidR="00F7207C">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result far above the true value</w:t>
      </w:r>
      <w:r w:rsidR="000F128D">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(1 particle in 2000 particles = 500 ppm)</w:t>
      </w:r>
      <w:r w:rsidR="00F7207C">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w:t>
      </w:r>
      <w:bookmarkStart w:id="1" w:name="_GoBack"/>
      <w:bookmarkEnd w:id="1"/>
      <w:r w:rsidR="00F7207C">
        <w:rPr>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19A694F3" w14:textId="7BB6C6C0" w:rsidR="000F128D" w:rsidRDefault="000F128D" w:rsidP="00117F00">
      <w:pPr>
        <w:jc w:val="both"/>
        <w:rPr>
          <w:b/>
          <w:color w:val="8064A2" w:themeColor="accent4"/>
          <w:sz w:val="28"/>
          <w:szCs w:val="28"/>
        </w:rPr>
      </w:pPr>
      <w:r w:rsidRPr="000F128D">
        <w:rPr>
          <w:b/>
          <w:color w:val="8064A2" w:themeColor="accent4"/>
          <w:sz w:val="28"/>
          <w:szCs w:val="28"/>
        </w:rPr>
        <w:t>What are the Consequences?</w:t>
      </w:r>
    </w:p>
    <w:p w14:paraId="2DF3AA70" w14:textId="3549EC78" w:rsidR="000F128D" w:rsidRDefault="00F1226E" w:rsidP="00117F00">
      <w:pPr>
        <w:jc w:val="both"/>
      </w:pPr>
      <w:r>
        <w:drawing>
          <wp:anchor distT="0" distB="0" distL="114300" distR="114300" simplePos="0" relativeHeight="251660288" behindDoc="0" locked="0" layoutInCell="1" allowOverlap="1" wp14:anchorId="70017868" wp14:editId="05770466">
            <wp:simplePos x="0" y="0"/>
            <wp:positionH relativeFrom="column">
              <wp:posOffset>47625</wp:posOffset>
            </wp:positionH>
            <wp:positionV relativeFrom="paragraph">
              <wp:posOffset>66675</wp:posOffset>
            </wp:positionV>
            <wp:extent cx="4381500" cy="24644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053.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81500" cy="2464435"/>
                    </a:xfrm>
                    <a:prstGeom prst="rect">
                      <a:avLst/>
                    </a:prstGeom>
                  </pic:spPr>
                </pic:pic>
              </a:graphicData>
            </a:graphic>
            <wp14:sizeRelH relativeFrom="page">
              <wp14:pctWidth>0</wp14:pctWidth>
            </wp14:sizeRelH>
            <wp14:sizeRelV relativeFrom="page">
              <wp14:pctHeight>0</wp14:pctHeight>
            </wp14:sizeRelV>
          </wp:anchor>
        </w:drawing>
      </w:r>
      <w:r w:rsidR="000F128D" w:rsidRPr="000F128D">
        <w:t>At the core of every phase 2</w:t>
      </w:r>
      <w:r w:rsidR="000F128D">
        <w:t xml:space="preserve"> ESA is the laboratory certificate of analysis</w:t>
      </w:r>
      <w:r w:rsidR="004E198D">
        <w:t xml:space="preserve"> showing whether a site needs an expensive cleanup or a pat on the back to the site owner. Consultants place great reliance on these certificates </w:t>
      </w:r>
      <w:r w:rsidR="004E198D">
        <w:lastRenderedPageBreak/>
        <w:t>because they come with several pages of quality control showing how precise and accurate the results are but they miss the point that the result is only as reliable as the sample is representative and no one has yet defined what representative means.  It is troubling to think that many a site has been declared “clean” on the basis of lab certificates showing no exceedances when, in fact, the lab sample was simply not large enough to contain anywhere near a representative number of contaminant particles</w:t>
      </w:r>
      <w:r w:rsidR="00047AEC">
        <w:t xml:space="preserve"> and the site is in fact “contaminated”</w:t>
      </w:r>
      <w:r w:rsidR="004E198D">
        <w:t xml:space="preserve">.  Equally troubling it is to think that many a site has undergone an expensive cleanup based on a reported exceedance in a one gram sample that was never representative in the first place. A very common occurrence is to find a slight exceedance in one </w:t>
      </w:r>
      <w:r w:rsidR="00047AEC">
        <w:t xml:space="preserve">or more </w:t>
      </w:r>
      <w:r w:rsidR="004E198D">
        <w:t>metal</w:t>
      </w:r>
      <w:r w:rsidR="00047AEC">
        <w:t>s</w:t>
      </w:r>
      <w:r w:rsidR="004E198D">
        <w:t xml:space="preserve"> </w:t>
      </w:r>
      <w:r w:rsidR="00047AEC">
        <w:t>or PAHs on a site which prompts further investigation only to find these metals or PAHs have “disappeared” but are now replaced with other members in the analytical package that weren’t there first time around.  The problem here is not with exceedances but with statistics.</w:t>
      </w:r>
    </w:p>
    <w:p w14:paraId="5C9AAE71" w14:textId="2124C32C" w:rsidR="00047AEC" w:rsidRDefault="00047AEC" w:rsidP="00047AEC">
      <w:pPr>
        <w:jc w:val="both"/>
        <w:rPr>
          <w:b/>
          <w:color w:val="8064A2" w:themeColor="accent4"/>
          <w:sz w:val="28"/>
          <w:szCs w:val="28"/>
        </w:rPr>
      </w:pPr>
      <w:r w:rsidRPr="000F128D">
        <w:rPr>
          <w:b/>
          <w:color w:val="8064A2" w:themeColor="accent4"/>
          <w:sz w:val="28"/>
          <w:szCs w:val="28"/>
        </w:rPr>
        <w:t xml:space="preserve">What </w:t>
      </w:r>
      <w:r>
        <w:rPr>
          <w:b/>
          <w:color w:val="8064A2" w:themeColor="accent4"/>
          <w:sz w:val="28"/>
          <w:szCs w:val="28"/>
        </w:rPr>
        <w:t>is</w:t>
      </w:r>
      <w:r w:rsidRPr="000F128D">
        <w:rPr>
          <w:b/>
          <w:color w:val="8064A2" w:themeColor="accent4"/>
          <w:sz w:val="28"/>
          <w:szCs w:val="28"/>
        </w:rPr>
        <w:t xml:space="preserve"> the </w:t>
      </w:r>
      <w:r>
        <w:rPr>
          <w:b/>
          <w:color w:val="8064A2" w:themeColor="accent4"/>
          <w:sz w:val="28"/>
          <w:szCs w:val="28"/>
        </w:rPr>
        <w:t>Solution</w:t>
      </w:r>
      <w:r w:rsidRPr="000F128D">
        <w:rPr>
          <w:b/>
          <w:color w:val="8064A2" w:themeColor="accent4"/>
          <w:sz w:val="28"/>
          <w:szCs w:val="28"/>
        </w:rPr>
        <w:t>?</w:t>
      </w:r>
    </w:p>
    <w:p w14:paraId="00403D4A" w14:textId="68DD9321" w:rsidR="00047AEC" w:rsidRDefault="00047AEC" w:rsidP="00117F00">
      <w:pPr>
        <w:jc w:val="both"/>
      </w:pPr>
      <w:r>
        <w:t xml:space="preserve">The Ontario Ministry of the Environment, Conservation and Parks has just announced proposed changes to the Brownfileds Regulation </w:t>
      </w:r>
      <w:r w:rsidR="00A148A2">
        <w:t xml:space="preserve">and introduced a new </w:t>
      </w:r>
      <w:r w:rsidR="00924406">
        <w:t>E</w:t>
      </w:r>
      <w:r w:rsidR="00A148A2">
        <w:t xml:space="preserve">xcess </w:t>
      </w:r>
      <w:r w:rsidR="00924406">
        <w:t>S</w:t>
      </w:r>
      <w:r w:rsidR="00A148A2">
        <w:t xml:space="preserve">oil </w:t>
      </w:r>
      <w:r w:rsidR="00924406">
        <w:t>M</w:t>
      </w:r>
      <w:r w:rsidR="00A148A2">
        <w:t xml:space="preserve">anagement regulation </w:t>
      </w:r>
      <w:r>
        <w:t>which once again fail</w:t>
      </w:r>
      <w:r w:rsidR="00A148A2">
        <w:t>s</w:t>
      </w:r>
      <w:r>
        <w:t xml:space="preserve"> to address the </w:t>
      </w:r>
      <w:r w:rsidR="00A148A2">
        <w:t xml:space="preserve">serious </w:t>
      </w:r>
      <w:r>
        <w:t xml:space="preserve">sampling issues. Indeed, it carries instructions that at least </w:t>
      </w:r>
      <w:r w:rsidR="00A148A2">
        <w:t>three</w:t>
      </w:r>
      <w:r>
        <w:t xml:space="preserve"> sample</w:t>
      </w:r>
      <w:r w:rsidR="00A148A2">
        <w:t>s</w:t>
      </w:r>
      <w:r>
        <w:t xml:space="preserve"> from </w:t>
      </w:r>
      <w:r w:rsidR="00A148A2">
        <w:t>a</w:t>
      </w:r>
      <w:r>
        <w:t xml:space="preserve"> </w:t>
      </w:r>
      <w:r w:rsidR="00A148A2">
        <w:t>150</w:t>
      </w:r>
      <w:r>
        <w:t xml:space="preserve"> cubic metres </w:t>
      </w:r>
      <w:r w:rsidR="00A148A2">
        <w:t>pile of</w:t>
      </w:r>
      <w:r>
        <w:t xml:space="preserve"> soil be analysed</w:t>
      </w:r>
      <w:r w:rsidR="00A148A2">
        <w:t xml:space="preserve"> before it can be disposed of??   That’s approximately eight big truckloads and </w:t>
      </w:r>
      <w:r w:rsidR="00924406">
        <w:t>the</w:t>
      </w:r>
      <w:r w:rsidR="00A148A2">
        <w:t xml:space="preserve">1.5 grams of soil analysed for metals </w:t>
      </w:r>
      <w:r w:rsidR="00924406">
        <w:t xml:space="preserve">(0.5 g/sample) </w:t>
      </w:r>
      <w:r w:rsidR="00A148A2">
        <w:t xml:space="preserve">is supposed to tell me something about the soil quality. </w:t>
      </w:r>
      <w:r w:rsidR="00924406">
        <w:t xml:space="preserve">This is meaningless. </w:t>
      </w:r>
      <w:r w:rsidR="00A148A2">
        <w:t>Finding a solution to these issues is not going to be easy because the answer is either to increase the sample size at least a 100-fold or greatly increase the number of smaller samples.  The labs currently cannot handle the former and the client will refuse to pay for the latter</w:t>
      </w:r>
      <w:r w:rsidR="00924406">
        <w:t xml:space="preserve"> so we are left with lab results and cleanups based on very unrepresentative data</w:t>
      </w:r>
      <w:r w:rsidR="00A148A2">
        <w:t>.</w:t>
      </w:r>
    </w:p>
    <w:p w14:paraId="3AF25E94" w14:textId="7F2333E5" w:rsidR="00A148A2" w:rsidRDefault="00A148A2" w:rsidP="00117F00">
      <w:pPr>
        <w:jc w:val="both"/>
      </w:pPr>
    </w:p>
    <w:p w14:paraId="5B5ED4F6" w14:textId="77777777" w:rsidR="00A148A2" w:rsidRPr="00A148A2" w:rsidRDefault="00A148A2" w:rsidP="00A148A2">
      <w:pPr>
        <w:autoSpaceDE w:val="0"/>
        <w:autoSpaceDN w:val="0"/>
        <w:adjustRightInd w:val="0"/>
        <w:spacing w:after="0" w:line="240" w:lineRule="auto"/>
        <w:rPr>
          <w:rFonts w:ascii="Calibri" w:hAnsi="Calibri" w:cs="Calibri"/>
          <w:noProof w:val="0"/>
          <w:vertAlign w:val="subscript"/>
          <w:lang w:val="en-GB"/>
        </w:rPr>
      </w:pPr>
      <w:r w:rsidRPr="00A148A2">
        <w:rPr>
          <w:rFonts w:ascii="Times New Roman" w:hAnsi="Times New Roman" w:cs="Times New Roman"/>
          <w:noProof w:val="0"/>
          <w:sz w:val="24"/>
          <w:szCs w:val="24"/>
        </w:rPr>
        <w:fldChar w:fldCharType="begin"/>
      </w:r>
      <w:r w:rsidRPr="00A148A2">
        <w:rPr>
          <w:rFonts w:ascii="Times New Roman" w:hAnsi="Times New Roman" w:cs="Times New Roman"/>
          <w:noProof w:val="0"/>
          <w:sz w:val="24"/>
          <w:szCs w:val="24"/>
        </w:rPr>
        <w:instrText xml:space="preserve"> SEQ CHAPTER \h \r 1</w:instrText>
      </w:r>
      <w:r w:rsidRPr="00A148A2">
        <w:rPr>
          <w:rFonts w:ascii="Times New Roman" w:hAnsi="Times New Roman" w:cs="Times New Roman"/>
          <w:noProof w:val="0"/>
          <w:sz w:val="24"/>
          <w:szCs w:val="24"/>
        </w:rPr>
        <w:fldChar w:fldCharType="end"/>
      </w:r>
      <w:proofErr w:type="spellStart"/>
      <w:r w:rsidRPr="00A148A2">
        <w:rPr>
          <w:rFonts w:ascii="Calibri" w:hAnsi="Calibri" w:cs="Calibri"/>
          <w:b/>
          <w:bCs/>
          <w:noProof w:val="0"/>
          <w:lang w:val="en-GB"/>
        </w:rPr>
        <w:t>Dr.</w:t>
      </w:r>
      <w:proofErr w:type="spellEnd"/>
      <w:r w:rsidRPr="00A148A2">
        <w:rPr>
          <w:rFonts w:ascii="Calibri" w:hAnsi="Calibri" w:cs="Calibri"/>
          <w:b/>
          <w:bCs/>
          <w:noProof w:val="0"/>
          <w:lang w:val="en-GB"/>
        </w:rPr>
        <w:t xml:space="preserve"> George Duncan, M.Sc., Ph.D., </w:t>
      </w:r>
      <w:proofErr w:type="spellStart"/>
      <w:r w:rsidRPr="00A148A2">
        <w:rPr>
          <w:rFonts w:ascii="Calibri" w:hAnsi="Calibri" w:cs="Calibri"/>
          <w:b/>
          <w:bCs/>
          <w:noProof w:val="0"/>
          <w:lang w:val="en-GB"/>
        </w:rPr>
        <w:t>P.Geo</w:t>
      </w:r>
      <w:proofErr w:type="spellEnd"/>
      <w:r w:rsidRPr="00A148A2">
        <w:rPr>
          <w:rFonts w:ascii="Calibri" w:hAnsi="Calibri" w:cs="Calibri"/>
          <w:b/>
          <w:bCs/>
          <w:noProof w:val="0"/>
          <w:lang w:val="en-GB"/>
        </w:rPr>
        <w:t>. (Limited), C. Chem., Q.P.</w:t>
      </w:r>
      <w:r w:rsidRPr="00A148A2">
        <w:rPr>
          <w:rFonts w:ascii="Calibri" w:hAnsi="Calibri" w:cs="Calibri"/>
          <w:b/>
          <w:bCs/>
          <w:noProof w:val="0"/>
          <w:vertAlign w:val="subscript"/>
          <w:lang w:val="en-GB"/>
        </w:rPr>
        <w:t>ESA</w:t>
      </w:r>
    </w:p>
    <w:p w14:paraId="601CB73C" w14:textId="77777777" w:rsidR="00A148A2" w:rsidRPr="00A148A2" w:rsidRDefault="00A148A2" w:rsidP="00A148A2">
      <w:pPr>
        <w:autoSpaceDE w:val="0"/>
        <w:autoSpaceDN w:val="0"/>
        <w:adjustRightInd w:val="0"/>
        <w:spacing w:after="0" w:line="240" w:lineRule="auto"/>
        <w:rPr>
          <w:rFonts w:ascii="Calibri" w:hAnsi="Calibri" w:cs="Calibri"/>
          <w:b/>
          <w:bCs/>
          <w:noProof w:val="0"/>
          <w:lang w:val="en-GB"/>
        </w:rPr>
      </w:pPr>
      <w:r w:rsidRPr="00A148A2">
        <w:rPr>
          <w:rFonts w:ascii="Calibri" w:hAnsi="Calibri" w:cs="Calibri"/>
          <w:b/>
          <w:bCs/>
          <w:noProof w:val="0"/>
          <w:lang w:val="en-GB"/>
        </w:rPr>
        <w:t>Senior Consultant,</w:t>
      </w:r>
    </w:p>
    <w:p w14:paraId="48AE58C8" w14:textId="77777777" w:rsidR="00A148A2" w:rsidRPr="00A148A2" w:rsidRDefault="00A148A2" w:rsidP="00A148A2">
      <w:pPr>
        <w:autoSpaceDE w:val="0"/>
        <w:autoSpaceDN w:val="0"/>
        <w:adjustRightInd w:val="0"/>
        <w:spacing w:after="0" w:line="240" w:lineRule="auto"/>
        <w:rPr>
          <w:rFonts w:ascii="Calibri" w:hAnsi="Calibri" w:cs="Calibri"/>
          <w:b/>
          <w:bCs/>
          <w:noProof w:val="0"/>
          <w:lang w:val="en-GB"/>
        </w:rPr>
      </w:pPr>
      <w:r w:rsidRPr="00A148A2">
        <w:rPr>
          <w:rFonts w:ascii="Calibri" w:hAnsi="Calibri" w:cs="Calibri"/>
          <w:b/>
          <w:bCs/>
          <w:noProof w:val="0"/>
          <w:lang w:val="en-GB"/>
        </w:rPr>
        <w:t>A &amp; A Environmental Consultants Inc.</w:t>
      </w:r>
    </w:p>
    <w:p w14:paraId="6390BE48" w14:textId="77777777" w:rsidR="00A148A2" w:rsidRPr="00A148A2" w:rsidRDefault="00A148A2" w:rsidP="00A148A2">
      <w:pPr>
        <w:autoSpaceDE w:val="0"/>
        <w:autoSpaceDN w:val="0"/>
        <w:adjustRightInd w:val="0"/>
        <w:spacing w:after="0" w:line="240" w:lineRule="auto"/>
        <w:rPr>
          <w:rFonts w:ascii="Calibri" w:hAnsi="Calibri" w:cs="Calibri"/>
          <w:noProof w:val="0"/>
          <w:lang w:val="en-GB"/>
        </w:rPr>
      </w:pPr>
    </w:p>
    <w:p w14:paraId="42E0B0E4" w14:textId="69F9983C" w:rsidR="00A148A2" w:rsidRPr="00A148A2" w:rsidRDefault="00A148A2" w:rsidP="00A148A2">
      <w:pPr>
        <w:autoSpaceDE w:val="0"/>
        <w:autoSpaceDN w:val="0"/>
        <w:adjustRightInd w:val="0"/>
        <w:spacing w:after="0" w:line="312" w:lineRule="auto"/>
        <w:rPr>
          <w:rFonts w:ascii="Calibri" w:hAnsi="Calibri" w:cs="Calibri"/>
          <w:noProof w:val="0"/>
          <w:lang w:val="en-GB"/>
        </w:rPr>
      </w:pPr>
      <w:proofErr w:type="spellStart"/>
      <w:r w:rsidRPr="00A148A2">
        <w:rPr>
          <w:rFonts w:ascii="Calibri" w:hAnsi="Calibri" w:cs="Calibri"/>
          <w:noProof w:val="0"/>
          <w:lang w:val="en-GB"/>
        </w:rPr>
        <w:t>Dr.</w:t>
      </w:r>
      <w:proofErr w:type="spellEnd"/>
      <w:r w:rsidRPr="00A148A2">
        <w:rPr>
          <w:rFonts w:ascii="Calibri" w:hAnsi="Calibri" w:cs="Calibri"/>
          <w:noProof w:val="0"/>
          <w:lang w:val="en-GB"/>
        </w:rPr>
        <w:t xml:space="preserve"> George Duncan is a Principal Consultant with A &amp; A Environmental Consultants, Inc.  He is an environmental analytical chemist with over thirty years</w:t>
      </w:r>
      <w:r>
        <w:rPr>
          <w:rFonts w:ascii="Calibri" w:hAnsi="Calibri" w:cs="Calibri"/>
          <w:noProof w:val="0"/>
          <w:lang w:val="en-GB"/>
        </w:rPr>
        <w:t>’</w:t>
      </w:r>
      <w:r w:rsidRPr="00A148A2">
        <w:rPr>
          <w:rFonts w:ascii="Calibri" w:hAnsi="Calibri" w:cs="Calibri"/>
          <w:noProof w:val="0"/>
          <w:lang w:val="en-GB"/>
        </w:rPr>
        <w:t xml:space="preserve"> experience in his field and has conducted over two thousand site investigations and </w:t>
      </w:r>
      <w:proofErr w:type="spellStart"/>
      <w:r w:rsidRPr="00A148A2">
        <w:rPr>
          <w:rFonts w:ascii="Calibri" w:hAnsi="Calibri" w:cs="Calibri"/>
          <w:noProof w:val="0"/>
          <w:lang w:val="en-GB"/>
        </w:rPr>
        <w:t>cleanups</w:t>
      </w:r>
      <w:proofErr w:type="spellEnd"/>
      <w:r w:rsidRPr="00A148A2">
        <w:rPr>
          <w:rFonts w:ascii="Calibri" w:hAnsi="Calibri" w:cs="Calibri"/>
          <w:noProof w:val="0"/>
          <w:lang w:val="en-GB"/>
        </w:rPr>
        <w:t xml:space="preserve">.  He holds a Master’s and a Doctorate degree in Analytical Chemistry from the University of Salford in England and is a “Qualified Person” under Ontario Regulation 153-04 for the performance of Phase I &amp; 2 Environmental Site Assessments. He is registered as a Professional Geoscientist (limited) with the Association of Professional Geoscientists of Ontario (APGO) </w:t>
      </w:r>
      <w:r w:rsidRPr="00A148A2">
        <w:rPr>
          <w:rFonts w:ascii="Calibri" w:hAnsi="Calibri" w:cs="Calibri"/>
          <w:noProof w:val="0"/>
          <w:lang w:val="en-GB"/>
        </w:rPr>
        <w:lastRenderedPageBreak/>
        <w:t xml:space="preserve">and as a Chartered Chemist with the Association of the Chemical Profession of Ontario (ACPO) and the Royal Society of Chemistry in the UK.   For a full description of the author’s background visit the company web-site at </w:t>
      </w:r>
      <w:hyperlink r:id="rId7" w:history="1">
        <w:r w:rsidRPr="00A148A2">
          <w:rPr>
            <w:rFonts w:ascii="Times New Roman" w:hAnsi="Times New Roman" w:cs="Times New Roman"/>
            <w:noProof w:val="0"/>
            <w:lang w:val="en-GB"/>
          </w:rPr>
          <w:t>www.aaenvironmental.ca/</w:t>
        </w:r>
      </w:hyperlink>
      <w:r w:rsidRPr="00A148A2">
        <w:rPr>
          <w:rFonts w:ascii="Times New Roman" w:hAnsi="Times New Roman" w:cs="Times New Roman"/>
          <w:noProof w:val="0"/>
          <w:sz w:val="20"/>
          <w:szCs w:val="20"/>
          <w:lang w:val="en-US"/>
        </w:rPr>
        <w:t xml:space="preserve">. </w:t>
      </w:r>
      <w:r w:rsidRPr="00A148A2">
        <w:rPr>
          <w:rFonts w:ascii="Calibri" w:hAnsi="Calibri" w:cs="Calibri"/>
          <w:noProof w:val="0"/>
          <w:lang w:val="en-GB"/>
        </w:rPr>
        <w:t xml:space="preserve"> </w:t>
      </w:r>
    </w:p>
    <w:p w14:paraId="048ADA1F" w14:textId="77777777" w:rsidR="00A148A2" w:rsidRPr="000F128D" w:rsidRDefault="00A148A2" w:rsidP="00117F00">
      <w:pPr>
        <w:jc w:val="both"/>
      </w:pPr>
    </w:p>
    <w:sectPr w:rsidR="00A148A2" w:rsidRPr="000F128D" w:rsidSect="004F62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00"/>
    <w:rsid w:val="0001230D"/>
    <w:rsid w:val="00015103"/>
    <w:rsid w:val="00021C86"/>
    <w:rsid w:val="00027A38"/>
    <w:rsid w:val="00033427"/>
    <w:rsid w:val="00047AEC"/>
    <w:rsid w:val="00065E78"/>
    <w:rsid w:val="00067A10"/>
    <w:rsid w:val="00093E0B"/>
    <w:rsid w:val="000D6A7E"/>
    <w:rsid w:val="000F128D"/>
    <w:rsid w:val="00103A61"/>
    <w:rsid w:val="00117F00"/>
    <w:rsid w:val="00123C07"/>
    <w:rsid w:val="00162DB8"/>
    <w:rsid w:val="00187785"/>
    <w:rsid w:val="001B07DD"/>
    <w:rsid w:val="001B58F5"/>
    <w:rsid w:val="001D4F94"/>
    <w:rsid w:val="001E0B53"/>
    <w:rsid w:val="00206976"/>
    <w:rsid w:val="00257CD9"/>
    <w:rsid w:val="0029209B"/>
    <w:rsid w:val="002E400B"/>
    <w:rsid w:val="00343E5A"/>
    <w:rsid w:val="0035350F"/>
    <w:rsid w:val="00353646"/>
    <w:rsid w:val="003769D4"/>
    <w:rsid w:val="003973EB"/>
    <w:rsid w:val="004015C2"/>
    <w:rsid w:val="0042109D"/>
    <w:rsid w:val="004A22D4"/>
    <w:rsid w:val="004A531F"/>
    <w:rsid w:val="004A7F65"/>
    <w:rsid w:val="004B0C40"/>
    <w:rsid w:val="004C3557"/>
    <w:rsid w:val="004E0C0F"/>
    <w:rsid w:val="004E198D"/>
    <w:rsid w:val="004F6234"/>
    <w:rsid w:val="00523806"/>
    <w:rsid w:val="0054736F"/>
    <w:rsid w:val="00575B61"/>
    <w:rsid w:val="00601BD2"/>
    <w:rsid w:val="00603055"/>
    <w:rsid w:val="006327C2"/>
    <w:rsid w:val="006A262A"/>
    <w:rsid w:val="006D42A5"/>
    <w:rsid w:val="0070077B"/>
    <w:rsid w:val="007163B8"/>
    <w:rsid w:val="00716A6A"/>
    <w:rsid w:val="007879E2"/>
    <w:rsid w:val="007B74A0"/>
    <w:rsid w:val="007E38E3"/>
    <w:rsid w:val="00812862"/>
    <w:rsid w:val="008249FD"/>
    <w:rsid w:val="00863CE3"/>
    <w:rsid w:val="00876BC2"/>
    <w:rsid w:val="009041CF"/>
    <w:rsid w:val="00905782"/>
    <w:rsid w:val="00924406"/>
    <w:rsid w:val="00930845"/>
    <w:rsid w:val="00941401"/>
    <w:rsid w:val="009971F6"/>
    <w:rsid w:val="009B1482"/>
    <w:rsid w:val="00A148A2"/>
    <w:rsid w:val="00A177D7"/>
    <w:rsid w:val="00A312B2"/>
    <w:rsid w:val="00A4052F"/>
    <w:rsid w:val="00A47FC4"/>
    <w:rsid w:val="00A56E7B"/>
    <w:rsid w:val="00A61F73"/>
    <w:rsid w:val="00A93034"/>
    <w:rsid w:val="00A966C5"/>
    <w:rsid w:val="00AA46B9"/>
    <w:rsid w:val="00B27A9D"/>
    <w:rsid w:val="00BE2E02"/>
    <w:rsid w:val="00C02E98"/>
    <w:rsid w:val="00C047AF"/>
    <w:rsid w:val="00C0565B"/>
    <w:rsid w:val="00C074F1"/>
    <w:rsid w:val="00C50841"/>
    <w:rsid w:val="00C67C4A"/>
    <w:rsid w:val="00C72F0F"/>
    <w:rsid w:val="00CB3F2E"/>
    <w:rsid w:val="00CC00D5"/>
    <w:rsid w:val="00CC1E4E"/>
    <w:rsid w:val="00CC37CE"/>
    <w:rsid w:val="00CD23C3"/>
    <w:rsid w:val="00CD2B33"/>
    <w:rsid w:val="00CD3989"/>
    <w:rsid w:val="00CD614A"/>
    <w:rsid w:val="00CE52DB"/>
    <w:rsid w:val="00D17AF4"/>
    <w:rsid w:val="00D740B3"/>
    <w:rsid w:val="00D879D4"/>
    <w:rsid w:val="00DA09A7"/>
    <w:rsid w:val="00DC4D3C"/>
    <w:rsid w:val="00DD2473"/>
    <w:rsid w:val="00DD4C78"/>
    <w:rsid w:val="00DF1539"/>
    <w:rsid w:val="00E45791"/>
    <w:rsid w:val="00EB73F7"/>
    <w:rsid w:val="00EC1711"/>
    <w:rsid w:val="00EC1A58"/>
    <w:rsid w:val="00EE14BE"/>
    <w:rsid w:val="00EE629E"/>
    <w:rsid w:val="00F1226E"/>
    <w:rsid w:val="00F55604"/>
    <w:rsid w:val="00F7207C"/>
    <w:rsid w:val="00F75DC1"/>
    <w:rsid w:val="00F831E5"/>
    <w:rsid w:val="00FA717C"/>
    <w:rsid w:val="00FF12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1676"/>
  <w15:chartTrackingRefBased/>
  <w15:docId w15:val="{C0CCDF53-40B0-4796-B7B0-B6978CC8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34"/>
    <w:rPr>
      <w:noProof/>
    </w:rPr>
  </w:style>
  <w:style w:type="paragraph" w:styleId="Heading3">
    <w:name w:val="heading 3"/>
    <w:basedOn w:val="Normal"/>
    <w:next w:val="Normal"/>
    <w:link w:val="Heading3Char"/>
    <w:uiPriority w:val="9"/>
    <w:qFormat/>
    <w:rsid w:val="00A966C5"/>
    <w:pPr>
      <w:keepNext/>
      <w:spacing w:before="240" w:after="60"/>
      <w:outlineLvl w:val="2"/>
    </w:pPr>
    <w:rPr>
      <w:rFonts w:ascii="Calibri" w:hAnsi="Calibr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66C5"/>
    <w:rPr>
      <w:rFonts w:ascii="Calibri" w:hAnsi="Calibri"/>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andaenv.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8292</TotalTime>
  <Pages>7</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Duncan</dc:creator>
  <cp:keywords/>
  <dc:description/>
  <cp:lastModifiedBy>George Duncan</cp:lastModifiedBy>
  <cp:revision>28</cp:revision>
  <dcterms:created xsi:type="dcterms:W3CDTF">2019-04-11T20:27:00Z</dcterms:created>
  <dcterms:modified xsi:type="dcterms:W3CDTF">2019-05-07T20:17:00Z</dcterms:modified>
</cp:coreProperties>
</file>