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3"/>
        <w:gridCol w:w="1200"/>
        <w:gridCol w:w="4536"/>
      </w:tblGrid>
      <w:tr w:rsidR="001E77C1" w14:paraId="43474F75" w14:textId="77777777" w:rsidTr="00A54EFD">
        <w:trPr>
          <w:trHeight w:val="1276"/>
        </w:trPr>
        <w:tc>
          <w:tcPr>
            <w:tcW w:w="3903" w:type="dxa"/>
            <w:tcBorders>
              <w:bottom w:val="single" w:sz="4" w:space="0" w:color="auto"/>
            </w:tcBorders>
            <w:tcMar>
              <w:left w:w="0" w:type="dxa"/>
              <w:right w:w="0" w:type="dxa"/>
            </w:tcMar>
          </w:tcPr>
          <w:p w14:paraId="3F254F2D" w14:textId="77777777" w:rsidR="00A964B4" w:rsidRDefault="00A964B4">
            <w:r>
              <w:rPr>
                <w:noProof/>
                <w:lang w:eastAsia="en-CA"/>
              </w:rPr>
              <w:drawing>
                <wp:inline distT="0" distB="0" distL="0" distR="0" wp14:anchorId="416896FC" wp14:editId="64751F6E">
                  <wp:extent cx="2478705" cy="959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ca-logo-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101" cy="959630"/>
                          </a:xfrm>
                          <a:prstGeom prst="rect">
                            <a:avLst/>
                          </a:prstGeom>
                        </pic:spPr>
                      </pic:pic>
                    </a:graphicData>
                  </a:graphic>
                </wp:inline>
              </w:drawing>
            </w:r>
          </w:p>
        </w:tc>
        <w:tc>
          <w:tcPr>
            <w:tcW w:w="1200" w:type="dxa"/>
            <w:tcBorders>
              <w:bottom w:val="single" w:sz="4" w:space="0" w:color="auto"/>
            </w:tcBorders>
            <w:tcMar>
              <w:left w:w="0" w:type="dxa"/>
              <w:right w:w="0" w:type="dxa"/>
            </w:tcMar>
          </w:tcPr>
          <w:p w14:paraId="155B4352" w14:textId="77777777" w:rsidR="00A964B4" w:rsidRDefault="00A964B4"/>
        </w:tc>
        <w:tc>
          <w:tcPr>
            <w:tcW w:w="4536" w:type="dxa"/>
            <w:tcBorders>
              <w:bottom w:val="single" w:sz="4" w:space="0" w:color="auto"/>
            </w:tcBorders>
            <w:tcMar>
              <w:left w:w="0" w:type="dxa"/>
              <w:right w:w="0" w:type="dxa"/>
            </w:tcMar>
            <w:vAlign w:val="center"/>
          </w:tcPr>
          <w:p w14:paraId="69326FB0" w14:textId="77777777" w:rsidR="00A964B4" w:rsidRPr="00A54EFD" w:rsidRDefault="00A964B4" w:rsidP="00907611">
            <w:pPr>
              <w:ind w:left="-983" w:firstLine="983"/>
              <w:rPr>
                <w:rFonts w:ascii="Estrangelo Edessa" w:hAnsi="Estrangelo Edessa" w:cs="Estrangelo Edessa"/>
                <w:b/>
                <w:color w:val="365F91" w:themeColor="accent1" w:themeShade="BF"/>
                <w:sz w:val="20"/>
                <w:szCs w:val="20"/>
              </w:rPr>
            </w:pPr>
            <w:r w:rsidRPr="00A54EFD">
              <w:rPr>
                <w:rFonts w:ascii="Estrangelo Edessa" w:hAnsi="Estrangelo Edessa" w:cs="Estrangelo Edessa"/>
                <w:b/>
                <w:color w:val="365F91" w:themeColor="accent1" w:themeShade="BF"/>
                <w:sz w:val="20"/>
                <w:szCs w:val="20"/>
              </w:rPr>
              <w:t>St. Clair Region Conservation Authority</w:t>
            </w:r>
          </w:p>
          <w:p w14:paraId="4EF3970B" w14:textId="77777777" w:rsidR="001E77C1" w:rsidRPr="001E77C1" w:rsidRDefault="00A964B4" w:rsidP="001E77C1">
            <w:pPr>
              <w:rPr>
                <w:rFonts w:ascii="Estrangelo Edessa" w:hAnsi="Estrangelo Edessa" w:cs="Estrangelo Edessa"/>
                <w:color w:val="365F91" w:themeColor="accent1" w:themeShade="BF"/>
                <w:sz w:val="20"/>
                <w:szCs w:val="20"/>
              </w:rPr>
            </w:pPr>
            <w:r w:rsidRPr="001E77C1">
              <w:rPr>
                <w:rFonts w:ascii="Estrangelo Edessa" w:hAnsi="Estrangelo Edessa" w:cs="Estrangelo Edessa"/>
                <w:color w:val="365F91" w:themeColor="accent1" w:themeShade="BF"/>
                <w:sz w:val="20"/>
                <w:szCs w:val="20"/>
              </w:rPr>
              <w:t>205 Mill Pond Crescent, Strathroy, ON,</w:t>
            </w:r>
            <w:r w:rsidR="001E77C1" w:rsidRPr="001E77C1">
              <w:rPr>
                <w:rFonts w:ascii="Estrangelo Edessa" w:hAnsi="Estrangelo Edessa" w:cs="Estrangelo Edessa"/>
                <w:color w:val="365F91" w:themeColor="accent1" w:themeShade="BF"/>
                <w:sz w:val="20"/>
                <w:szCs w:val="20"/>
              </w:rPr>
              <w:t>N7G 3P9</w:t>
            </w:r>
          </w:p>
          <w:p w14:paraId="71F64E3F" w14:textId="77777777" w:rsidR="001E77C1" w:rsidRPr="001E77C1" w:rsidRDefault="001E77C1" w:rsidP="001E77C1">
            <w:pPr>
              <w:rPr>
                <w:rFonts w:ascii="Estrangelo Edessa" w:hAnsi="Estrangelo Edessa" w:cs="Estrangelo Edessa"/>
                <w:color w:val="365F91" w:themeColor="accent1" w:themeShade="BF"/>
                <w:sz w:val="20"/>
                <w:szCs w:val="20"/>
              </w:rPr>
            </w:pPr>
            <w:r w:rsidRPr="001E77C1">
              <w:rPr>
                <w:rFonts w:ascii="Estrangelo Edessa" w:hAnsi="Estrangelo Edessa" w:cs="Estrangelo Edessa"/>
                <w:color w:val="365F91" w:themeColor="accent1" w:themeShade="BF"/>
                <w:sz w:val="20"/>
                <w:szCs w:val="20"/>
              </w:rPr>
              <w:t>Ph: 519-245-3710   Fx: 519-245-3348</w:t>
            </w:r>
          </w:p>
          <w:p w14:paraId="1124AB25" w14:textId="77777777" w:rsidR="001E77C1" w:rsidRPr="00300334" w:rsidRDefault="001E77C1" w:rsidP="001E77C1">
            <w:pPr>
              <w:rPr>
                <w:rFonts w:ascii="Estrangelo Edessa" w:hAnsi="Estrangelo Edessa" w:cs="Estrangelo Edessa"/>
                <w:color w:val="365F91" w:themeColor="accent1" w:themeShade="BF"/>
                <w:sz w:val="20"/>
                <w:szCs w:val="20"/>
              </w:rPr>
            </w:pPr>
            <w:r w:rsidRPr="001E77C1">
              <w:rPr>
                <w:rFonts w:ascii="Estrangelo Edessa" w:hAnsi="Estrangelo Edessa" w:cs="Estrangelo Edessa"/>
                <w:color w:val="365F91" w:themeColor="accent1" w:themeShade="BF"/>
                <w:sz w:val="20"/>
                <w:szCs w:val="20"/>
              </w:rPr>
              <w:t xml:space="preserve">E-Mail: </w:t>
            </w:r>
            <w:hyperlink r:id="rId9" w:history="1">
              <w:r w:rsidRPr="00300334">
                <w:rPr>
                  <w:rStyle w:val="Hyperlink"/>
                  <w:rFonts w:ascii="Estrangelo Edessa" w:hAnsi="Estrangelo Edessa" w:cs="Estrangelo Edessa"/>
                  <w:color w:val="365F91" w:themeColor="accent1" w:themeShade="BF"/>
                  <w:sz w:val="20"/>
                  <w:szCs w:val="20"/>
                  <w:u w:val="none"/>
                </w:rPr>
                <w:t>stclair@scrca.on.ca</w:t>
              </w:r>
            </w:hyperlink>
          </w:p>
          <w:p w14:paraId="46C65F6A" w14:textId="77777777" w:rsidR="00A964B4" w:rsidRPr="001E77C1" w:rsidRDefault="001E77C1" w:rsidP="001E77C1">
            <w:pPr>
              <w:rPr>
                <w:rFonts w:ascii="Estrangelo Edessa" w:hAnsi="Estrangelo Edessa" w:cs="Estrangelo Edessa"/>
                <w:sz w:val="20"/>
                <w:szCs w:val="20"/>
              </w:rPr>
            </w:pPr>
            <w:r w:rsidRPr="001E77C1">
              <w:rPr>
                <w:rFonts w:ascii="Estrangelo Edessa" w:hAnsi="Estrangelo Edessa" w:cs="Estrangelo Edessa"/>
                <w:color w:val="365F91" w:themeColor="accent1" w:themeShade="BF"/>
                <w:sz w:val="20"/>
                <w:szCs w:val="20"/>
              </w:rPr>
              <w:t>Website: www.scrca.on.ca</w:t>
            </w:r>
          </w:p>
        </w:tc>
      </w:tr>
    </w:tbl>
    <w:p w14:paraId="21C00F33" w14:textId="77777777" w:rsidR="00417C02" w:rsidRPr="00B748A5" w:rsidRDefault="00417C02" w:rsidP="00B748A5">
      <w:pPr>
        <w:jc w:val="right"/>
        <w:rPr>
          <w:sz w:val="32"/>
          <w:szCs w:val="32"/>
        </w:rPr>
      </w:pPr>
    </w:p>
    <w:p w14:paraId="6013ED3E" w14:textId="77777777" w:rsidR="00560745" w:rsidRPr="00BC1FD7" w:rsidRDefault="00E94E0F" w:rsidP="00BC1FD7">
      <w:pPr>
        <w:spacing w:after="30"/>
        <w:jc w:val="center"/>
        <w:rPr>
          <w:rFonts w:ascii="Arial" w:hAnsi="Arial" w:cs="Arial"/>
          <w:b/>
          <w:sz w:val="28"/>
          <w:szCs w:val="28"/>
        </w:rPr>
      </w:pPr>
      <w:r>
        <w:rPr>
          <w:rFonts w:ascii="Arial" w:hAnsi="Arial" w:cs="Arial"/>
          <w:b/>
          <w:sz w:val="28"/>
          <w:szCs w:val="28"/>
        </w:rPr>
        <w:t>Comments regarding Environmental Registry of Ontario posting Modernizing conservation authority operations – Conservation Authorities Act</w:t>
      </w:r>
    </w:p>
    <w:p w14:paraId="77815BEE" w14:textId="77777777" w:rsidR="00D74453" w:rsidRPr="00BC1FD7" w:rsidRDefault="00D74453" w:rsidP="00BC1FD7">
      <w:pPr>
        <w:spacing w:after="30"/>
        <w:jc w:val="center"/>
        <w:rPr>
          <w:rFonts w:ascii="Arial" w:hAnsi="Arial" w:cs="Arial"/>
          <w:b/>
          <w:i/>
          <w:sz w:val="24"/>
          <w:szCs w:val="24"/>
        </w:rPr>
      </w:pPr>
      <w:r w:rsidRPr="00BC1FD7">
        <w:rPr>
          <w:rFonts w:ascii="Arial" w:hAnsi="Arial" w:cs="Arial"/>
          <w:b/>
          <w:i/>
          <w:sz w:val="24"/>
          <w:szCs w:val="24"/>
        </w:rPr>
        <w:t xml:space="preserve">Posted by Ministry of </w:t>
      </w:r>
      <w:r w:rsidR="00E94E0F">
        <w:rPr>
          <w:rFonts w:ascii="Arial" w:hAnsi="Arial" w:cs="Arial"/>
          <w:b/>
          <w:i/>
          <w:sz w:val="24"/>
          <w:szCs w:val="24"/>
        </w:rPr>
        <w:t>Environment, Conservation and Parks</w:t>
      </w:r>
      <w:r w:rsidR="00686885">
        <w:rPr>
          <w:rFonts w:ascii="Arial" w:hAnsi="Arial" w:cs="Arial"/>
          <w:b/>
          <w:i/>
          <w:sz w:val="24"/>
          <w:szCs w:val="24"/>
        </w:rPr>
        <w:t xml:space="preserve"> on </w:t>
      </w:r>
      <w:r w:rsidR="00E94E0F">
        <w:rPr>
          <w:rFonts w:ascii="Arial" w:hAnsi="Arial" w:cs="Arial"/>
          <w:b/>
          <w:i/>
          <w:sz w:val="24"/>
          <w:szCs w:val="24"/>
        </w:rPr>
        <w:t xml:space="preserve">April 5, 2019 </w:t>
      </w:r>
      <w:r w:rsidRPr="00BC1FD7">
        <w:rPr>
          <w:rFonts w:ascii="Arial" w:hAnsi="Arial" w:cs="Arial"/>
          <w:b/>
          <w:i/>
          <w:sz w:val="24"/>
          <w:szCs w:val="24"/>
        </w:rPr>
        <w:t>#01</w:t>
      </w:r>
      <w:r w:rsidR="00E94E0F">
        <w:rPr>
          <w:rFonts w:ascii="Arial" w:hAnsi="Arial" w:cs="Arial"/>
          <w:b/>
          <w:i/>
          <w:sz w:val="24"/>
          <w:szCs w:val="24"/>
        </w:rPr>
        <w:t>3</w:t>
      </w:r>
      <w:r w:rsidRPr="00BC1FD7">
        <w:rPr>
          <w:rFonts w:ascii="Arial" w:hAnsi="Arial" w:cs="Arial"/>
          <w:b/>
          <w:i/>
          <w:sz w:val="24"/>
          <w:szCs w:val="24"/>
        </w:rPr>
        <w:t>-</w:t>
      </w:r>
      <w:r w:rsidR="00E94E0F">
        <w:rPr>
          <w:rFonts w:ascii="Arial" w:hAnsi="Arial" w:cs="Arial"/>
          <w:b/>
          <w:i/>
          <w:sz w:val="24"/>
          <w:szCs w:val="24"/>
        </w:rPr>
        <w:t>5018</w:t>
      </w:r>
    </w:p>
    <w:p w14:paraId="38B0B5B1" w14:textId="77777777" w:rsidR="00907611" w:rsidRPr="00BC1FD7" w:rsidRDefault="00907611" w:rsidP="00907611">
      <w:pPr>
        <w:spacing w:after="30"/>
        <w:rPr>
          <w:rFonts w:ascii="Arial" w:hAnsi="Arial" w:cs="Arial"/>
          <w:sz w:val="24"/>
          <w:szCs w:val="24"/>
        </w:rPr>
      </w:pPr>
    </w:p>
    <w:p w14:paraId="6E37276E" w14:textId="21894497" w:rsidR="008B0B2A" w:rsidRPr="009B6A67" w:rsidRDefault="00907611" w:rsidP="00907611">
      <w:pPr>
        <w:spacing w:after="30"/>
        <w:rPr>
          <w:rFonts w:ascii="Arial" w:hAnsi="Arial" w:cs="Arial"/>
          <w:sz w:val="24"/>
          <w:szCs w:val="24"/>
        </w:rPr>
      </w:pPr>
      <w:r w:rsidRPr="009B6A67">
        <w:rPr>
          <w:rFonts w:ascii="Arial" w:hAnsi="Arial" w:cs="Arial"/>
          <w:sz w:val="24"/>
          <w:szCs w:val="24"/>
        </w:rPr>
        <w:t xml:space="preserve">In </w:t>
      </w:r>
      <w:r w:rsidR="00C57F74" w:rsidRPr="009B6A67">
        <w:rPr>
          <w:rFonts w:ascii="Arial" w:hAnsi="Arial" w:cs="Arial"/>
          <w:sz w:val="24"/>
          <w:szCs w:val="24"/>
        </w:rPr>
        <w:t xml:space="preserve">April </w:t>
      </w:r>
      <w:r w:rsidRPr="009B6A67">
        <w:rPr>
          <w:rFonts w:ascii="Arial" w:hAnsi="Arial" w:cs="Arial"/>
          <w:sz w:val="24"/>
          <w:szCs w:val="24"/>
        </w:rPr>
        <w:t>201</w:t>
      </w:r>
      <w:r w:rsidR="00C57F74" w:rsidRPr="009B6A67">
        <w:rPr>
          <w:rFonts w:ascii="Arial" w:hAnsi="Arial" w:cs="Arial"/>
          <w:sz w:val="24"/>
          <w:szCs w:val="24"/>
        </w:rPr>
        <w:t>9</w:t>
      </w:r>
      <w:r w:rsidRPr="009B6A67">
        <w:rPr>
          <w:rFonts w:ascii="Arial" w:hAnsi="Arial" w:cs="Arial"/>
          <w:sz w:val="24"/>
          <w:szCs w:val="24"/>
        </w:rPr>
        <w:t xml:space="preserve">, </w:t>
      </w:r>
      <w:r w:rsidR="00A53D43" w:rsidRPr="009B6A67">
        <w:rPr>
          <w:rFonts w:ascii="Arial" w:hAnsi="Arial" w:cs="Arial"/>
          <w:sz w:val="24"/>
          <w:szCs w:val="24"/>
        </w:rPr>
        <w:t xml:space="preserve">the Ministry of </w:t>
      </w:r>
      <w:r w:rsidR="00E94E0F" w:rsidRPr="009B6A67">
        <w:rPr>
          <w:rFonts w:ascii="Arial" w:hAnsi="Arial" w:cs="Arial"/>
          <w:sz w:val="24"/>
          <w:szCs w:val="24"/>
        </w:rPr>
        <w:t>Environment, Conservation and Parks (MECP) p</w:t>
      </w:r>
      <w:r w:rsidR="008B0B2A" w:rsidRPr="009B6A67">
        <w:rPr>
          <w:rFonts w:ascii="Arial" w:hAnsi="Arial" w:cs="Arial"/>
          <w:sz w:val="24"/>
          <w:szCs w:val="24"/>
        </w:rPr>
        <w:t xml:space="preserve">osted </w:t>
      </w:r>
      <w:r w:rsidR="00A53D43" w:rsidRPr="009B6A67">
        <w:rPr>
          <w:rFonts w:ascii="Arial" w:hAnsi="Arial" w:cs="Arial"/>
          <w:sz w:val="24"/>
          <w:szCs w:val="24"/>
        </w:rPr>
        <w:t xml:space="preserve">the above noted document </w:t>
      </w:r>
      <w:r w:rsidR="008B0B2A" w:rsidRPr="009B6A67">
        <w:rPr>
          <w:rFonts w:ascii="Arial" w:hAnsi="Arial" w:cs="Arial"/>
          <w:sz w:val="24"/>
          <w:szCs w:val="24"/>
        </w:rPr>
        <w:t>on the Environmental Registry</w:t>
      </w:r>
      <w:r w:rsidR="00E94E0F" w:rsidRPr="009B6A67">
        <w:rPr>
          <w:rFonts w:ascii="Arial" w:hAnsi="Arial" w:cs="Arial"/>
          <w:sz w:val="24"/>
          <w:szCs w:val="24"/>
        </w:rPr>
        <w:t xml:space="preserve"> of Ontario (ERO)</w:t>
      </w:r>
      <w:r w:rsidR="008B0B2A" w:rsidRPr="009B6A67">
        <w:rPr>
          <w:rFonts w:ascii="Arial" w:hAnsi="Arial" w:cs="Arial"/>
          <w:sz w:val="24"/>
          <w:szCs w:val="24"/>
        </w:rPr>
        <w:t xml:space="preserve"> for comment.</w:t>
      </w:r>
    </w:p>
    <w:p w14:paraId="54F0A8E3" w14:textId="77777777" w:rsidR="008B0B2A" w:rsidRPr="009B6A67" w:rsidRDefault="008B0B2A" w:rsidP="00907611">
      <w:pPr>
        <w:spacing w:after="30"/>
        <w:rPr>
          <w:rFonts w:ascii="Arial" w:hAnsi="Arial" w:cs="Arial"/>
          <w:sz w:val="24"/>
          <w:szCs w:val="24"/>
        </w:rPr>
      </w:pPr>
    </w:p>
    <w:p w14:paraId="2F8BE51B" w14:textId="25E8B5F9" w:rsidR="008B0B2A" w:rsidRPr="009B6A67" w:rsidRDefault="008B0B2A" w:rsidP="00907611">
      <w:pPr>
        <w:spacing w:after="30"/>
        <w:rPr>
          <w:rFonts w:ascii="Arial" w:hAnsi="Arial" w:cs="Arial"/>
          <w:sz w:val="24"/>
          <w:szCs w:val="24"/>
        </w:rPr>
      </w:pPr>
      <w:r w:rsidRPr="009B6A67">
        <w:rPr>
          <w:rFonts w:ascii="Arial" w:hAnsi="Arial" w:cs="Arial"/>
          <w:sz w:val="24"/>
          <w:szCs w:val="24"/>
        </w:rPr>
        <w:t>The following details the comments formally submitted by the St. Clair Region Conservation Authority</w:t>
      </w:r>
      <w:r w:rsidR="00C57F74" w:rsidRPr="009B6A67">
        <w:rPr>
          <w:rFonts w:ascii="Arial" w:hAnsi="Arial" w:cs="Arial"/>
          <w:sz w:val="24"/>
          <w:szCs w:val="24"/>
        </w:rPr>
        <w:t xml:space="preserve"> (SCRCA)</w:t>
      </w:r>
      <w:r w:rsidRPr="009B6A67">
        <w:rPr>
          <w:rFonts w:ascii="Arial" w:hAnsi="Arial" w:cs="Arial"/>
          <w:sz w:val="24"/>
          <w:szCs w:val="24"/>
        </w:rPr>
        <w:t xml:space="preserve"> in the response to the above noted posting.</w:t>
      </w:r>
      <w:r w:rsidR="00A54EFD" w:rsidRPr="009B6A67">
        <w:rPr>
          <w:rFonts w:ascii="Arial" w:hAnsi="Arial" w:cs="Arial"/>
          <w:sz w:val="24"/>
          <w:szCs w:val="24"/>
        </w:rPr>
        <w:t xml:space="preserve"> </w:t>
      </w:r>
    </w:p>
    <w:p w14:paraId="24E11214" w14:textId="77777777" w:rsidR="008B0B2A" w:rsidRPr="009B6A67" w:rsidRDefault="008B0B2A" w:rsidP="00907611">
      <w:pPr>
        <w:spacing w:after="30"/>
        <w:rPr>
          <w:rFonts w:ascii="Arial" w:hAnsi="Arial" w:cs="Arial"/>
          <w:sz w:val="24"/>
          <w:szCs w:val="24"/>
        </w:rPr>
      </w:pPr>
    </w:p>
    <w:p w14:paraId="697F57DD" w14:textId="7B7EAAE8" w:rsidR="00444729" w:rsidRPr="009B6A67" w:rsidRDefault="00A54EFD" w:rsidP="00907611">
      <w:pPr>
        <w:spacing w:after="30"/>
        <w:rPr>
          <w:rFonts w:ascii="Arial" w:hAnsi="Arial" w:cs="Arial"/>
          <w:sz w:val="24"/>
          <w:szCs w:val="24"/>
        </w:rPr>
      </w:pPr>
      <w:r w:rsidRPr="009B6A67">
        <w:rPr>
          <w:rFonts w:ascii="Arial" w:hAnsi="Arial" w:cs="Arial"/>
          <w:sz w:val="24"/>
          <w:szCs w:val="24"/>
        </w:rPr>
        <w:t>The Conservation Authorities Act, an Act introduced in 1946, enables programs and services that further the conservation, restoration, development and management of natural resources</w:t>
      </w:r>
      <w:r w:rsidR="00C57F74" w:rsidRPr="009B6A67">
        <w:rPr>
          <w:rFonts w:ascii="Arial" w:hAnsi="Arial" w:cs="Arial"/>
          <w:sz w:val="24"/>
          <w:szCs w:val="24"/>
        </w:rPr>
        <w:t xml:space="preserve"> throughout</w:t>
      </w:r>
      <w:r w:rsidRPr="009B6A67">
        <w:rPr>
          <w:rFonts w:ascii="Arial" w:hAnsi="Arial" w:cs="Arial"/>
          <w:sz w:val="24"/>
          <w:szCs w:val="24"/>
        </w:rPr>
        <w:t xml:space="preserve"> watersheds in Ontario. Under the Act, 36 </w:t>
      </w:r>
      <w:r w:rsidR="00C57F74" w:rsidRPr="009B6A67">
        <w:rPr>
          <w:rFonts w:ascii="Arial" w:hAnsi="Arial" w:cs="Arial"/>
          <w:sz w:val="24"/>
          <w:szCs w:val="24"/>
        </w:rPr>
        <w:t>C</w:t>
      </w:r>
      <w:r w:rsidRPr="009B6A67">
        <w:rPr>
          <w:rFonts w:ascii="Arial" w:hAnsi="Arial" w:cs="Arial"/>
          <w:sz w:val="24"/>
          <w:szCs w:val="24"/>
        </w:rPr>
        <w:t xml:space="preserve">onservation </w:t>
      </w:r>
      <w:r w:rsidR="00C57F74" w:rsidRPr="009B6A67">
        <w:rPr>
          <w:rFonts w:ascii="Arial" w:hAnsi="Arial" w:cs="Arial"/>
          <w:sz w:val="24"/>
          <w:szCs w:val="24"/>
        </w:rPr>
        <w:t>A</w:t>
      </w:r>
      <w:r w:rsidRPr="009B6A67">
        <w:rPr>
          <w:rFonts w:ascii="Arial" w:hAnsi="Arial" w:cs="Arial"/>
          <w:sz w:val="24"/>
          <w:szCs w:val="24"/>
        </w:rPr>
        <w:t>uthorities</w:t>
      </w:r>
      <w:r w:rsidR="00C57F74" w:rsidRPr="009B6A67">
        <w:rPr>
          <w:rFonts w:ascii="Arial" w:hAnsi="Arial" w:cs="Arial"/>
          <w:sz w:val="24"/>
          <w:szCs w:val="24"/>
        </w:rPr>
        <w:t xml:space="preserve"> (CAs)</w:t>
      </w:r>
      <w:r w:rsidRPr="009B6A67">
        <w:rPr>
          <w:rFonts w:ascii="Arial" w:hAnsi="Arial" w:cs="Arial"/>
          <w:sz w:val="24"/>
          <w:szCs w:val="24"/>
        </w:rPr>
        <w:t xml:space="preserve"> were created at the request of municipalities. They are governed by municipally appointed representatives to deliver local resource management programs at a watershed scale for both provincial and municipal interests. The initial focus of </w:t>
      </w:r>
      <w:r w:rsidR="00C57F74" w:rsidRPr="009B6A67">
        <w:rPr>
          <w:rFonts w:ascii="Arial" w:hAnsi="Arial" w:cs="Arial"/>
          <w:sz w:val="24"/>
          <w:szCs w:val="24"/>
        </w:rPr>
        <w:t>C</w:t>
      </w:r>
      <w:r w:rsidRPr="009B6A67">
        <w:rPr>
          <w:rFonts w:ascii="Arial" w:hAnsi="Arial" w:cs="Arial"/>
          <w:sz w:val="24"/>
          <w:szCs w:val="24"/>
        </w:rPr>
        <w:t xml:space="preserve">onservation </w:t>
      </w:r>
      <w:r w:rsidR="00C57F74" w:rsidRPr="009B6A67">
        <w:rPr>
          <w:rFonts w:ascii="Arial" w:hAnsi="Arial" w:cs="Arial"/>
          <w:sz w:val="24"/>
          <w:szCs w:val="24"/>
        </w:rPr>
        <w:t>A</w:t>
      </w:r>
      <w:r w:rsidRPr="009B6A67">
        <w:rPr>
          <w:rFonts w:ascii="Arial" w:hAnsi="Arial" w:cs="Arial"/>
          <w:sz w:val="24"/>
          <w:szCs w:val="24"/>
        </w:rPr>
        <w:t xml:space="preserve">uthorities was to prevent flooding, erosion, drought, and deforestation through improved land, water and forestry management practices. As extreme weather, particularly heavy rains and flooding becomes more frequent due to climate change, the core frontline role that </w:t>
      </w:r>
      <w:r w:rsidR="00C57F74" w:rsidRPr="009B6A67">
        <w:rPr>
          <w:rFonts w:ascii="Arial" w:hAnsi="Arial" w:cs="Arial"/>
          <w:sz w:val="24"/>
          <w:szCs w:val="24"/>
        </w:rPr>
        <w:t>C</w:t>
      </w:r>
      <w:r w:rsidRPr="009B6A67">
        <w:rPr>
          <w:rFonts w:ascii="Arial" w:hAnsi="Arial" w:cs="Arial"/>
          <w:sz w:val="24"/>
          <w:szCs w:val="24"/>
        </w:rPr>
        <w:t xml:space="preserve">onservation </w:t>
      </w:r>
      <w:r w:rsidR="00C57F74" w:rsidRPr="009B6A67">
        <w:rPr>
          <w:rFonts w:ascii="Arial" w:hAnsi="Arial" w:cs="Arial"/>
          <w:sz w:val="24"/>
          <w:szCs w:val="24"/>
        </w:rPr>
        <w:t>A</w:t>
      </w:r>
      <w:r w:rsidRPr="009B6A67">
        <w:rPr>
          <w:rFonts w:ascii="Arial" w:hAnsi="Arial" w:cs="Arial"/>
          <w:sz w:val="24"/>
          <w:szCs w:val="24"/>
        </w:rPr>
        <w:t xml:space="preserve">uthorities play in our communities is becoming increasingly important. Since the 1940s when the Act was established, the programs and services delivered by </w:t>
      </w:r>
      <w:r w:rsidR="00C57F74" w:rsidRPr="009B6A67">
        <w:rPr>
          <w:rFonts w:ascii="Arial" w:hAnsi="Arial" w:cs="Arial"/>
          <w:sz w:val="24"/>
          <w:szCs w:val="24"/>
        </w:rPr>
        <w:t>C</w:t>
      </w:r>
      <w:r w:rsidRPr="009B6A67">
        <w:rPr>
          <w:rFonts w:ascii="Arial" w:hAnsi="Arial" w:cs="Arial"/>
          <w:sz w:val="24"/>
          <w:szCs w:val="24"/>
        </w:rPr>
        <w:t xml:space="preserve">onservation </w:t>
      </w:r>
      <w:r w:rsidR="00C57F74" w:rsidRPr="009B6A67">
        <w:rPr>
          <w:rFonts w:ascii="Arial" w:hAnsi="Arial" w:cs="Arial"/>
          <w:sz w:val="24"/>
          <w:szCs w:val="24"/>
        </w:rPr>
        <w:t>A</w:t>
      </w:r>
      <w:r w:rsidRPr="009B6A67">
        <w:rPr>
          <w:rFonts w:ascii="Arial" w:hAnsi="Arial" w:cs="Arial"/>
          <w:sz w:val="24"/>
          <w:szCs w:val="24"/>
        </w:rPr>
        <w:t xml:space="preserve">uthorities have expanded. Conservation </w:t>
      </w:r>
      <w:r w:rsidR="00C57F74" w:rsidRPr="009B6A67">
        <w:rPr>
          <w:rFonts w:ascii="Arial" w:hAnsi="Arial" w:cs="Arial"/>
          <w:sz w:val="24"/>
          <w:szCs w:val="24"/>
        </w:rPr>
        <w:t>A</w:t>
      </w:r>
      <w:r w:rsidRPr="009B6A67">
        <w:rPr>
          <w:rFonts w:ascii="Arial" w:hAnsi="Arial" w:cs="Arial"/>
          <w:sz w:val="24"/>
          <w:szCs w:val="24"/>
        </w:rPr>
        <w:t>uthorities are the second largest landowners in Ontario, next to the Province; collectively they own and manage 146,000 hectares of land in Ontario.</w:t>
      </w:r>
    </w:p>
    <w:p w14:paraId="555AA7E1" w14:textId="77777777" w:rsidR="00AA5BA1" w:rsidRPr="009B6A67" w:rsidRDefault="00AA5BA1" w:rsidP="00907611">
      <w:pPr>
        <w:spacing w:after="30"/>
        <w:rPr>
          <w:rFonts w:ascii="Arial" w:hAnsi="Arial" w:cs="Arial"/>
          <w:sz w:val="24"/>
          <w:szCs w:val="24"/>
        </w:rPr>
      </w:pPr>
    </w:p>
    <w:p w14:paraId="11E7407A" w14:textId="77777777" w:rsidR="00AA5BA1" w:rsidRPr="009B6A67" w:rsidRDefault="00AA5BA1" w:rsidP="00907611">
      <w:pPr>
        <w:spacing w:after="30"/>
        <w:rPr>
          <w:rFonts w:ascii="Arial" w:hAnsi="Arial" w:cs="Arial"/>
          <w:i/>
          <w:sz w:val="24"/>
          <w:szCs w:val="24"/>
        </w:rPr>
      </w:pPr>
      <w:r w:rsidRPr="009B6A67">
        <w:rPr>
          <w:rFonts w:ascii="Arial" w:hAnsi="Arial" w:cs="Arial"/>
          <w:sz w:val="24"/>
          <w:szCs w:val="24"/>
        </w:rPr>
        <w:t xml:space="preserve">Through </w:t>
      </w:r>
      <w:r w:rsidRPr="009B6A67">
        <w:rPr>
          <w:rFonts w:ascii="Arial" w:hAnsi="Arial" w:cs="Arial"/>
          <w:i/>
          <w:sz w:val="24"/>
          <w:szCs w:val="24"/>
        </w:rPr>
        <w:t>Preserving and Protecting our Environment for Future Generations: A Made-In-Ontario Environment Plan</w:t>
      </w:r>
      <w:r w:rsidRPr="009B6A67">
        <w:rPr>
          <w:rFonts w:ascii="Arial" w:hAnsi="Arial" w:cs="Arial"/>
          <w:sz w:val="24"/>
          <w:szCs w:val="24"/>
        </w:rPr>
        <w:t xml:space="preserve">, released in November of 2018, this government committed to </w:t>
      </w:r>
      <w:r w:rsidRPr="009B6A67">
        <w:rPr>
          <w:rFonts w:ascii="Arial" w:hAnsi="Arial" w:cs="Arial"/>
          <w:i/>
          <w:sz w:val="24"/>
          <w:szCs w:val="24"/>
        </w:rPr>
        <w:t>“work in collaboration with municipalities and stakeholders to ensure that conservation authorities focus and deliver on their core mandate of protecting people and property from flooding and other natural hazards and conserving natural resources.”</w:t>
      </w:r>
    </w:p>
    <w:p w14:paraId="6FA144B6" w14:textId="77777777" w:rsidR="00AA5BA1" w:rsidRDefault="00AA5BA1" w:rsidP="00907611">
      <w:pPr>
        <w:spacing w:after="30"/>
        <w:rPr>
          <w:rFonts w:ascii="Arial" w:hAnsi="Arial" w:cs="Arial"/>
          <w:sz w:val="24"/>
          <w:szCs w:val="24"/>
        </w:rPr>
      </w:pPr>
    </w:p>
    <w:p w14:paraId="18D5E365" w14:textId="77777777" w:rsidR="00AA5BA1" w:rsidRDefault="00AA5BA1" w:rsidP="00907611">
      <w:pPr>
        <w:spacing w:after="30"/>
        <w:rPr>
          <w:rFonts w:ascii="Arial" w:hAnsi="Arial" w:cs="Arial"/>
          <w:sz w:val="24"/>
          <w:szCs w:val="24"/>
        </w:rPr>
      </w:pPr>
    </w:p>
    <w:p w14:paraId="6081551C" w14:textId="77777777" w:rsidR="00556363" w:rsidRDefault="00556363" w:rsidP="00907611">
      <w:pPr>
        <w:spacing w:after="30"/>
        <w:rPr>
          <w:rFonts w:ascii="Arial" w:hAnsi="Arial" w:cs="Arial"/>
          <w:sz w:val="24"/>
          <w:szCs w:val="24"/>
        </w:rPr>
      </w:pPr>
    </w:p>
    <w:tbl>
      <w:tblPr>
        <w:tblStyle w:val="TableGrid"/>
        <w:tblW w:w="0" w:type="auto"/>
        <w:tblLook w:val="04A0" w:firstRow="1" w:lastRow="0" w:firstColumn="1" w:lastColumn="0" w:noHBand="0" w:noVBand="1"/>
      </w:tblPr>
      <w:tblGrid>
        <w:gridCol w:w="3539"/>
        <w:gridCol w:w="6095"/>
      </w:tblGrid>
      <w:tr w:rsidR="003770DF" w:rsidRPr="000143C7" w14:paraId="39078AEF" w14:textId="77777777" w:rsidTr="001F6B9A">
        <w:trPr>
          <w:trHeight w:val="251"/>
          <w:tblHeader/>
        </w:trPr>
        <w:tc>
          <w:tcPr>
            <w:tcW w:w="3539" w:type="dxa"/>
          </w:tcPr>
          <w:p w14:paraId="5CAAEE95" w14:textId="77777777" w:rsidR="003770DF" w:rsidRPr="000143C7" w:rsidRDefault="003770DF" w:rsidP="00564D5F">
            <w:pPr>
              <w:pStyle w:val="NoSpacing"/>
              <w:rPr>
                <w:rFonts w:ascii="Arial" w:hAnsi="Arial" w:cs="Arial"/>
                <w:b/>
                <w:sz w:val="24"/>
                <w:szCs w:val="24"/>
              </w:rPr>
            </w:pPr>
            <w:r w:rsidRPr="000143C7">
              <w:rPr>
                <w:rFonts w:ascii="Arial" w:hAnsi="Arial" w:cs="Arial"/>
                <w:b/>
                <w:sz w:val="24"/>
                <w:szCs w:val="24"/>
              </w:rPr>
              <w:t xml:space="preserve">Proposed Changes </w:t>
            </w:r>
          </w:p>
        </w:tc>
        <w:tc>
          <w:tcPr>
            <w:tcW w:w="6095" w:type="dxa"/>
          </w:tcPr>
          <w:p w14:paraId="248FBB0C" w14:textId="77777777" w:rsidR="003770DF" w:rsidRPr="000143C7" w:rsidRDefault="00F52319" w:rsidP="00564D5F">
            <w:pPr>
              <w:pStyle w:val="NoSpacing"/>
              <w:rPr>
                <w:rFonts w:ascii="Arial" w:hAnsi="Arial" w:cs="Arial"/>
                <w:b/>
                <w:sz w:val="24"/>
                <w:szCs w:val="24"/>
              </w:rPr>
            </w:pPr>
            <w:r w:rsidRPr="000143C7">
              <w:rPr>
                <w:rFonts w:ascii="Arial" w:hAnsi="Arial" w:cs="Arial"/>
                <w:b/>
                <w:sz w:val="24"/>
                <w:szCs w:val="24"/>
              </w:rPr>
              <w:t>SCRCA</w:t>
            </w:r>
            <w:r w:rsidR="003770DF" w:rsidRPr="000143C7">
              <w:rPr>
                <w:rFonts w:ascii="Arial" w:hAnsi="Arial" w:cs="Arial"/>
                <w:b/>
                <w:sz w:val="24"/>
                <w:szCs w:val="24"/>
              </w:rPr>
              <w:t xml:space="preserve"> Response</w:t>
            </w:r>
          </w:p>
        </w:tc>
      </w:tr>
      <w:tr w:rsidR="003770DF" w:rsidRPr="000143C7" w14:paraId="2B8725A6" w14:textId="77777777" w:rsidTr="001F6B9A">
        <w:tc>
          <w:tcPr>
            <w:tcW w:w="3539" w:type="dxa"/>
          </w:tcPr>
          <w:p w14:paraId="7169C8EA" w14:textId="77777777" w:rsidR="003770DF" w:rsidRPr="000143C7" w:rsidRDefault="003770DF" w:rsidP="00564D5F">
            <w:pPr>
              <w:pStyle w:val="NoSpacing"/>
              <w:rPr>
                <w:rFonts w:ascii="Arial" w:hAnsi="Arial" w:cs="Arial"/>
                <w:sz w:val="24"/>
                <w:szCs w:val="24"/>
              </w:rPr>
            </w:pPr>
            <w:r w:rsidRPr="000143C7">
              <w:rPr>
                <w:rFonts w:ascii="Arial" w:hAnsi="Arial" w:cs="Arial"/>
                <w:sz w:val="24"/>
                <w:szCs w:val="24"/>
              </w:rPr>
              <w:t>Clearly define the core mandatory programs and services provided by conservation authorities to be:</w:t>
            </w:r>
          </w:p>
          <w:p w14:paraId="024DADE6" w14:textId="77777777" w:rsidR="003770DF" w:rsidRPr="000143C7" w:rsidRDefault="003770DF" w:rsidP="003770DF">
            <w:pPr>
              <w:pStyle w:val="NoSpacing"/>
              <w:numPr>
                <w:ilvl w:val="0"/>
                <w:numId w:val="17"/>
              </w:numPr>
              <w:rPr>
                <w:rFonts w:ascii="Arial" w:hAnsi="Arial" w:cs="Arial"/>
                <w:sz w:val="24"/>
                <w:szCs w:val="24"/>
              </w:rPr>
            </w:pPr>
            <w:r w:rsidRPr="000143C7">
              <w:rPr>
                <w:rFonts w:ascii="Arial" w:hAnsi="Arial" w:cs="Arial"/>
                <w:sz w:val="24"/>
                <w:szCs w:val="24"/>
              </w:rPr>
              <w:t>Natural Hazard Protection and Management</w:t>
            </w:r>
          </w:p>
          <w:p w14:paraId="791511D0" w14:textId="77777777" w:rsidR="003770DF" w:rsidRPr="000143C7" w:rsidRDefault="003770DF" w:rsidP="003770DF">
            <w:pPr>
              <w:pStyle w:val="NoSpacing"/>
              <w:numPr>
                <w:ilvl w:val="0"/>
                <w:numId w:val="17"/>
              </w:numPr>
              <w:rPr>
                <w:rFonts w:ascii="Arial" w:hAnsi="Arial" w:cs="Arial"/>
                <w:sz w:val="24"/>
                <w:szCs w:val="24"/>
              </w:rPr>
            </w:pPr>
            <w:r w:rsidRPr="000143C7">
              <w:rPr>
                <w:rFonts w:ascii="Arial" w:hAnsi="Arial" w:cs="Arial"/>
                <w:sz w:val="24"/>
                <w:szCs w:val="24"/>
              </w:rPr>
              <w:t>Conservation and Management of conservation authority lands</w:t>
            </w:r>
          </w:p>
          <w:p w14:paraId="385960C9" w14:textId="77777777" w:rsidR="003770DF" w:rsidRPr="000143C7" w:rsidRDefault="003770DF" w:rsidP="003770DF">
            <w:pPr>
              <w:pStyle w:val="NoSpacing"/>
              <w:numPr>
                <w:ilvl w:val="0"/>
                <w:numId w:val="17"/>
              </w:numPr>
              <w:rPr>
                <w:rFonts w:ascii="Arial" w:hAnsi="Arial" w:cs="Arial"/>
                <w:sz w:val="24"/>
                <w:szCs w:val="24"/>
              </w:rPr>
            </w:pPr>
            <w:r w:rsidRPr="000143C7">
              <w:rPr>
                <w:rFonts w:ascii="Arial" w:hAnsi="Arial" w:cs="Arial"/>
                <w:sz w:val="24"/>
                <w:szCs w:val="24"/>
              </w:rPr>
              <w:t xml:space="preserve">Drinking water source protection (as prescribed under the </w:t>
            </w:r>
            <w:r w:rsidRPr="000143C7">
              <w:rPr>
                <w:rFonts w:ascii="Arial" w:hAnsi="Arial" w:cs="Arial"/>
                <w:i/>
                <w:sz w:val="24"/>
                <w:szCs w:val="24"/>
              </w:rPr>
              <w:t>Clean Water Act</w:t>
            </w:r>
            <w:r w:rsidRPr="000143C7">
              <w:rPr>
                <w:rFonts w:ascii="Arial" w:hAnsi="Arial" w:cs="Arial"/>
                <w:sz w:val="24"/>
                <w:szCs w:val="24"/>
              </w:rPr>
              <w:t>)</w:t>
            </w:r>
          </w:p>
          <w:p w14:paraId="57E2D21D" w14:textId="77777777" w:rsidR="003770DF" w:rsidRPr="000143C7" w:rsidRDefault="003770DF" w:rsidP="003770DF">
            <w:pPr>
              <w:pStyle w:val="NoSpacing"/>
              <w:numPr>
                <w:ilvl w:val="0"/>
                <w:numId w:val="17"/>
              </w:numPr>
              <w:rPr>
                <w:rFonts w:ascii="Arial" w:hAnsi="Arial" w:cs="Arial"/>
                <w:sz w:val="24"/>
                <w:szCs w:val="24"/>
              </w:rPr>
            </w:pPr>
            <w:r w:rsidRPr="000143C7">
              <w:rPr>
                <w:rFonts w:ascii="Arial" w:hAnsi="Arial" w:cs="Arial"/>
                <w:sz w:val="24"/>
                <w:szCs w:val="24"/>
              </w:rPr>
              <w:t xml:space="preserve">Protection of the Lake Simcoe watershed (as prescribed under the </w:t>
            </w:r>
            <w:r w:rsidRPr="000143C7">
              <w:rPr>
                <w:rFonts w:ascii="Arial" w:hAnsi="Arial" w:cs="Arial"/>
                <w:i/>
                <w:sz w:val="24"/>
                <w:szCs w:val="24"/>
              </w:rPr>
              <w:t>Lake Simcoe Protection Act</w:t>
            </w:r>
            <w:r w:rsidRPr="000143C7">
              <w:rPr>
                <w:rFonts w:ascii="Arial" w:hAnsi="Arial" w:cs="Arial"/>
                <w:sz w:val="24"/>
                <w:szCs w:val="24"/>
              </w:rPr>
              <w:t>)</w:t>
            </w:r>
          </w:p>
        </w:tc>
        <w:tc>
          <w:tcPr>
            <w:tcW w:w="6095" w:type="dxa"/>
          </w:tcPr>
          <w:p w14:paraId="33A38D3C" w14:textId="35A2EE36" w:rsidR="004B4C9E" w:rsidRDefault="003770DF" w:rsidP="004B4C9E">
            <w:pPr>
              <w:pStyle w:val="NoSpacing"/>
              <w:rPr>
                <w:rFonts w:ascii="Arial" w:hAnsi="Arial" w:cs="Arial"/>
                <w:sz w:val="24"/>
                <w:szCs w:val="24"/>
              </w:rPr>
            </w:pPr>
            <w:r w:rsidRPr="000143C7">
              <w:rPr>
                <w:rFonts w:ascii="Arial" w:hAnsi="Arial" w:cs="Arial"/>
                <w:sz w:val="24"/>
                <w:szCs w:val="24"/>
              </w:rPr>
              <w:t xml:space="preserve">It is our understanding that these 4 core mandatory programs and services are to be placed in the legislation and then standards and requirements would be described in regulation, making them a legal requirement.  With regard to 3 and 4, reference to “as prescribed” under the respective Acts, </w:t>
            </w:r>
            <w:r w:rsidR="004B4C9E" w:rsidRPr="000143C7">
              <w:rPr>
                <w:rFonts w:ascii="Arial" w:hAnsi="Arial" w:cs="Arial"/>
                <w:sz w:val="24"/>
                <w:szCs w:val="24"/>
              </w:rPr>
              <w:t xml:space="preserve">fails to clearly describe implications to all Conservation Authorities. Under the Clean Water Act, Lead Conservation Authorities have different requirements </w:t>
            </w:r>
            <w:r w:rsidR="004B4C9E" w:rsidRPr="009C78DF">
              <w:rPr>
                <w:rFonts w:ascii="Arial" w:hAnsi="Arial" w:cs="Arial"/>
                <w:sz w:val="24"/>
                <w:szCs w:val="24"/>
              </w:rPr>
              <w:t>tha</w:t>
            </w:r>
            <w:r w:rsidR="00C57F74" w:rsidRPr="009C78DF">
              <w:rPr>
                <w:rFonts w:ascii="Arial" w:hAnsi="Arial" w:cs="Arial"/>
                <w:sz w:val="24"/>
                <w:szCs w:val="24"/>
              </w:rPr>
              <w:t>n</w:t>
            </w:r>
            <w:r w:rsidR="004B4C9E" w:rsidRPr="000143C7">
              <w:rPr>
                <w:rFonts w:ascii="Arial" w:hAnsi="Arial" w:cs="Arial"/>
                <w:sz w:val="24"/>
                <w:szCs w:val="24"/>
              </w:rPr>
              <w:t xml:space="preserve"> non-lead Authorities. </w:t>
            </w:r>
            <w:bookmarkStart w:id="0" w:name="_GoBack"/>
            <w:bookmarkEnd w:id="0"/>
          </w:p>
          <w:p w14:paraId="0996B2C2" w14:textId="77777777" w:rsidR="00C57F74" w:rsidRPr="000143C7" w:rsidRDefault="00C57F74" w:rsidP="004B4C9E">
            <w:pPr>
              <w:pStyle w:val="NoSpacing"/>
              <w:rPr>
                <w:rFonts w:ascii="Arial" w:hAnsi="Arial" w:cs="Arial"/>
                <w:sz w:val="24"/>
                <w:szCs w:val="24"/>
              </w:rPr>
            </w:pPr>
          </w:p>
          <w:p w14:paraId="246E0373" w14:textId="690DD4E7" w:rsidR="003770DF" w:rsidRPr="000143C7" w:rsidRDefault="00C57F74" w:rsidP="009C78DF">
            <w:pPr>
              <w:pStyle w:val="NoSpacing"/>
              <w:ind w:left="32" w:hanging="32"/>
              <w:rPr>
                <w:rFonts w:ascii="Arial" w:hAnsi="Arial" w:cs="Arial"/>
                <w:sz w:val="24"/>
                <w:szCs w:val="24"/>
              </w:rPr>
            </w:pPr>
            <w:r>
              <w:rPr>
                <w:rFonts w:ascii="Arial" w:hAnsi="Arial" w:cs="Arial"/>
                <w:sz w:val="24"/>
                <w:szCs w:val="24"/>
              </w:rPr>
              <w:t xml:space="preserve">CAs </w:t>
            </w:r>
            <w:r w:rsidR="003770DF" w:rsidRPr="000143C7">
              <w:rPr>
                <w:rFonts w:ascii="Arial" w:hAnsi="Arial" w:cs="Arial"/>
                <w:sz w:val="24"/>
                <w:szCs w:val="24"/>
              </w:rPr>
              <w:t xml:space="preserve">currently </w:t>
            </w:r>
            <w:r w:rsidR="00B32137">
              <w:rPr>
                <w:rFonts w:ascii="Arial" w:hAnsi="Arial" w:cs="Arial"/>
                <w:sz w:val="24"/>
                <w:szCs w:val="24"/>
              </w:rPr>
              <w:t>r</w:t>
            </w:r>
            <w:r>
              <w:rPr>
                <w:rFonts w:ascii="Arial" w:hAnsi="Arial" w:cs="Arial"/>
                <w:sz w:val="24"/>
                <w:szCs w:val="24"/>
              </w:rPr>
              <w:t xml:space="preserve">eceive </w:t>
            </w:r>
            <w:r w:rsidR="003770DF" w:rsidRPr="000143C7">
              <w:rPr>
                <w:rFonts w:ascii="Arial" w:hAnsi="Arial" w:cs="Arial"/>
                <w:sz w:val="24"/>
                <w:szCs w:val="24"/>
              </w:rPr>
              <w:t xml:space="preserve">provincial transfer payments to </w:t>
            </w:r>
            <w:r>
              <w:rPr>
                <w:rFonts w:ascii="Arial" w:hAnsi="Arial" w:cs="Arial"/>
                <w:sz w:val="24"/>
                <w:szCs w:val="24"/>
              </w:rPr>
              <w:t xml:space="preserve">provide programs and services </w:t>
            </w:r>
            <w:r w:rsidR="003770DF" w:rsidRPr="000143C7">
              <w:rPr>
                <w:rFonts w:ascii="Arial" w:hAnsi="Arial" w:cs="Arial"/>
                <w:sz w:val="24"/>
                <w:szCs w:val="24"/>
              </w:rPr>
              <w:t>for</w:t>
            </w:r>
            <w:r>
              <w:rPr>
                <w:rFonts w:ascii="Arial" w:hAnsi="Arial" w:cs="Arial"/>
                <w:sz w:val="24"/>
                <w:szCs w:val="24"/>
              </w:rPr>
              <w:t xml:space="preserve"> core mandates</w:t>
            </w:r>
            <w:r w:rsidR="003770DF" w:rsidRPr="000143C7">
              <w:rPr>
                <w:rFonts w:ascii="Arial" w:hAnsi="Arial" w:cs="Arial"/>
                <w:sz w:val="24"/>
                <w:szCs w:val="24"/>
              </w:rPr>
              <w:t xml:space="preserve"> </w:t>
            </w:r>
            <w:r>
              <w:rPr>
                <w:rFonts w:ascii="Arial" w:hAnsi="Arial" w:cs="Arial"/>
                <w:sz w:val="24"/>
                <w:szCs w:val="24"/>
              </w:rPr>
              <w:t>#</w:t>
            </w:r>
            <w:r w:rsidR="003770DF" w:rsidRPr="000143C7">
              <w:rPr>
                <w:rFonts w:ascii="Arial" w:hAnsi="Arial" w:cs="Arial"/>
                <w:sz w:val="24"/>
                <w:szCs w:val="24"/>
              </w:rPr>
              <w:t xml:space="preserve">1 and </w:t>
            </w:r>
            <w:r>
              <w:rPr>
                <w:rFonts w:ascii="Arial" w:hAnsi="Arial" w:cs="Arial"/>
                <w:sz w:val="24"/>
                <w:szCs w:val="24"/>
              </w:rPr>
              <w:t>#</w:t>
            </w:r>
            <w:r w:rsidR="003770DF" w:rsidRPr="000143C7">
              <w:rPr>
                <w:rFonts w:ascii="Arial" w:hAnsi="Arial" w:cs="Arial"/>
                <w:sz w:val="24"/>
                <w:szCs w:val="24"/>
              </w:rPr>
              <w:t>3</w:t>
            </w:r>
            <w:r w:rsidR="009C78DF">
              <w:rPr>
                <w:rFonts w:ascii="Arial" w:hAnsi="Arial" w:cs="Arial"/>
                <w:sz w:val="24"/>
                <w:szCs w:val="24"/>
              </w:rPr>
              <w:t>. T</w:t>
            </w:r>
            <w:r w:rsidR="008A7C47" w:rsidRPr="000143C7">
              <w:rPr>
                <w:rFonts w:ascii="Arial" w:hAnsi="Arial" w:cs="Arial"/>
                <w:sz w:val="24"/>
                <w:szCs w:val="24"/>
              </w:rPr>
              <w:t xml:space="preserve">he recognition, by the Province, that </w:t>
            </w:r>
            <w:r w:rsidR="00B32137">
              <w:rPr>
                <w:rFonts w:ascii="Arial" w:hAnsi="Arial" w:cs="Arial"/>
                <w:sz w:val="24"/>
                <w:szCs w:val="24"/>
              </w:rPr>
              <w:t>C</w:t>
            </w:r>
            <w:r w:rsidR="009C78DF">
              <w:rPr>
                <w:rFonts w:ascii="Arial" w:hAnsi="Arial" w:cs="Arial"/>
                <w:sz w:val="24"/>
                <w:szCs w:val="24"/>
              </w:rPr>
              <w:t>As</w:t>
            </w:r>
            <w:r w:rsidR="008A7C47" w:rsidRPr="000143C7">
              <w:rPr>
                <w:rFonts w:ascii="Arial" w:hAnsi="Arial" w:cs="Arial"/>
                <w:sz w:val="24"/>
                <w:szCs w:val="24"/>
              </w:rPr>
              <w:t xml:space="preserve"> play an important role </w:t>
            </w:r>
            <w:r w:rsidR="00B32137">
              <w:rPr>
                <w:rFonts w:ascii="Arial" w:hAnsi="Arial" w:cs="Arial"/>
                <w:sz w:val="24"/>
                <w:szCs w:val="24"/>
              </w:rPr>
              <w:t>in the protection of</w:t>
            </w:r>
            <w:r w:rsidR="009C78DF">
              <w:rPr>
                <w:rFonts w:ascii="Arial" w:hAnsi="Arial" w:cs="Arial"/>
                <w:sz w:val="24"/>
                <w:szCs w:val="24"/>
              </w:rPr>
              <w:t xml:space="preserve"> </w:t>
            </w:r>
            <w:r w:rsidR="008A7C47" w:rsidRPr="000143C7">
              <w:rPr>
                <w:rFonts w:ascii="Arial" w:hAnsi="Arial" w:cs="Arial"/>
                <w:sz w:val="24"/>
                <w:szCs w:val="24"/>
              </w:rPr>
              <w:t xml:space="preserve">the Province’s interest in local resource management must be </w:t>
            </w:r>
            <w:r w:rsidR="009C78DF">
              <w:rPr>
                <w:rFonts w:ascii="Arial" w:hAnsi="Arial" w:cs="Arial"/>
                <w:sz w:val="24"/>
                <w:szCs w:val="24"/>
              </w:rPr>
              <w:t>supported</w:t>
            </w:r>
            <w:r w:rsidR="008A7C47" w:rsidRPr="000143C7">
              <w:rPr>
                <w:rFonts w:ascii="Arial" w:hAnsi="Arial" w:cs="Arial"/>
                <w:sz w:val="24"/>
                <w:szCs w:val="24"/>
              </w:rPr>
              <w:t xml:space="preserve"> </w:t>
            </w:r>
            <w:r w:rsidR="00F52319" w:rsidRPr="000143C7">
              <w:rPr>
                <w:rFonts w:ascii="Arial" w:hAnsi="Arial" w:cs="Arial"/>
                <w:sz w:val="24"/>
                <w:szCs w:val="24"/>
              </w:rPr>
              <w:t>financially in order to ensure that Authorities are able to</w:t>
            </w:r>
            <w:r w:rsidR="00B32137">
              <w:rPr>
                <w:rFonts w:ascii="Arial" w:hAnsi="Arial" w:cs="Arial"/>
                <w:sz w:val="24"/>
                <w:szCs w:val="24"/>
              </w:rPr>
              <w:t xml:space="preserve"> implement the role</w:t>
            </w:r>
            <w:r w:rsidR="00F52319" w:rsidRPr="000143C7">
              <w:rPr>
                <w:rFonts w:ascii="Arial" w:hAnsi="Arial" w:cs="Arial"/>
                <w:sz w:val="24"/>
                <w:szCs w:val="24"/>
              </w:rPr>
              <w:t xml:space="preserve">. SCRCA supports the need for clarity </w:t>
            </w:r>
            <w:r w:rsidR="00B32137">
              <w:rPr>
                <w:rFonts w:ascii="Arial" w:hAnsi="Arial" w:cs="Arial"/>
                <w:sz w:val="24"/>
                <w:szCs w:val="24"/>
              </w:rPr>
              <w:t xml:space="preserve">in defining the role of Conservation Authorities </w:t>
            </w:r>
            <w:r w:rsidR="00F52319" w:rsidRPr="000143C7">
              <w:rPr>
                <w:rFonts w:ascii="Arial" w:hAnsi="Arial" w:cs="Arial"/>
                <w:sz w:val="24"/>
                <w:szCs w:val="24"/>
              </w:rPr>
              <w:t>but cannot support the proposed 4 ‘core mandatory’ programs as outlined</w:t>
            </w:r>
            <w:r w:rsidR="00591619">
              <w:rPr>
                <w:rFonts w:ascii="Arial" w:hAnsi="Arial" w:cs="Arial"/>
                <w:sz w:val="24"/>
                <w:szCs w:val="24"/>
              </w:rPr>
              <w:t xml:space="preserve"> as they do not recognize the value and importance of the broader landscape understanding</w:t>
            </w:r>
            <w:r w:rsidR="00F52319" w:rsidRPr="000143C7">
              <w:rPr>
                <w:rFonts w:ascii="Arial" w:hAnsi="Arial" w:cs="Arial"/>
                <w:sz w:val="24"/>
                <w:szCs w:val="24"/>
              </w:rPr>
              <w:t>. Specifically,</w:t>
            </w:r>
            <w:r w:rsidR="00B32137">
              <w:rPr>
                <w:rFonts w:ascii="Arial" w:hAnsi="Arial" w:cs="Arial"/>
                <w:sz w:val="24"/>
                <w:szCs w:val="24"/>
              </w:rPr>
              <w:t xml:space="preserve"> Conservation Authorities promote an integrated watershed management approach to deliver services and programs to protect and manage impacts on water and other natural resources. We recommend that this be identified in core mandate #1</w:t>
            </w:r>
            <w:r w:rsidR="00F52319" w:rsidRPr="000143C7">
              <w:rPr>
                <w:rFonts w:ascii="Arial" w:hAnsi="Arial" w:cs="Arial"/>
                <w:sz w:val="24"/>
                <w:szCs w:val="24"/>
              </w:rPr>
              <w:t xml:space="preserve"> </w:t>
            </w:r>
          </w:p>
        </w:tc>
      </w:tr>
    </w:tbl>
    <w:p w14:paraId="7ABC2718" w14:textId="77777777" w:rsidR="00CF4C0A" w:rsidRDefault="00CF4C0A">
      <w:r>
        <w:br w:type="page"/>
      </w:r>
    </w:p>
    <w:tbl>
      <w:tblPr>
        <w:tblStyle w:val="TableGrid"/>
        <w:tblW w:w="0" w:type="auto"/>
        <w:tblLook w:val="04A0" w:firstRow="1" w:lastRow="0" w:firstColumn="1" w:lastColumn="0" w:noHBand="0" w:noVBand="1"/>
      </w:tblPr>
      <w:tblGrid>
        <w:gridCol w:w="3539"/>
        <w:gridCol w:w="6037"/>
      </w:tblGrid>
      <w:tr w:rsidR="003770DF" w:rsidRPr="000143C7" w14:paraId="56F5105F" w14:textId="77777777" w:rsidTr="001F6B9A">
        <w:tc>
          <w:tcPr>
            <w:tcW w:w="3539" w:type="dxa"/>
          </w:tcPr>
          <w:p w14:paraId="1F34C319" w14:textId="77777777" w:rsidR="003770DF" w:rsidRPr="000143C7" w:rsidRDefault="003770DF" w:rsidP="00564D5F">
            <w:pPr>
              <w:pStyle w:val="NoSpacing"/>
              <w:rPr>
                <w:rFonts w:ascii="Arial" w:hAnsi="Arial" w:cs="Arial"/>
                <w:sz w:val="24"/>
                <w:szCs w:val="24"/>
              </w:rPr>
            </w:pPr>
            <w:r w:rsidRPr="000143C7">
              <w:rPr>
                <w:rFonts w:ascii="Arial" w:hAnsi="Arial" w:cs="Arial"/>
                <w:sz w:val="24"/>
                <w:szCs w:val="24"/>
              </w:rPr>
              <w:lastRenderedPageBreak/>
              <w:t>Increase transparency in how conservation authorities levy municipalities for mandatory and non-mandatory programs and services. Update the </w:t>
            </w:r>
            <w:r w:rsidRPr="000143C7">
              <w:rPr>
                <w:rFonts w:ascii="Arial" w:hAnsi="Arial" w:cs="Arial"/>
                <w:bCs/>
                <w:i/>
                <w:iCs/>
                <w:sz w:val="24"/>
                <w:szCs w:val="24"/>
              </w:rPr>
              <w:t>Conservation Authorities Act</w:t>
            </w:r>
            <w:r w:rsidRPr="000143C7">
              <w:rPr>
                <w:rFonts w:ascii="Arial" w:hAnsi="Arial" w:cs="Arial"/>
                <w:sz w:val="24"/>
                <w:szCs w:val="24"/>
              </w:rPr>
              <w:t> an Act introduced in 1946, to conform with modern transparency standards by ensuring that municipalities and conservation authorities review levies for non-core programs after a certain period of time (e.g., 4 to 8 years)</w:t>
            </w:r>
          </w:p>
        </w:tc>
        <w:tc>
          <w:tcPr>
            <w:tcW w:w="6037" w:type="dxa"/>
          </w:tcPr>
          <w:p w14:paraId="462D67D4" w14:textId="6DF04564" w:rsidR="003770DF" w:rsidRPr="000143C7" w:rsidRDefault="00C776AC" w:rsidP="00E555C8">
            <w:pPr>
              <w:pStyle w:val="NoSpacing"/>
              <w:rPr>
                <w:rFonts w:ascii="Arial" w:hAnsi="Arial" w:cs="Arial"/>
                <w:sz w:val="24"/>
                <w:szCs w:val="24"/>
              </w:rPr>
            </w:pPr>
            <w:r w:rsidRPr="000143C7">
              <w:rPr>
                <w:rFonts w:ascii="Arial" w:hAnsi="Arial" w:cs="Arial"/>
                <w:sz w:val="24"/>
                <w:szCs w:val="24"/>
              </w:rPr>
              <w:t>Section 39 programs are clearly outlined under the existing legislation. Conservation Authorities have received financial support</w:t>
            </w:r>
            <w:r w:rsidR="00B32137">
              <w:rPr>
                <w:rFonts w:ascii="Arial" w:hAnsi="Arial" w:cs="Arial"/>
                <w:sz w:val="24"/>
                <w:szCs w:val="24"/>
              </w:rPr>
              <w:t xml:space="preserve"> at a static level</w:t>
            </w:r>
            <w:r w:rsidRPr="000143C7">
              <w:rPr>
                <w:rFonts w:ascii="Arial" w:hAnsi="Arial" w:cs="Arial"/>
                <w:sz w:val="24"/>
                <w:szCs w:val="24"/>
              </w:rPr>
              <w:t xml:space="preserve"> from the Province to support these program areas since 1996. </w:t>
            </w:r>
            <w:r w:rsidR="00536D8C">
              <w:rPr>
                <w:rFonts w:ascii="Arial" w:hAnsi="Arial" w:cs="Arial"/>
                <w:sz w:val="24"/>
                <w:szCs w:val="24"/>
              </w:rPr>
              <w:t xml:space="preserve">While Provincial support has been flatlined </w:t>
            </w:r>
            <w:r w:rsidR="00E555C8">
              <w:rPr>
                <w:rFonts w:ascii="Arial" w:hAnsi="Arial" w:cs="Arial"/>
                <w:sz w:val="24"/>
                <w:szCs w:val="24"/>
              </w:rPr>
              <w:t>f</w:t>
            </w:r>
            <w:r w:rsidR="00536D8C">
              <w:rPr>
                <w:rFonts w:ascii="Arial" w:hAnsi="Arial" w:cs="Arial"/>
                <w:sz w:val="24"/>
                <w:szCs w:val="24"/>
              </w:rPr>
              <w:t>o</w:t>
            </w:r>
            <w:r w:rsidR="00E555C8">
              <w:rPr>
                <w:rFonts w:ascii="Arial" w:hAnsi="Arial" w:cs="Arial"/>
                <w:sz w:val="24"/>
                <w:szCs w:val="24"/>
              </w:rPr>
              <w:t>t</w:t>
            </w:r>
            <w:r w:rsidR="00536D8C">
              <w:rPr>
                <w:rFonts w:ascii="Arial" w:hAnsi="Arial" w:cs="Arial"/>
                <w:sz w:val="24"/>
                <w:szCs w:val="24"/>
              </w:rPr>
              <w:t xml:space="preserve"> 23 years, </w:t>
            </w:r>
            <w:r w:rsidRPr="009B6A67">
              <w:rPr>
                <w:rFonts w:ascii="Arial" w:hAnsi="Arial" w:cs="Arial"/>
                <w:sz w:val="24"/>
                <w:szCs w:val="24"/>
              </w:rPr>
              <w:t xml:space="preserve">Municipalities have </w:t>
            </w:r>
            <w:r w:rsidR="00536D8C" w:rsidRPr="009B6A67">
              <w:rPr>
                <w:rFonts w:ascii="Arial" w:hAnsi="Arial" w:cs="Arial"/>
                <w:sz w:val="24"/>
                <w:szCs w:val="24"/>
              </w:rPr>
              <w:t>provided funding to match Provincial Section 39 funds</w:t>
            </w:r>
            <w:r w:rsidR="009B6A67" w:rsidRPr="009B6A67">
              <w:rPr>
                <w:rFonts w:ascii="Arial" w:hAnsi="Arial" w:cs="Arial"/>
                <w:sz w:val="24"/>
                <w:szCs w:val="24"/>
              </w:rPr>
              <w:t xml:space="preserve"> and further</w:t>
            </w:r>
            <w:r w:rsidRPr="000143C7">
              <w:rPr>
                <w:rFonts w:ascii="Arial" w:hAnsi="Arial" w:cs="Arial"/>
                <w:sz w:val="24"/>
                <w:szCs w:val="24"/>
              </w:rPr>
              <w:t xml:space="preserve"> financial support necessary to cover </w:t>
            </w:r>
            <w:r w:rsidR="00E555C8">
              <w:rPr>
                <w:rFonts w:ascii="Arial" w:hAnsi="Arial" w:cs="Arial"/>
                <w:sz w:val="24"/>
                <w:szCs w:val="24"/>
              </w:rPr>
              <w:t xml:space="preserve">the remaining </w:t>
            </w:r>
            <w:r w:rsidRPr="000143C7">
              <w:rPr>
                <w:rFonts w:ascii="Arial" w:hAnsi="Arial" w:cs="Arial"/>
                <w:sz w:val="24"/>
                <w:szCs w:val="24"/>
              </w:rPr>
              <w:t>costs for Section 39 programs</w:t>
            </w:r>
            <w:r w:rsidR="00B32137">
              <w:rPr>
                <w:rFonts w:ascii="Arial" w:hAnsi="Arial" w:cs="Arial"/>
                <w:sz w:val="24"/>
                <w:szCs w:val="24"/>
              </w:rPr>
              <w:t>,</w:t>
            </w:r>
            <w:r w:rsidRPr="000143C7">
              <w:rPr>
                <w:rFonts w:ascii="Arial" w:hAnsi="Arial" w:cs="Arial"/>
                <w:sz w:val="24"/>
                <w:szCs w:val="24"/>
              </w:rPr>
              <w:t xml:space="preserve"> as well as funding to support </w:t>
            </w:r>
            <w:r w:rsidR="001D39D9" w:rsidRPr="000143C7">
              <w:rPr>
                <w:rFonts w:ascii="Arial" w:hAnsi="Arial" w:cs="Arial"/>
                <w:sz w:val="24"/>
                <w:szCs w:val="24"/>
              </w:rPr>
              <w:t>locally supported programs</w:t>
            </w:r>
            <w:r w:rsidR="00B32137">
              <w:rPr>
                <w:rFonts w:ascii="Arial" w:hAnsi="Arial" w:cs="Arial"/>
                <w:sz w:val="24"/>
                <w:szCs w:val="24"/>
              </w:rPr>
              <w:t>,</w:t>
            </w:r>
            <w:r w:rsidR="001D39D9" w:rsidRPr="000143C7">
              <w:rPr>
                <w:rFonts w:ascii="Arial" w:hAnsi="Arial" w:cs="Arial"/>
                <w:sz w:val="24"/>
                <w:szCs w:val="24"/>
              </w:rPr>
              <w:t xml:space="preserve"> has been provided by Municipalities through ‘non-matching and special levies’. Support for these programs and the associated cost of these programs is obtain</w:t>
            </w:r>
            <w:r w:rsidR="00687C1F">
              <w:rPr>
                <w:rFonts w:ascii="Arial" w:hAnsi="Arial" w:cs="Arial"/>
                <w:sz w:val="24"/>
                <w:szCs w:val="24"/>
              </w:rPr>
              <w:t>ed</w:t>
            </w:r>
            <w:r w:rsidR="001D39D9" w:rsidRPr="000143C7">
              <w:rPr>
                <w:rFonts w:ascii="Arial" w:hAnsi="Arial" w:cs="Arial"/>
                <w:sz w:val="24"/>
                <w:szCs w:val="24"/>
              </w:rPr>
              <w:t xml:space="preserve"> annually through a budgetary process that provides multiple opportunities for municipalities or their representatives on the Board of Directors to seek or request further information or to voice their support o</w:t>
            </w:r>
            <w:r w:rsidR="00536D8C">
              <w:rPr>
                <w:rFonts w:ascii="Arial" w:hAnsi="Arial" w:cs="Arial"/>
                <w:sz w:val="24"/>
                <w:szCs w:val="24"/>
              </w:rPr>
              <w:t>r</w:t>
            </w:r>
            <w:r w:rsidR="001D39D9" w:rsidRPr="000143C7">
              <w:rPr>
                <w:rFonts w:ascii="Arial" w:hAnsi="Arial" w:cs="Arial"/>
                <w:sz w:val="24"/>
                <w:szCs w:val="24"/>
              </w:rPr>
              <w:t xml:space="preserve"> concern for these budget components. </w:t>
            </w:r>
            <w:r w:rsidR="001D39D9" w:rsidRPr="00C54652">
              <w:rPr>
                <w:rFonts w:ascii="Arial" w:hAnsi="Arial" w:cs="Arial"/>
                <w:sz w:val="24"/>
                <w:szCs w:val="24"/>
              </w:rPr>
              <w:t>SCRCA supports the need for transparency, however, the existing budget process provides ample transparency and further SCRCA does not support the requirement for a review requirement within a set timeframe as these actions are already undertaken annually.</w:t>
            </w:r>
          </w:p>
        </w:tc>
      </w:tr>
      <w:tr w:rsidR="003770DF" w:rsidRPr="000143C7" w14:paraId="7B19C684" w14:textId="77777777" w:rsidTr="001F6B9A">
        <w:tc>
          <w:tcPr>
            <w:tcW w:w="3539" w:type="dxa"/>
          </w:tcPr>
          <w:p w14:paraId="1281FCFB" w14:textId="77777777" w:rsidR="003770DF" w:rsidRPr="000143C7" w:rsidRDefault="003770DF" w:rsidP="00564D5F">
            <w:pPr>
              <w:pStyle w:val="NoSpacing"/>
              <w:rPr>
                <w:rFonts w:ascii="Arial" w:hAnsi="Arial" w:cs="Arial"/>
                <w:sz w:val="24"/>
                <w:szCs w:val="24"/>
              </w:rPr>
            </w:pPr>
            <w:r w:rsidRPr="000143C7">
              <w:rPr>
                <w:rFonts w:ascii="Arial" w:hAnsi="Arial" w:cs="Arial"/>
                <w:sz w:val="24"/>
                <w:szCs w:val="24"/>
              </w:rPr>
              <w:t>Establish a transition period (e.g. 18 to 24 months) and process for conservation authorities and municipalities to enter into agreements for the delivery of non-mandatory programs and services and meet these transparency standards</w:t>
            </w:r>
          </w:p>
        </w:tc>
        <w:tc>
          <w:tcPr>
            <w:tcW w:w="6037" w:type="dxa"/>
          </w:tcPr>
          <w:p w14:paraId="1FD2F550" w14:textId="4F6D3173" w:rsidR="003770DF" w:rsidRPr="000143C7" w:rsidRDefault="00536D8C" w:rsidP="00E555C8">
            <w:pPr>
              <w:pStyle w:val="NoSpacing"/>
              <w:rPr>
                <w:rFonts w:ascii="Arial" w:hAnsi="Arial" w:cs="Arial"/>
                <w:sz w:val="24"/>
                <w:szCs w:val="24"/>
              </w:rPr>
            </w:pPr>
            <w:r>
              <w:t xml:space="preserve"> </w:t>
            </w:r>
            <w:r w:rsidRPr="00536D8C">
              <w:rPr>
                <w:rFonts w:ascii="Arial" w:hAnsi="Arial" w:cs="Arial"/>
                <w:sz w:val="24"/>
                <w:szCs w:val="24"/>
              </w:rPr>
              <w:t>Further clarity on provincial plans to legislate agreements with municipalities is required for SCRCA to understand the terms of the agreements. There is a need for Conservation Authorities to contribute to the design of the agreements, to ensure suppor</w:t>
            </w:r>
            <w:r>
              <w:rPr>
                <w:rFonts w:ascii="Arial" w:hAnsi="Arial" w:cs="Arial"/>
                <w:sz w:val="24"/>
                <w:szCs w:val="24"/>
              </w:rPr>
              <w:t>t</w:t>
            </w:r>
            <w:r w:rsidRPr="00536D8C">
              <w:rPr>
                <w:rFonts w:ascii="Arial" w:hAnsi="Arial" w:cs="Arial"/>
                <w:sz w:val="24"/>
                <w:szCs w:val="24"/>
              </w:rPr>
              <w:t xml:space="preserve"> and capacity for the programs and services included. </w:t>
            </w:r>
            <w:r w:rsidR="006F6896" w:rsidRPr="000143C7">
              <w:rPr>
                <w:rFonts w:ascii="Arial" w:hAnsi="Arial" w:cs="Arial"/>
                <w:sz w:val="24"/>
                <w:szCs w:val="24"/>
              </w:rPr>
              <w:t xml:space="preserve">Should such agreements be required SCRCA supports a </w:t>
            </w:r>
            <w:r w:rsidR="003770DF" w:rsidRPr="000143C7">
              <w:rPr>
                <w:rFonts w:ascii="Arial" w:hAnsi="Arial" w:cs="Arial"/>
                <w:sz w:val="24"/>
                <w:szCs w:val="24"/>
              </w:rPr>
              <w:t>transition period of 24</w:t>
            </w:r>
            <w:r w:rsidR="006F6896" w:rsidRPr="000143C7">
              <w:rPr>
                <w:rFonts w:ascii="Arial" w:hAnsi="Arial" w:cs="Arial"/>
                <w:sz w:val="24"/>
                <w:szCs w:val="24"/>
              </w:rPr>
              <w:t xml:space="preserve"> </w:t>
            </w:r>
            <w:r w:rsidR="003770DF" w:rsidRPr="000143C7">
              <w:rPr>
                <w:rFonts w:ascii="Arial" w:hAnsi="Arial" w:cs="Arial"/>
                <w:sz w:val="24"/>
                <w:szCs w:val="24"/>
              </w:rPr>
              <w:t>months</w:t>
            </w:r>
            <w:r w:rsidR="006F6896" w:rsidRPr="000143C7">
              <w:rPr>
                <w:rFonts w:ascii="Arial" w:hAnsi="Arial" w:cs="Arial"/>
                <w:sz w:val="24"/>
                <w:szCs w:val="24"/>
              </w:rPr>
              <w:t xml:space="preserve"> to ensure that agreements can be executed</w:t>
            </w:r>
            <w:r>
              <w:rPr>
                <w:rFonts w:ascii="Arial" w:hAnsi="Arial" w:cs="Arial"/>
                <w:sz w:val="24"/>
                <w:szCs w:val="24"/>
              </w:rPr>
              <w:t xml:space="preserve"> and implemented</w:t>
            </w:r>
            <w:r w:rsidR="006F6896" w:rsidRPr="000143C7">
              <w:rPr>
                <w:rFonts w:ascii="Arial" w:hAnsi="Arial" w:cs="Arial"/>
                <w:sz w:val="24"/>
                <w:szCs w:val="24"/>
              </w:rPr>
              <w:t xml:space="preserve">. SCRCA supports the transparency of </w:t>
            </w:r>
            <w:r w:rsidR="003B0509">
              <w:rPr>
                <w:rFonts w:ascii="Arial" w:hAnsi="Arial" w:cs="Arial"/>
                <w:sz w:val="24"/>
                <w:szCs w:val="24"/>
              </w:rPr>
              <w:t>these</w:t>
            </w:r>
            <w:r w:rsidR="003B0509" w:rsidRPr="000143C7">
              <w:rPr>
                <w:rFonts w:ascii="Arial" w:hAnsi="Arial" w:cs="Arial"/>
                <w:sz w:val="24"/>
                <w:szCs w:val="24"/>
              </w:rPr>
              <w:t xml:space="preserve"> </w:t>
            </w:r>
            <w:r w:rsidR="006F6896" w:rsidRPr="000143C7">
              <w:rPr>
                <w:rFonts w:ascii="Arial" w:hAnsi="Arial" w:cs="Arial"/>
                <w:sz w:val="24"/>
                <w:szCs w:val="24"/>
              </w:rPr>
              <w:t>agreements and any standards that may be contained within</w:t>
            </w:r>
            <w:r w:rsidR="003770DF" w:rsidRPr="000143C7">
              <w:rPr>
                <w:rFonts w:ascii="Arial" w:hAnsi="Arial" w:cs="Arial"/>
                <w:sz w:val="24"/>
                <w:szCs w:val="24"/>
              </w:rPr>
              <w:t>.</w:t>
            </w:r>
            <w:r w:rsidR="003B0509">
              <w:rPr>
                <w:rFonts w:ascii="Arial" w:hAnsi="Arial" w:cs="Arial"/>
                <w:sz w:val="24"/>
                <w:szCs w:val="24"/>
              </w:rPr>
              <w:t xml:space="preserve"> Conservation Ontario is addressing these agreements as part of the </w:t>
            </w:r>
            <w:r w:rsidR="003B0509" w:rsidRPr="00E94AB3">
              <w:rPr>
                <w:rFonts w:ascii="Arial" w:hAnsi="Arial" w:cs="Arial"/>
                <w:i/>
                <w:sz w:val="24"/>
                <w:szCs w:val="24"/>
              </w:rPr>
              <w:t xml:space="preserve">Client Service and Streamlining Initiative – Improving Client Service and </w:t>
            </w:r>
            <w:r w:rsidR="00687C1F" w:rsidRPr="00E94AB3">
              <w:rPr>
                <w:rFonts w:ascii="Arial" w:hAnsi="Arial" w:cs="Arial"/>
                <w:i/>
                <w:sz w:val="24"/>
                <w:szCs w:val="24"/>
              </w:rPr>
              <w:t>Accountability</w:t>
            </w:r>
            <w:r w:rsidR="003B0509" w:rsidRPr="00E94AB3">
              <w:rPr>
                <w:rFonts w:ascii="Arial" w:hAnsi="Arial" w:cs="Arial"/>
                <w:i/>
                <w:sz w:val="24"/>
                <w:szCs w:val="24"/>
              </w:rPr>
              <w:t>.</w:t>
            </w:r>
          </w:p>
        </w:tc>
      </w:tr>
      <w:tr w:rsidR="003770DF" w:rsidRPr="000143C7" w14:paraId="389CFBD0" w14:textId="77777777" w:rsidTr="001F6B9A">
        <w:tc>
          <w:tcPr>
            <w:tcW w:w="3539" w:type="dxa"/>
          </w:tcPr>
          <w:p w14:paraId="26E1A898" w14:textId="77777777" w:rsidR="003770DF" w:rsidRPr="000143C7" w:rsidRDefault="003770DF" w:rsidP="00564D5F">
            <w:pPr>
              <w:pStyle w:val="NoSpacing"/>
              <w:rPr>
                <w:rFonts w:ascii="Arial" w:hAnsi="Arial" w:cs="Arial"/>
                <w:sz w:val="24"/>
                <w:szCs w:val="24"/>
              </w:rPr>
            </w:pPr>
            <w:r w:rsidRPr="000143C7">
              <w:rPr>
                <w:rFonts w:ascii="Arial" w:hAnsi="Arial" w:cs="Arial"/>
                <w:sz w:val="24"/>
                <w:szCs w:val="24"/>
              </w:rPr>
              <w:t>Enable the Minister to appoint an investigator to investigate or undertake an audit and report on a conservation authority</w:t>
            </w:r>
          </w:p>
        </w:tc>
        <w:tc>
          <w:tcPr>
            <w:tcW w:w="6037" w:type="dxa"/>
          </w:tcPr>
          <w:p w14:paraId="3A0DA5C3" w14:textId="77777777" w:rsidR="003770DF" w:rsidRPr="00DA5474" w:rsidRDefault="006F6896" w:rsidP="006F6896">
            <w:pPr>
              <w:pStyle w:val="NoSpacing"/>
              <w:rPr>
                <w:rFonts w:ascii="Arial" w:hAnsi="Arial" w:cs="Arial"/>
                <w:color w:val="FF0000"/>
                <w:sz w:val="24"/>
                <w:szCs w:val="24"/>
              </w:rPr>
            </w:pPr>
            <w:r w:rsidRPr="000143C7">
              <w:rPr>
                <w:rFonts w:ascii="Arial" w:hAnsi="Arial" w:cs="Arial"/>
                <w:sz w:val="24"/>
                <w:szCs w:val="24"/>
              </w:rPr>
              <w:t>SCRCA has no concern with the proposed additional power being provided to the Minister.</w:t>
            </w:r>
          </w:p>
        </w:tc>
      </w:tr>
      <w:tr w:rsidR="003770DF" w:rsidRPr="000143C7" w14:paraId="723B58B5" w14:textId="77777777" w:rsidTr="001F6B9A">
        <w:trPr>
          <w:trHeight w:val="70"/>
        </w:trPr>
        <w:tc>
          <w:tcPr>
            <w:tcW w:w="3539" w:type="dxa"/>
          </w:tcPr>
          <w:p w14:paraId="79752975" w14:textId="77777777" w:rsidR="003770DF" w:rsidRPr="000143C7" w:rsidRDefault="003770DF" w:rsidP="00564D5F">
            <w:pPr>
              <w:pStyle w:val="NoSpacing"/>
              <w:rPr>
                <w:rFonts w:ascii="Arial" w:hAnsi="Arial" w:cs="Arial"/>
                <w:sz w:val="24"/>
                <w:szCs w:val="24"/>
              </w:rPr>
            </w:pPr>
            <w:r w:rsidRPr="000143C7">
              <w:rPr>
                <w:rFonts w:ascii="Arial" w:hAnsi="Arial" w:cs="Arial"/>
                <w:sz w:val="24"/>
                <w:szCs w:val="24"/>
              </w:rPr>
              <w:t>Clarify that the duty of conservation authority board members is to act in the best interest of the conservation authority, similar to not-for profit organizations</w:t>
            </w:r>
          </w:p>
        </w:tc>
        <w:tc>
          <w:tcPr>
            <w:tcW w:w="6037" w:type="dxa"/>
          </w:tcPr>
          <w:p w14:paraId="1EC477F9" w14:textId="6605B8B3" w:rsidR="003770DF" w:rsidRPr="000143C7" w:rsidRDefault="003770DF" w:rsidP="00DB10E7">
            <w:pPr>
              <w:pStyle w:val="NoSpacing"/>
              <w:rPr>
                <w:rFonts w:ascii="Arial" w:hAnsi="Arial" w:cs="Arial"/>
                <w:sz w:val="24"/>
                <w:szCs w:val="24"/>
              </w:rPr>
            </w:pPr>
            <w:r w:rsidRPr="000143C7">
              <w:rPr>
                <w:rFonts w:ascii="Arial" w:hAnsi="Arial" w:cs="Arial"/>
                <w:sz w:val="24"/>
                <w:szCs w:val="24"/>
              </w:rPr>
              <w:t>S</w:t>
            </w:r>
            <w:r w:rsidR="006F6896" w:rsidRPr="000143C7">
              <w:rPr>
                <w:rFonts w:ascii="Arial" w:hAnsi="Arial" w:cs="Arial"/>
                <w:sz w:val="24"/>
                <w:szCs w:val="24"/>
              </w:rPr>
              <w:t>CRCA s</w:t>
            </w:r>
            <w:r w:rsidRPr="000143C7">
              <w:rPr>
                <w:rFonts w:ascii="Arial" w:hAnsi="Arial" w:cs="Arial"/>
                <w:sz w:val="24"/>
                <w:szCs w:val="24"/>
              </w:rPr>
              <w:t>upport</w:t>
            </w:r>
            <w:r w:rsidR="006F6896" w:rsidRPr="000143C7">
              <w:rPr>
                <w:rFonts w:ascii="Arial" w:hAnsi="Arial" w:cs="Arial"/>
                <w:sz w:val="24"/>
                <w:szCs w:val="24"/>
              </w:rPr>
              <w:t xml:space="preserve">s the </w:t>
            </w:r>
            <w:r w:rsidR="003B0509">
              <w:rPr>
                <w:rFonts w:ascii="Arial" w:hAnsi="Arial" w:cs="Arial"/>
                <w:sz w:val="24"/>
                <w:szCs w:val="24"/>
              </w:rPr>
              <w:t xml:space="preserve">provision of further </w:t>
            </w:r>
            <w:r w:rsidR="006F6896" w:rsidRPr="000143C7">
              <w:rPr>
                <w:rFonts w:ascii="Arial" w:hAnsi="Arial" w:cs="Arial"/>
                <w:sz w:val="24"/>
                <w:szCs w:val="24"/>
              </w:rPr>
              <w:t>clarity regarding the duties of Authority Board members</w:t>
            </w:r>
            <w:r w:rsidRPr="000143C7">
              <w:rPr>
                <w:rFonts w:ascii="Arial" w:hAnsi="Arial" w:cs="Arial"/>
                <w:sz w:val="24"/>
                <w:szCs w:val="24"/>
              </w:rPr>
              <w:t>.</w:t>
            </w:r>
          </w:p>
        </w:tc>
      </w:tr>
      <w:tr w:rsidR="003770DF" w:rsidRPr="000143C7" w14:paraId="5C0EB3C2" w14:textId="77777777" w:rsidTr="00564D5F">
        <w:tc>
          <w:tcPr>
            <w:tcW w:w="9576" w:type="dxa"/>
            <w:gridSpan w:val="2"/>
          </w:tcPr>
          <w:p w14:paraId="11BEB411" w14:textId="3B4E5058" w:rsidR="003770DF" w:rsidRPr="000143C7" w:rsidRDefault="003770DF" w:rsidP="00591619">
            <w:pPr>
              <w:pStyle w:val="NoSpacing"/>
              <w:jc w:val="center"/>
              <w:rPr>
                <w:rFonts w:ascii="Arial" w:hAnsi="Arial" w:cs="Arial"/>
                <w:b/>
                <w:sz w:val="24"/>
                <w:szCs w:val="24"/>
              </w:rPr>
            </w:pPr>
            <w:r w:rsidRPr="000143C7">
              <w:rPr>
                <w:rFonts w:ascii="Arial" w:hAnsi="Arial" w:cs="Arial"/>
                <w:b/>
                <w:sz w:val="24"/>
                <w:szCs w:val="24"/>
              </w:rPr>
              <w:t>General Comments</w:t>
            </w:r>
          </w:p>
        </w:tc>
      </w:tr>
      <w:tr w:rsidR="003770DF" w:rsidRPr="000143C7" w14:paraId="0E0D4176" w14:textId="77777777" w:rsidTr="001F6B9A">
        <w:tc>
          <w:tcPr>
            <w:tcW w:w="3539" w:type="dxa"/>
          </w:tcPr>
          <w:p w14:paraId="3B131389" w14:textId="77777777" w:rsidR="003770DF" w:rsidRPr="000143C7" w:rsidRDefault="003770DF" w:rsidP="000143C7">
            <w:pPr>
              <w:pStyle w:val="NoSpacing"/>
              <w:rPr>
                <w:rFonts w:ascii="Arial" w:hAnsi="Arial" w:cs="Arial"/>
                <w:bCs/>
                <w:i/>
                <w:sz w:val="24"/>
                <w:szCs w:val="24"/>
              </w:rPr>
            </w:pPr>
            <w:r w:rsidRPr="000143C7">
              <w:rPr>
                <w:rFonts w:ascii="Arial" w:hAnsi="Arial" w:cs="Arial"/>
                <w:bCs/>
                <w:sz w:val="24"/>
                <w:szCs w:val="24"/>
              </w:rPr>
              <w:t xml:space="preserve">Modernizing conservation authority operations – </w:t>
            </w:r>
            <w:r w:rsidRPr="000143C7">
              <w:rPr>
                <w:rFonts w:ascii="Arial" w:hAnsi="Arial" w:cs="Arial"/>
                <w:bCs/>
                <w:i/>
                <w:sz w:val="24"/>
                <w:szCs w:val="24"/>
              </w:rPr>
              <w:t>Conservation Authorities Act</w:t>
            </w:r>
          </w:p>
        </w:tc>
        <w:tc>
          <w:tcPr>
            <w:tcW w:w="6037" w:type="dxa"/>
          </w:tcPr>
          <w:p w14:paraId="65E1447C" w14:textId="31B72D50" w:rsidR="003770DF" w:rsidRPr="000143C7" w:rsidRDefault="00B74D05" w:rsidP="005765A7">
            <w:pPr>
              <w:pStyle w:val="NoSpacing"/>
              <w:rPr>
                <w:rFonts w:ascii="Arial" w:hAnsi="Arial" w:cs="Arial"/>
                <w:b/>
                <w:sz w:val="24"/>
                <w:szCs w:val="24"/>
              </w:rPr>
            </w:pPr>
            <w:r>
              <w:rPr>
                <w:rFonts w:ascii="Arial" w:hAnsi="Arial" w:cs="Arial"/>
                <w:sz w:val="24"/>
                <w:szCs w:val="24"/>
              </w:rPr>
              <w:t xml:space="preserve">A webinar hosted by MECP for all Conservation Authorities held on April 4, 2019, provided background to this proposed </w:t>
            </w:r>
            <w:r w:rsidR="003B0509">
              <w:rPr>
                <w:rFonts w:ascii="Arial" w:hAnsi="Arial" w:cs="Arial"/>
                <w:sz w:val="24"/>
                <w:szCs w:val="24"/>
              </w:rPr>
              <w:t>m</w:t>
            </w:r>
            <w:r>
              <w:rPr>
                <w:rFonts w:ascii="Arial" w:hAnsi="Arial" w:cs="Arial"/>
                <w:sz w:val="24"/>
                <w:szCs w:val="24"/>
              </w:rPr>
              <w:t xml:space="preserve">odernization of </w:t>
            </w:r>
            <w:r w:rsidR="003B0509">
              <w:rPr>
                <w:rFonts w:ascii="Arial" w:hAnsi="Arial" w:cs="Arial"/>
                <w:sz w:val="24"/>
                <w:szCs w:val="24"/>
              </w:rPr>
              <w:t>C</w:t>
            </w:r>
            <w:r>
              <w:rPr>
                <w:rFonts w:ascii="Arial" w:hAnsi="Arial" w:cs="Arial"/>
                <w:sz w:val="24"/>
                <w:szCs w:val="24"/>
              </w:rPr>
              <w:t xml:space="preserve">onservation Authority operations. </w:t>
            </w:r>
            <w:r w:rsidR="001F1B0D">
              <w:rPr>
                <w:rFonts w:ascii="Arial" w:hAnsi="Arial" w:cs="Arial"/>
                <w:sz w:val="24"/>
                <w:szCs w:val="24"/>
              </w:rPr>
              <w:t xml:space="preserve">Citing climate change and flooding, land use planning, environmental </w:t>
            </w:r>
            <w:r w:rsidR="00E71A07">
              <w:rPr>
                <w:rFonts w:ascii="Arial" w:hAnsi="Arial" w:cs="Arial"/>
                <w:sz w:val="24"/>
                <w:szCs w:val="24"/>
              </w:rPr>
              <w:t xml:space="preserve">protection </w:t>
            </w:r>
            <w:r w:rsidR="001F1B0D">
              <w:rPr>
                <w:rFonts w:ascii="Arial" w:hAnsi="Arial" w:cs="Arial"/>
                <w:sz w:val="24"/>
                <w:szCs w:val="24"/>
              </w:rPr>
              <w:t>and drinking water protection, it was explained that the Province was consulting on ‘how CAs can improve delivery of core programs and services’. Ministry staff went on to</w:t>
            </w:r>
            <w:r w:rsidR="00E71A07">
              <w:rPr>
                <w:rFonts w:ascii="Arial" w:hAnsi="Arial" w:cs="Arial"/>
                <w:sz w:val="24"/>
                <w:szCs w:val="24"/>
              </w:rPr>
              <w:t xml:space="preserve"> identify the drivers behind the modernization of CA operations. The first </w:t>
            </w:r>
            <w:r w:rsidR="003B0509">
              <w:rPr>
                <w:rFonts w:ascii="Arial" w:hAnsi="Arial" w:cs="Arial"/>
                <w:sz w:val="24"/>
                <w:szCs w:val="24"/>
              </w:rPr>
              <w:t>two</w:t>
            </w:r>
            <w:r w:rsidR="00E71A07">
              <w:rPr>
                <w:rFonts w:ascii="Arial" w:hAnsi="Arial" w:cs="Arial"/>
                <w:sz w:val="24"/>
                <w:szCs w:val="24"/>
              </w:rPr>
              <w:t xml:space="preserve"> drivers listed were specific to CA member municipalities regarding the costs of funding CAs and the </w:t>
            </w:r>
            <w:r w:rsidR="00687C1F">
              <w:rPr>
                <w:rFonts w:ascii="Arial" w:hAnsi="Arial" w:cs="Arial"/>
                <w:sz w:val="24"/>
                <w:szCs w:val="24"/>
              </w:rPr>
              <w:t>municipalities’</w:t>
            </w:r>
            <w:r w:rsidR="00E71A07">
              <w:rPr>
                <w:rFonts w:ascii="Arial" w:hAnsi="Arial" w:cs="Arial"/>
                <w:sz w:val="24"/>
                <w:szCs w:val="24"/>
              </w:rPr>
              <w:t xml:space="preserve"> lack of control over CA budgets. </w:t>
            </w:r>
            <w:r w:rsidR="005765A7">
              <w:rPr>
                <w:rFonts w:ascii="Arial" w:hAnsi="Arial" w:cs="Arial"/>
                <w:sz w:val="24"/>
                <w:szCs w:val="24"/>
              </w:rPr>
              <w:t xml:space="preserve">SCRCA undertakes a lengthy budget process offering multiple opportunities for municipal comment and further offers to present the proposed budget to Councils at the </w:t>
            </w:r>
            <w:r w:rsidR="00687C1F">
              <w:rPr>
                <w:rFonts w:ascii="Arial" w:hAnsi="Arial" w:cs="Arial"/>
                <w:sz w:val="24"/>
                <w:szCs w:val="24"/>
              </w:rPr>
              <w:t>municipalities’</w:t>
            </w:r>
            <w:r w:rsidR="005765A7">
              <w:rPr>
                <w:rFonts w:ascii="Arial" w:hAnsi="Arial" w:cs="Arial"/>
                <w:sz w:val="24"/>
                <w:szCs w:val="24"/>
              </w:rPr>
              <w:t xml:space="preserve"> request. T</w:t>
            </w:r>
            <w:r w:rsidR="00E71A07" w:rsidRPr="005765A7">
              <w:rPr>
                <w:rFonts w:ascii="Arial" w:hAnsi="Arial" w:cs="Arial"/>
                <w:sz w:val="24"/>
                <w:szCs w:val="24"/>
              </w:rPr>
              <w:t>he Board members who</w:t>
            </w:r>
            <w:r w:rsidR="00E71A07">
              <w:rPr>
                <w:rFonts w:ascii="Arial" w:hAnsi="Arial" w:cs="Arial"/>
                <w:sz w:val="24"/>
                <w:szCs w:val="24"/>
              </w:rPr>
              <w:t xml:space="preserve"> approve the CAs annual budgets and therefore they have ultimate control of all CA budgets</w:t>
            </w:r>
            <w:r w:rsidR="005765A7">
              <w:rPr>
                <w:rFonts w:ascii="Arial" w:hAnsi="Arial" w:cs="Arial"/>
                <w:sz w:val="24"/>
                <w:szCs w:val="24"/>
              </w:rPr>
              <w:t xml:space="preserve"> are appointed by their local municipalities</w:t>
            </w:r>
            <w:r w:rsidR="00E71A07">
              <w:rPr>
                <w:rFonts w:ascii="Arial" w:hAnsi="Arial" w:cs="Arial"/>
                <w:sz w:val="24"/>
                <w:szCs w:val="24"/>
              </w:rPr>
              <w:t xml:space="preserve">. Municipalities concerned about the costs to fund CAs have concurrently voiced concerns that the Province is not living up to their commitment to provide </w:t>
            </w:r>
            <w:r w:rsidR="007E589F">
              <w:rPr>
                <w:rFonts w:ascii="Arial" w:hAnsi="Arial" w:cs="Arial"/>
                <w:sz w:val="24"/>
                <w:szCs w:val="24"/>
              </w:rPr>
              <w:t>50% financial support to the Section 39 programs as outline</w:t>
            </w:r>
            <w:r w:rsidR="003B0509">
              <w:rPr>
                <w:rFonts w:ascii="Arial" w:hAnsi="Arial" w:cs="Arial"/>
                <w:sz w:val="24"/>
                <w:szCs w:val="24"/>
              </w:rPr>
              <w:t>d</w:t>
            </w:r>
            <w:r w:rsidR="007E589F">
              <w:rPr>
                <w:rFonts w:ascii="Arial" w:hAnsi="Arial" w:cs="Arial"/>
                <w:sz w:val="24"/>
                <w:szCs w:val="24"/>
              </w:rPr>
              <w:t xml:space="preserve"> in 1996. These issues are then further compounded by the Ministry of Natural Resources and Forestry </w:t>
            </w:r>
            <w:r w:rsidR="003B0509">
              <w:rPr>
                <w:rFonts w:ascii="Arial" w:hAnsi="Arial" w:cs="Arial"/>
                <w:sz w:val="24"/>
                <w:szCs w:val="24"/>
              </w:rPr>
              <w:t>d</w:t>
            </w:r>
            <w:r w:rsidR="007E589F">
              <w:rPr>
                <w:rFonts w:ascii="Arial" w:hAnsi="Arial" w:cs="Arial"/>
                <w:sz w:val="24"/>
                <w:szCs w:val="24"/>
              </w:rPr>
              <w:t>ecision to cut transfer payments for Section 39 programs by almost 50% in last month</w:t>
            </w:r>
            <w:r w:rsidR="001F6B9A">
              <w:rPr>
                <w:rFonts w:ascii="Arial" w:hAnsi="Arial" w:cs="Arial"/>
                <w:sz w:val="24"/>
                <w:szCs w:val="24"/>
              </w:rPr>
              <w:t>’</w:t>
            </w:r>
            <w:r w:rsidR="007E589F">
              <w:rPr>
                <w:rFonts w:ascii="Arial" w:hAnsi="Arial" w:cs="Arial"/>
                <w:sz w:val="24"/>
                <w:szCs w:val="24"/>
              </w:rPr>
              <w:t xml:space="preserve">s budget. The third driver identified was </w:t>
            </w:r>
            <w:r w:rsidR="003B0509">
              <w:rPr>
                <w:rFonts w:ascii="Arial" w:hAnsi="Arial" w:cs="Arial"/>
                <w:sz w:val="24"/>
                <w:szCs w:val="24"/>
              </w:rPr>
              <w:t xml:space="preserve">the </w:t>
            </w:r>
            <w:r w:rsidR="007E589F">
              <w:rPr>
                <w:rFonts w:ascii="Arial" w:hAnsi="Arial" w:cs="Arial"/>
                <w:sz w:val="24"/>
                <w:szCs w:val="24"/>
              </w:rPr>
              <w:t xml:space="preserve">2012 report from the </w:t>
            </w:r>
            <w:r w:rsidR="007E589F" w:rsidRPr="005765A7">
              <w:rPr>
                <w:rFonts w:ascii="Arial" w:hAnsi="Arial" w:cs="Arial"/>
                <w:i/>
                <w:sz w:val="24"/>
                <w:szCs w:val="24"/>
              </w:rPr>
              <w:t>Commission on the Reform of Ontario Public Services</w:t>
            </w:r>
            <w:r w:rsidR="003B0509">
              <w:rPr>
                <w:rFonts w:ascii="Arial" w:hAnsi="Arial" w:cs="Arial"/>
                <w:i/>
                <w:sz w:val="24"/>
                <w:szCs w:val="24"/>
              </w:rPr>
              <w:t>,</w:t>
            </w:r>
            <w:r w:rsidR="007E589F">
              <w:rPr>
                <w:rFonts w:ascii="Arial" w:hAnsi="Arial" w:cs="Arial"/>
                <w:sz w:val="24"/>
                <w:szCs w:val="24"/>
              </w:rPr>
              <w:t xml:space="preserve"> which identified jurisdictional crowding as an issue in the development sector. This issue </w:t>
            </w:r>
            <w:r w:rsidR="003B0509">
              <w:rPr>
                <w:rFonts w:ascii="Arial" w:hAnsi="Arial" w:cs="Arial"/>
                <w:sz w:val="24"/>
                <w:szCs w:val="24"/>
              </w:rPr>
              <w:t>was</w:t>
            </w:r>
            <w:r w:rsidR="007E589F">
              <w:rPr>
                <w:rFonts w:ascii="Arial" w:hAnsi="Arial" w:cs="Arial"/>
                <w:sz w:val="24"/>
                <w:szCs w:val="24"/>
              </w:rPr>
              <w:t xml:space="preserve"> addressed with the review of the Conservation Authorities Act and the passage of Bill 139 in 2017. The final driver identified was the Ontario Auditor General’s 2018 </w:t>
            </w:r>
            <w:r w:rsidR="007E589F" w:rsidRPr="005765A7">
              <w:rPr>
                <w:rFonts w:ascii="Arial" w:hAnsi="Arial" w:cs="Arial"/>
                <w:i/>
                <w:sz w:val="24"/>
                <w:szCs w:val="24"/>
              </w:rPr>
              <w:t>Special Audit of the Niagara Peninsula Conservation Authority</w:t>
            </w:r>
            <w:r w:rsidR="00924A52">
              <w:rPr>
                <w:rFonts w:ascii="Arial" w:hAnsi="Arial" w:cs="Arial"/>
                <w:sz w:val="24"/>
                <w:szCs w:val="24"/>
              </w:rPr>
              <w:t xml:space="preserve"> and several key recommendations </w:t>
            </w:r>
            <w:r w:rsidR="003B0509">
              <w:rPr>
                <w:rFonts w:ascii="Arial" w:hAnsi="Arial" w:cs="Arial"/>
                <w:sz w:val="24"/>
                <w:szCs w:val="24"/>
              </w:rPr>
              <w:t>included.</w:t>
            </w:r>
            <w:r w:rsidR="00924A52">
              <w:rPr>
                <w:rFonts w:ascii="Arial" w:hAnsi="Arial" w:cs="Arial"/>
                <w:sz w:val="24"/>
                <w:szCs w:val="24"/>
              </w:rPr>
              <w:t xml:space="preserve"> Ministry staff brought forward issues regarding clarity of board member accountability, board member training and mechanisms for </w:t>
            </w:r>
            <w:r w:rsidR="003B0509">
              <w:rPr>
                <w:rFonts w:ascii="Arial" w:hAnsi="Arial" w:cs="Arial"/>
                <w:sz w:val="24"/>
                <w:szCs w:val="24"/>
              </w:rPr>
              <w:t>M</w:t>
            </w:r>
            <w:r w:rsidR="00924A52">
              <w:rPr>
                <w:rFonts w:ascii="Arial" w:hAnsi="Arial" w:cs="Arial"/>
                <w:sz w:val="24"/>
                <w:szCs w:val="24"/>
              </w:rPr>
              <w:t xml:space="preserve">inistry intervention. Unfortunately, other key messages from that same report were not brought forward. </w:t>
            </w:r>
            <w:r w:rsidR="00153D3D">
              <w:rPr>
                <w:rFonts w:ascii="Arial" w:hAnsi="Arial" w:cs="Arial"/>
                <w:sz w:val="24"/>
                <w:szCs w:val="24"/>
              </w:rPr>
              <w:t xml:space="preserve">In particular, </w:t>
            </w:r>
            <w:r w:rsidR="00924A52">
              <w:rPr>
                <w:rFonts w:ascii="Arial" w:hAnsi="Arial" w:cs="Arial"/>
                <w:sz w:val="24"/>
                <w:szCs w:val="24"/>
              </w:rPr>
              <w:t>Ontario’s Auditor General</w:t>
            </w:r>
            <w:r w:rsidR="00971D15">
              <w:rPr>
                <w:rFonts w:ascii="Arial" w:hAnsi="Arial" w:cs="Arial"/>
                <w:sz w:val="24"/>
                <w:szCs w:val="24"/>
              </w:rPr>
              <w:t xml:space="preserve"> also recommended a ‘</w:t>
            </w:r>
            <w:r w:rsidR="00971D15" w:rsidRPr="005765A7">
              <w:rPr>
                <w:rFonts w:ascii="Arial" w:hAnsi="Arial" w:cs="Arial"/>
                <w:i/>
                <w:sz w:val="24"/>
                <w:szCs w:val="24"/>
              </w:rPr>
              <w:t>review of current funding levels to CAs to determine how floodplain mapping can be completed in a timely manner’</w:t>
            </w:r>
            <w:r w:rsidR="00153D3D">
              <w:rPr>
                <w:rFonts w:ascii="Arial" w:hAnsi="Arial" w:cs="Arial"/>
                <w:sz w:val="24"/>
                <w:szCs w:val="24"/>
              </w:rPr>
              <w:t>.</w:t>
            </w:r>
            <w:r w:rsidR="00924A52">
              <w:rPr>
                <w:rFonts w:ascii="Arial" w:hAnsi="Arial" w:cs="Arial"/>
                <w:sz w:val="24"/>
                <w:szCs w:val="24"/>
              </w:rPr>
              <w:t xml:space="preserve"> </w:t>
            </w:r>
          </w:p>
        </w:tc>
      </w:tr>
    </w:tbl>
    <w:p w14:paraId="084E5D93" w14:textId="5B5213A7" w:rsidR="00907611" w:rsidRPr="00BC1FD7" w:rsidRDefault="00907611" w:rsidP="00B649F4">
      <w:pPr>
        <w:spacing w:after="30"/>
        <w:rPr>
          <w:rFonts w:ascii="Arial" w:hAnsi="Arial" w:cs="Arial"/>
          <w:sz w:val="24"/>
          <w:szCs w:val="24"/>
        </w:rPr>
      </w:pPr>
    </w:p>
    <w:sectPr w:rsidR="00907611" w:rsidRPr="00BC1FD7" w:rsidSect="00907611">
      <w:pgSz w:w="12240" w:h="15840"/>
      <w:pgMar w:top="1247" w:right="1247" w:bottom="1247" w:left="124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7CD14" w16cid:durableId="207BC750"/>
  <w16cid:commentId w16cid:paraId="11825DD8" w16cid:durableId="207BC5EC"/>
  <w16cid:commentId w16cid:paraId="5156F2B2" w16cid:durableId="207BC467"/>
  <w16cid:commentId w16cid:paraId="0FA97E98" w16cid:durableId="207BC609"/>
  <w16cid:commentId w16cid:paraId="746A3E38" w16cid:durableId="207BC6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0BE6" w14:textId="77777777" w:rsidR="00D276BB" w:rsidRDefault="00D276BB" w:rsidP="00D276BB">
      <w:pPr>
        <w:spacing w:after="0" w:line="240" w:lineRule="auto"/>
      </w:pPr>
      <w:r>
        <w:separator/>
      </w:r>
    </w:p>
  </w:endnote>
  <w:endnote w:type="continuationSeparator" w:id="0">
    <w:p w14:paraId="2E70C532" w14:textId="77777777" w:rsidR="00D276BB" w:rsidRDefault="00D276BB" w:rsidP="00D2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0000000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1C51" w14:textId="77777777" w:rsidR="00D276BB" w:rsidRDefault="00D276BB" w:rsidP="00D276BB">
      <w:pPr>
        <w:spacing w:after="0" w:line="240" w:lineRule="auto"/>
      </w:pPr>
      <w:r>
        <w:separator/>
      </w:r>
    </w:p>
  </w:footnote>
  <w:footnote w:type="continuationSeparator" w:id="0">
    <w:p w14:paraId="1DE564BC" w14:textId="77777777" w:rsidR="00D276BB" w:rsidRDefault="00D276BB" w:rsidP="00D27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C4B"/>
    <w:multiLevelType w:val="hybridMultilevel"/>
    <w:tmpl w:val="7D4EAA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D80776"/>
    <w:multiLevelType w:val="hybridMultilevel"/>
    <w:tmpl w:val="CBE80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556D"/>
    <w:multiLevelType w:val="hybridMultilevel"/>
    <w:tmpl w:val="DDDA86BE"/>
    <w:lvl w:ilvl="0" w:tplc="0DFAAFD8">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363B4"/>
    <w:multiLevelType w:val="hybridMultilevel"/>
    <w:tmpl w:val="FABA44B8"/>
    <w:lvl w:ilvl="0" w:tplc="0DFAAFD8">
      <w:start w:val="1"/>
      <w:numFmt w:val="decimal"/>
      <w:lvlText w:val="%1."/>
      <w:lvlJc w:val="left"/>
      <w:pPr>
        <w:ind w:left="644" w:hanging="360"/>
      </w:pPr>
      <w:rPr>
        <w:rFonts w:hint="default"/>
      </w:rPr>
    </w:lvl>
    <w:lvl w:ilvl="1" w:tplc="0DFAAFD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8C1D4F"/>
    <w:multiLevelType w:val="hybridMultilevel"/>
    <w:tmpl w:val="248086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F8A23A3"/>
    <w:multiLevelType w:val="hybridMultilevel"/>
    <w:tmpl w:val="D4AC51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696964"/>
    <w:multiLevelType w:val="hybridMultilevel"/>
    <w:tmpl w:val="DAA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A670D"/>
    <w:multiLevelType w:val="hybridMultilevel"/>
    <w:tmpl w:val="46940FA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573940"/>
    <w:multiLevelType w:val="hybridMultilevel"/>
    <w:tmpl w:val="46CED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81D0C"/>
    <w:multiLevelType w:val="hybridMultilevel"/>
    <w:tmpl w:val="2F5E840C"/>
    <w:lvl w:ilvl="0" w:tplc="379266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55CA0"/>
    <w:multiLevelType w:val="hybridMultilevel"/>
    <w:tmpl w:val="440CE89A"/>
    <w:lvl w:ilvl="0" w:tplc="379266B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60FE5"/>
    <w:multiLevelType w:val="hybridMultilevel"/>
    <w:tmpl w:val="10561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AB6F0A"/>
    <w:multiLevelType w:val="hybridMultilevel"/>
    <w:tmpl w:val="FF089280"/>
    <w:lvl w:ilvl="0" w:tplc="379266BE">
      <w:numFmt w:val="bullet"/>
      <w:lvlText w:val="-"/>
      <w:lvlJc w:val="left"/>
      <w:pPr>
        <w:ind w:left="1080" w:hanging="360"/>
      </w:pPr>
      <w:rPr>
        <w:rFonts w:ascii="Calibri" w:eastAsiaTheme="minorHAnsi" w:hAnsi="Calibri" w:cstheme="minorBidi" w:hint="default"/>
      </w:rPr>
    </w:lvl>
    <w:lvl w:ilvl="1" w:tplc="10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1A6AA9"/>
    <w:multiLevelType w:val="hybridMultilevel"/>
    <w:tmpl w:val="4322F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B5701E"/>
    <w:multiLevelType w:val="hybridMultilevel"/>
    <w:tmpl w:val="D89A13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1045F"/>
    <w:multiLevelType w:val="hybridMultilevel"/>
    <w:tmpl w:val="9A4A761A"/>
    <w:lvl w:ilvl="0" w:tplc="40B0101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E6753"/>
    <w:multiLevelType w:val="hybridMultilevel"/>
    <w:tmpl w:val="63F8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12"/>
  </w:num>
  <w:num w:numId="5">
    <w:abstractNumId w:val="15"/>
  </w:num>
  <w:num w:numId="6">
    <w:abstractNumId w:val="16"/>
  </w:num>
  <w:num w:numId="7">
    <w:abstractNumId w:val="9"/>
  </w:num>
  <w:num w:numId="8">
    <w:abstractNumId w:val="10"/>
  </w:num>
  <w:num w:numId="9">
    <w:abstractNumId w:val="6"/>
  </w:num>
  <w:num w:numId="10">
    <w:abstractNumId w:val="2"/>
  </w:num>
  <w:num w:numId="11">
    <w:abstractNumId w:val="3"/>
  </w:num>
  <w:num w:numId="12">
    <w:abstractNumId w:val="4"/>
  </w:num>
  <w:num w:numId="13">
    <w:abstractNumId w:val="11"/>
  </w:num>
  <w:num w:numId="14">
    <w:abstractNumId w:val="5"/>
  </w:num>
  <w:num w:numId="15">
    <w:abstractNumId w:val="7"/>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B4"/>
    <w:rsid w:val="000143C7"/>
    <w:rsid w:val="000940C0"/>
    <w:rsid w:val="000A1C1D"/>
    <w:rsid w:val="000D79F0"/>
    <w:rsid w:val="00147063"/>
    <w:rsid w:val="00153D3D"/>
    <w:rsid w:val="001C6045"/>
    <w:rsid w:val="001D1E32"/>
    <w:rsid w:val="001D39D9"/>
    <w:rsid w:val="001D5C14"/>
    <w:rsid w:val="001E77C1"/>
    <w:rsid w:val="001F1B0D"/>
    <w:rsid w:val="001F6B9A"/>
    <w:rsid w:val="00222712"/>
    <w:rsid w:val="002606D4"/>
    <w:rsid w:val="002702C6"/>
    <w:rsid w:val="00282CB2"/>
    <w:rsid w:val="0029379A"/>
    <w:rsid w:val="002A6ECC"/>
    <w:rsid w:val="002B3DEB"/>
    <w:rsid w:val="00300334"/>
    <w:rsid w:val="003261EF"/>
    <w:rsid w:val="0036422C"/>
    <w:rsid w:val="003770DF"/>
    <w:rsid w:val="00383ABC"/>
    <w:rsid w:val="003B0509"/>
    <w:rsid w:val="003C336F"/>
    <w:rsid w:val="004079B0"/>
    <w:rsid w:val="00417C02"/>
    <w:rsid w:val="00435FA2"/>
    <w:rsid w:val="0044004F"/>
    <w:rsid w:val="00444729"/>
    <w:rsid w:val="004B4C9E"/>
    <w:rsid w:val="00536D8C"/>
    <w:rsid w:val="00545FBF"/>
    <w:rsid w:val="00556363"/>
    <w:rsid w:val="00560745"/>
    <w:rsid w:val="005765A7"/>
    <w:rsid w:val="00591619"/>
    <w:rsid w:val="005D0579"/>
    <w:rsid w:val="005F0531"/>
    <w:rsid w:val="00672AA5"/>
    <w:rsid w:val="006764B8"/>
    <w:rsid w:val="00686885"/>
    <w:rsid w:val="00687C1F"/>
    <w:rsid w:val="006F6896"/>
    <w:rsid w:val="0071650D"/>
    <w:rsid w:val="007614DC"/>
    <w:rsid w:val="00782B33"/>
    <w:rsid w:val="007A576B"/>
    <w:rsid w:val="007C6DAE"/>
    <w:rsid w:val="007E589F"/>
    <w:rsid w:val="008159D2"/>
    <w:rsid w:val="00822D55"/>
    <w:rsid w:val="00844080"/>
    <w:rsid w:val="008675DA"/>
    <w:rsid w:val="008A7C47"/>
    <w:rsid w:val="008B0B2A"/>
    <w:rsid w:val="008B177F"/>
    <w:rsid w:val="008D2A7B"/>
    <w:rsid w:val="008E647E"/>
    <w:rsid w:val="00907611"/>
    <w:rsid w:val="00924A52"/>
    <w:rsid w:val="00971D15"/>
    <w:rsid w:val="0097683D"/>
    <w:rsid w:val="00981184"/>
    <w:rsid w:val="009925BE"/>
    <w:rsid w:val="009B6A67"/>
    <w:rsid w:val="009C78DF"/>
    <w:rsid w:val="00A02215"/>
    <w:rsid w:val="00A03ABB"/>
    <w:rsid w:val="00A20E51"/>
    <w:rsid w:val="00A53D43"/>
    <w:rsid w:val="00A54EFD"/>
    <w:rsid w:val="00A964B4"/>
    <w:rsid w:val="00AA5BA1"/>
    <w:rsid w:val="00AF0492"/>
    <w:rsid w:val="00B32137"/>
    <w:rsid w:val="00B436E7"/>
    <w:rsid w:val="00B649F4"/>
    <w:rsid w:val="00B748A5"/>
    <w:rsid w:val="00B74D05"/>
    <w:rsid w:val="00BC1FD7"/>
    <w:rsid w:val="00C467D2"/>
    <w:rsid w:val="00C54652"/>
    <w:rsid w:val="00C57F74"/>
    <w:rsid w:val="00C74444"/>
    <w:rsid w:val="00C757D7"/>
    <w:rsid w:val="00C776AC"/>
    <w:rsid w:val="00CF4C0A"/>
    <w:rsid w:val="00D21811"/>
    <w:rsid w:val="00D276BB"/>
    <w:rsid w:val="00D7040B"/>
    <w:rsid w:val="00D74453"/>
    <w:rsid w:val="00D74A17"/>
    <w:rsid w:val="00D84C53"/>
    <w:rsid w:val="00DA5474"/>
    <w:rsid w:val="00DB10E7"/>
    <w:rsid w:val="00DC11BA"/>
    <w:rsid w:val="00DE0A69"/>
    <w:rsid w:val="00E555C8"/>
    <w:rsid w:val="00E71A07"/>
    <w:rsid w:val="00E94E0F"/>
    <w:rsid w:val="00EC0EB8"/>
    <w:rsid w:val="00EE5148"/>
    <w:rsid w:val="00F21D88"/>
    <w:rsid w:val="00F346FF"/>
    <w:rsid w:val="00F52319"/>
    <w:rsid w:val="00F5786E"/>
    <w:rsid w:val="00F74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E16B7"/>
  <w15:docId w15:val="{81089A59-352E-4DD6-8F31-5124D09A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4B4"/>
    <w:rPr>
      <w:rFonts w:ascii="Tahoma" w:hAnsi="Tahoma" w:cs="Tahoma"/>
      <w:sz w:val="16"/>
      <w:szCs w:val="16"/>
    </w:rPr>
  </w:style>
  <w:style w:type="character" w:styleId="Hyperlink">
    <w:name w:val="Hyperlink"/>
    <w:basedOn w:val="DefaultParagraphFont"/>
    <w:uiPriority w:val="99"/>
    <w:unhideWhenUsed/>
    <w:rsid w:val="001E77C1"/>
    <w:rPr>
      <w:color w:val="0000FF" w:themeColor="hyperlink"/>
      <w:u w:val="single"/>
    </w:rPr>
  </w:style>
  <w:style w:type="paragraph" w:styleId="ListParagraph">
    <w:name w:val="List Paragraph"/>
    <w:basedOn w:val="Normal"/>
    <w:uiPriority w:val="34"/>
    <w:qFormat/>
    <w:rsid w:val="00907611"/>
    <w:pPr>
      <w:ind w:left="720"/>
      <w:contextualSpacing/>
    </w:pPr>
    <w:rPr>
      <w:lang w:val="en-US"/>
    </w:rPr>
  </w:style>
  <w:style w:type="character" w:styleId="CommentReference">
    <w:name w:val="annotation reference"/>
    <w:basedOn w:val="DefaultParagraphFont"/>
    <w:uiPriority w:val="99"/>
    <w:semiHidden/>
    <w:unhideWhenUsed/>
    <w:rsid w:val="00907611"/>
    <w:rPr>
      <w:sz w:val="16"/>
      <w:szCs w:val="16"/>
    </w:rPr>
  </w:style>
  <w:style w:type="paragraph" w:styleId="CommentText">
    <w:name w:val="annotation text"/>
    <w:basedOn w:val="Normal"/>
    <w:link w:val="CommentTextChar"/>
    <w:uiPriority w:val="99"/>
    <w:semiHidden/>
    <w:unhideWhenUsed/>
    <w:rsid w:val="0090761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07611"/>
    <w:rPr>
      <w:sz w:val="20"/>
      <w:szCs w:val="20"/>
      <w:lang w:val="en-US"/>
    </w:rPr>
  </w:style>
  <w:style w:type="paragraph" w:styleId="CommentSubject">
    <w:name w:val="annotation subject"/>
    <w:basedOn w:val="CommentText"/>
    <w:next w:val="CommentText"/>
    <w:link w:val="CommentSubjectChar"/>
    <w:uiPriority w:val="99"/>
    <w:semiHidden/>
    <w:unhideWhenUsed/>
    <w:rsid w:val="00907611"/>
    <w:rPr>
      <w:b/>
      <w:bCs/>
    </w:rPr>
  </w:style>
  <w:style w:type="character" w:customStyle="1" w:styleId="CommentSubjectChar">
    <w:name w:val="Comment Subject Char"/>
    <w:basedOn w:val="CommentTextChar"/>
    <w:link w:val="CommentSubject"/>
    <w:uiPriority w:val="99"/>
    <w:semiHidden/>
    <w:rsid w:val="00907611"/>
    <w:rPr>
      <w:b/>
      <w:bCs/>
      <w:sz w:val="20"/>
      <w:szCs w:val="20"/>
      <w:lang w:val="en-US"/>
    </w:rPr>
  </w:style>
  <w:style w:type="paragraph" w:styleId="Header">
    <w:name w:val="header"/>
    <w:basedOn w:val="Normal"/>
    <w:link w:val="HeaderChar"/>
    <w:uiPriority w:val="99"/>
    <w:unhideWhenUsed/>
    <w:rsid w:val="0090761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07611"/>
    <w:rPr>
      <w:lang w:val="en-US"/>
    </w:rPr>
  </w:style>
  <w:style w:type="paragraph" w:styleId="Footer">
    <w:name w:val="footer"/>
    <w:basedOn w:val="Normal"/>
    <w:link w:val="FooterChar"/>
    <w:uiPriority w:val="99"/>
    <w:unhideWhenUsed/>
    <w:rsid w:val="00907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07611"/>
    <w:rPr>
      <w:lang w:val="en-US"/>
    </w:rPr>
  </w:style>
  <w:style w:type="character" w:styleId="PlaceholderText">
    <w:name w:val="Placeholder Text"/>
    <w:basedOn w:val="DefaultParagraphFont"/>
    <w:uiPriority w:val="99"/>
    <w:semiHidden/>
    <w:rsid w:val="002A6ECC"/>
    <w:rPr>
      <w:color w:val="808080"/>
    </w:rPr>
  </w:style>
  <w:style w:type="paragraph" w:styleId="NoSpacing">
    <w:name w:val="No Spacing"/>
    <w:uiPriority w:val="1"/>
    <w:qFormat/>
    <w:rsid w:val="003770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2383">
      <w:bodyDiv w:val="1"/>
      <w:marLeft w:val="0"/>
      <w:marRight w:val="0"/>
      <w:marTop w:val="0"/>
      <w:marBottom w:val="0"/>
      <w:divBdr>
        <w:top w:val="none" w:sz="0" w:space="0" w:color="auto"/>
        <w:left w:val="none" w:sz="0" w:space="0" w:color="auto"/>
        <w:bottom w:val="none" w:sz="0" w:space="0" w:color="auto"/>
        <w:right w:val="none" w:sz="0" w:space="0" w:color="auto"/>
      </w:divBdr>
    </w:div>
    <w:div w:id="8277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clair@scrca.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D28C-89C9-47AC-AAC9-8AF687D0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McDougall</dc:creator>
  <cp:lastModifiedBy>Brian McDougall</cp:lastModifiedBy>
  <cp:revision>3</cp:revision>
  <cp:lastPrinted>2015-09-15T12:51:00Z</cp:lastPrinted>
  <dcterms:created xsi:type="dcterms:W3CDTF">2019-05-18T17:22:00Z</dcterms:created>
  <dcterms:modified xsi:type="dcterms:W3CDTF">2019-05-18T17:36:00Z</dcterms:modified>
</cp:coreProperties>
</file>