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5492" w:rsidRDefault="006C6779" w:rsidP="00F43DC8">
      <w:pPr>
        <w:rPr>
          <w:rFonts w:ascii="Tahoma" w:eastAsia="Tahoma" w:hAnsi="Tahoma" w:cs="Tahoma"/>
        </w:rPr>
      </w:pPr>
      <w:r>
        <w:rPr>
          <w:rFonts w:ascii="Tahoma" w:eastAsia="Tahoma" w:hAnsi="Tahoma" w:cs="Tahoma"/>
        </w:rPr>
        <w:t>Ministry of Environment, Parks, and Conservation</w:t>
      </w:r>
    </w:p>
    <w:p w:rsidR="004E5492" w:rsidRDefault="006C6779" w:rsidP="00F43DC8">
      <w:pPr>
        <w:rPr>
          <w:rFonts w:ascii="Tahoma" w:eastAsia="Tahoma" w:hAnsi="Tahoma" w:cs="Tahoma"/>
        </w:rPr>
      </w:pPr>
      <w:r>
        <w:rPr>
          <w:rFonts w:ascii="Tahoma" w:eastAsia="Tahoma" w:hAnsi="Tahoma" w:cs="Tahoma"/>
        </w:rPr>
        <w:t xml:space="preserve">Submission of Clorox Canada </w:t>
      </w:r>
    </w:p>
    <w:p w:rsidR="004E5492" w:rsidRDefault="006C6779" w:rsidP="00F43DC8">
      <w:pPr>
        <w:rPr>
          <w:rFonts w:ascii="Tahoma" w:eastAsia="Tahoma" w:hAnsi="Tahoma" w:cs="Tahoma"/>
        </w:rPr>
      </w:pPr>
      <w:r>
        <w:rPr>
          <w:rFonts w:ascii="Tahoma" w:eastAsia="Tahoma" w:hAnsi="Tahoma" w:cs="Tahoma"/>
        </w:rPr>
        <w:t xml:space="preserve">Regulation Resource Recovery and Circular Economy Act </w:t>
      </w:r>
    </w:p>
    <w:p w:rsidR="004E5492" w:rsidRDefault="006C6779" w:rsidP="00F43DC8">
      <w:pPr>
        <w:rPr>
          <w:rFonts w:ascii="Tahoma" w:eastAsia="Tahoma" w:hAnsi="Tahoma" w:cs="Tahoma"/>
        </w:rPr>
      </w:pPr>
      <w:r>
        <w:rPr>
          <w:rFonts w:ascii="Tahoma" w:eastAsia="Tahoma" w:hAnsi="Tahoma" w:cs="Tahoma"/>
        </w:rPr>
        <w:t xml:space="preserve">With respect to Blue Box </w:t>
      </w:r>
    </w:p>
    <w:p w:rsidR="004E5492" w:rsidRDefault="006C6779" w:rsidP="00F43DC8">
      <w:pPr>
        <w:rPr>
          <w:rFonts w:ascii="Tahoma" w:eastAsia="Tahoma" w:hAnsi="Tahoma" w:cs="Tahoma"/>
        </w:rPr>
      </w:pPr>
      <w:r>
        <w:rPr>
          <w:rFonts w:ascii="Tahoma" w:eastAsia="Tahoma" w:hAnsi="Tahoma" w:cs="Tahoma"/>
        </w:rPr>
        <w:t>December 3, 2020</w:t>
      </w:r>
    </w:p>
    <w:p w:rsidR="004E5492" w:rsidRDefault="004E5492">
      <w:pPr>
        <w:spacing w:after="200" w:line="276" w:lineRule="auto"/>
        <w:rPr>
          <w:rFonts w:ascii="Tahoma" w:eastAsia="Tahoma" w:hAnsi="Tahoma" w:cs="Tahoma"/>
        </w:rPr>
      </w:pPr>
    </w:p>
    <w:p w:rsidR="004E5492" w:rsidRDefault="006C6779">
      <w:pPr>
        <w:spacing w:after="200" w:line="276" w:lineRule="auto"/>
        <w:rPr>
          <w:rFonts w:ascii="Tahoma" w:eastAsia="Tahoma" w:hAnsi="Tahoma" w:cs="Tahoma"/>
        </w:rPr>
      </w:pPr>
      <w:r>
        <w:rPr>
          <w:rFonts w:ascii="Tahoma" w:eastAsia="Tahoma" w:hAnsi="Tahoma" w:cs="Tahoma"/>
        </w:rPr>
        <w:t>Thank you for the opportunity to present our comments on the proposed change to Blue Box material management and the development of an EPR system for Ontario.</w:t>
      </w:r>
    </w:p>
    <w:p w:rsidR="00F43DC8" w:rsidRDefault="00F43DC8" w:rsidP="00F43DC8">
      <w:pPr>
        <w:rPr>
          <w:rFonts w:ascii="Tahoma" w:eastAsia="Tahoma" w:hAnsi="Tahoma" w:cs="Tahoma"/>
        </w:rPr>
      </w:pPr>
      <w:r w:rsidRPr="00F43DC8">
        <w:rPr>
          <w:rFonts w:ascii="Tahoma" w:eastAsia="Tahoma" w:hAnsi="Tahoma" w:cs="Tahoma"/>
        </w:rPr>
        <w:t>The Clorox Company (NYSE: CLX) is a leading multi-National manufacturer and marketer of consumer and professional products with approximately 8,800 employees worldwide and fiscal year 2019 sales of $6.2 billion. Clorox markets some of the most trusted and recognized consumer brand names, including its namesake bleach and cleaning products: Pine-Sol</w:t>
      </w:r>
      <w:r w:rsidRPr="00F43DC8">
        <w:rPr>
          <w:rFonts w:ascii="MS Gothic" w:eastAsia="MS Gothic" w:hAnsi="MS Gothic" w:cs="MS Gothic" w:hint="eastAsia"/>
        </w:rPr>
        <w:t>Ⓡ</w:t>
      </w:r>
      <w:r w:rsidRPr="00F43DC8">
        <w:rPr>
          <w:rFonts w:ascii="Tahoma" w:eastAsia="Tahoma" w:hAnsi="Tahoma" w:cs="Tahoma"/>
        </w:rPr>
        <w:t xml:space="preserve"> cleaners; Glad</w:t>
      </w:r>
      <w:r w:rsidRPr="00F43DC8">
        <w:rPr>
          <w:rFonts w:ascii="MS Gothic" w:eastAsia="MS Gothic" w:hAnsi="MS Gothic" w:cs="MS Gothic" w:hint="eastAsia"/>
        </w:rPr>
        <w:t>Ⓡ</w:t>
      </w:r>
      <w:r w:rsidRPr="00F43DC8">
        <w:rPr>
          <w:rFonts w:ascii="Tahoma" w:eastAsia="Tahoma" w:hAnsi="Tahoma" w:cs="Tahoma"/>
        </w:rPr>
        <w:t xml:space="preserve"> bags, wraps and containers; Brita</w:t>
      </w:r>
      <w:r w:rsidRPr="00F43DC8">
        <w:rPr>
          <w:rFonts w:ascii="MS Gothic" w:eastAsia="MS Gothic" w:hAnsi="MS Gothic" w:cs="MS Gothic" w:hint="eastAsia"/>
        </w:rPr>
        <w:t>Ⓡ</w:t>
      </w:r>
      <w:r w:rsidRPr="00F43DC8">
        <w:rPr>
          <w:rFonts w:ascii="Tahoma" w:eastAsia="Tahoma" w:hAnsi="Tahoma" w:cs="Tahoma"/>
        </w:rPr>
        <w:t xml:space="preserve"> water-filtration products; Burt’s Bees</w:t>
      </w:r>
      <w:r w:rsidRPr="00F43DC8">
        <w:rPr>
          <w:rFonts w:ascii="MS Gothic" w:eastAsia="MS Gothic" w:hAnsi="MS Gothic" w:cs="MS Gothic" w:hint="eastAsia"/>
        </w:rPr>
        <w:t>Ⓡ</w:t>
      </w:r>
      <w:r w:rsidRPr="00F43DC8">
        <w:rPr>
          <w:rFonts w:ascii="Tahoma" w:eastAsia="Tahoma" w:hAnsi="Tahoma" w:cs="Tahoma"/>
        </w:rPr>
        <w:t xml:space="preserve"> natural personal care products; </w:t>
      </w:r>
      <w:proofErr w:type="spellStart"/>
      <w:r w:rsidRPr="00F43DC8">
        <w:rPr>
          <w:rFonts w:ascii="Tahoma" w:eastAsia="Tahoma" w:hAnsi="Tahoma" w:cs="Tahoma"/>
        </w:rPr>
        <w:t>RenewLife</w:t>
      </w:r>
      <w:proofErr w:type="spellEnd"/>
      <w:r w:rsidRPr="00F43DC8">
        <w:rPr>
          <w:rFonts w:ascii="MS Gothic" w:eastAsia="MS Gothic" w:hAnsi="MS Gothic" w:cs="MS Gothic" w:hint="eastAsia"/>
        </w:rPr>
        <w:t>Ⓡ</w:t>
      </w:r>
      <w:r w:rsidRPr="00F43DC8">
        <w:rPr>
          <w:rFonts w:ascii="Tahoma" w:eastAsia="Tahoma" w:hAnsi="Tahoma" w:cs="Tahoma"/>
        </w:rPr>
        <w:t xml:space="preserve"> digestive health products.  The company also markets brands for professional services, including Clorox Healthcare</w:t>
      </w:r>
      <w:r w:rsidRPr="00F43DC8">
        <w:rPr>
          <w:rFonts w:ascii="MS Gothic" w:eastAsia="MS Gothic" w:hAnsi="MS Gothic" w:cs="MS Gothic" w:hint="eastAsia"/>
        </w:rPr>
        <w:t>Ⓡ</w:t>
      </w:r>
      <w:r w:rsidRPr="00F43DC8">
        <w:rPr>
          <w:rFonts w:ascii="Tahoma" w:eastAsia="Tahoma" w:hAnsi="Tahoma" w:cs="Tahoma"/>
        </w:rPr>
        <w:t xml:space="preserve"> and Clorox Commercial Solutions</w:t>
      </w:r>
      <w:r w:rsidRPr="00F43DC8">
        <w:rPr>
          <w:rFonts w:ascii="MS Gothic" w:eastAsia="MS Gothic" w:hAnsi="MS Gothic" w:cs="MS Gothic" w:hint="eastAsia"/>
        </w:rPr>
        <w:t>Ⓡ</w:t>
      </w:r>
      <w:r>
        <w:rPr>
          <w:rFonts w:ascii="Tahoma" w:eastAsia="Tahoma" w:hAnsi="Tahoma" w:cs="Tahoma"/>
        </w:rPr>
        <w:t xml:space="preserve">. </w:t>
      </w:r>
    </w:p>
    <w:p w:rsidR="00F43DC8" w:rsidRDefault="00F43DC8" w:rsidP="00F43DC8">
      <w:pPr>
        <w:rPr>
          <w:rFonts w:ascii="Tahoma" w:eastAsia="Tahoma" w:hAnsi="Tahoma" w:cs="Tahoma"/>
        </w:rPr>
      </w:pPr>
    </w:p>
    <w:p w:rsidR="004E5492" w:rsidRDefault="006C6779" w:rsidP="00F43DC8">
      <w:pPr>
        <w:rPr>
          <w:rFonts w:ascii="Tahoma" w:eastAsia="Tahoma" w:hAnsi="Tahoma" w:cs="Tahoma"/>
        </w:rPr>
      </w:pPr>
      <w:r>
        <w:rPr>
          <w:rFonts w:ascii="Tahoma" w:eastAsia="Tahoma" w:hAnsi="Tahoma" w:cs="Tahoma"/>
        </w:rPr>
        <w:t xml:space="preserve">Glad bags including compost bags for kitchen countertop containers are manufactured in Orangeville, Ontario.  Compost bag products are shipped throughout North America.  Brita filters are manufactured in Brampton.  </w:t>
      </w:r>
      <w:r w:rsidR="00F43DC8">
        <w:rPr>
          <w:rFonts w:ascii="Tahoma" w:eastAsia="Tahoma" w:hAnsi="Tahoma" w:cs="Tahoma"/>
        </w:rPr>
        <w:t>Glad plant in Orangeville is a zero waste facility.</w:t>
      </w:r>
    </w:p>
    <w:p w:rsidR="00F43DC8" w:rsidRDefault="00F43DC8" w:rsidP="00F43DC8">
      <w:pPr>
        <w:rPr>
          <w:rFonts w:ascii="Tahoma" w:eastAsia="Tahoma" w:hAnsi="Tahoma" w:cs="Tahoma"/>
        </w:rPr>
      </w:pPr>
    </w:p>
    <w:p w:rsidR="004E5492" w:rsidRDefault="006C6779">
      <w:pPr>
        <w:spacing w:after="200" w:line="276" w:lineRule="auto"/>
        <w:rPr>
          <w:rFonts w:ascii="Tahoma" w:eastAsia="Tahoma" w:hAnsi="Tahoma" w:cs="Tahoma"/>
        </w:rPr>
      </w:pPr>
      <w:r>
        <w:rPr>
          <w:rFonts w:ascii="Tahoma" w:eastAsia="Tahoma" w:hAnsi="Tahoma" w:cs="Tahoma"/>
        </w:rPr>
        <w:t>Clorox is a leader among Fortune 500 companies in sustainable business operations and practices.  We are a signatory to the Ellen McArthur Foundation, and members of the U.S. Plastics Pact.  Further, we have incorporated guiding principles from these initiatives into our Corporate Strategy:</w:t>
      </w:r>
      <w:r w:rsidR="00E1243A">
        <w:rPr>
          <w:rFonts w:ascii="Tahoma" w:eastAsia="Tahoma" w:hAnsi="Tahoma" w:cs="Tahoma"/>
        </w:rPr>
        <w:t xml:space="preserve"> IGNITE</w:t>
      </w:r>
    </w:p>
    <w:p w:rsidR="004E5492" w:rsidRDefault="006C6779">
      <w:pPr>
        <w:numPr>
          <w:ilvl w:val="0"/>
          <w:numId w:val="1"/>
        </w:numPr>
        <w:spacing w:line="276" w:lineRule="auto"/>
      </w:pPr>
      <w:r>
        <w:rPr>
          <w:rFonts w:ascii="Tahoma" w:eastAsia="Tahoma" w:hAnsi="Tahoma" w:cs="Tahoma"/>
        </w:rPr>
        <w:t>50% combined reduction in virgin fibre packaging by 2030</w:t>
      </w:r>
    </w:p>
    <w:p w:rsidR="004E5492" w:rsidRDefault="006C6779">
      <w:pPr>
        <w:numPr>
          <w:ilvl w:val="0"/>
          <w:numId w:val="1"/>
        </w:numPr>
        <w:spacing w:line="276" w:lineRule="auto"/>
      </w:pPr>
      <w:r>
        <w:rPr>
          <w:rFonts w:ascii="Tahoma" w:eastAsia="Tahoma" w:hAnsi="Tahoma" w:cs="Tahoma"/>
        </w:rPr>
        <w:t>100% recyclable, reusable, compostable packaging by 2025</w:t>
      </w:r>
    </w:p>
    <w:p w:rsidR="004E5492" w:rsidRDefault="006C6779">
      <w:pPr>
        <w:numPr>
          <w:ilvl w:val="0"/>
          <w:numId w:val="1"/>
        </w:numPr>
        <w:spacing w:line="276" w:lineRule="auto"/>
      </w:pPr>
      <w:r>
        <w:rPr>
          <w:rFonts w:ascii="Tahoma" w:eastAsia="Tahoma" w:hAnsi="Tahoma" w:cs="Tahoma"/>
        </w:rPr>
        <w:t>100% global facilities zero waste by 2030, factories by 2025</w:t>
      </w:r>
    </w:p>
    <w:p w:rsidR="004E5492" w:rsidRDefault="004E5492">
      <w:pPr>
        <w:spacing w:line="276" w:lineRule="auto"/>
        <w:ind w:left="1080"/>
        <w:rPr>
          <w:rFonts w:ascii="Tahoma" w:eastAsia="Tahoma" w:hAnsi="Tahoma" w:cs="Tahoma"/>
        </w:rPr>
      </w:pPr>
    </w:p>
    <w:p w:rsidR="004E5492" w:rsidRDefault="006C6779">
      <w:pPr>
        <w:spacing w:after="200" w:line="276" w:lineRule="auto"/>
        <w:rPr>
          <w:rFonts w:ascii="Tahoma" w:eastAsia="Tahoma" w:hAnsi="Tahoma" w:cs="Tahoma"/>
        </w:rPr>
      </w:pPr>
      <w:r>
        <w:rPr>
          <w:rFonts w:ascii="Tahoma" w:eastAsia="Tahoma" w:hAnsi="Tahoma" w:cs="Tahoma"/>
        </w:rPr>
        <w:t xml:space="preserve">We are committed to stewardship programs and have actively participated in consultation </w:t>
      </w:r>
      <w:r w:rsidR="00B458B1">
        <w:rPr>
          <w:rFonts w:ascii="Tahoma" w:eastAsia="Tahoma" w:hAnsi="Tahoma" w:cs="Tahoma"/>
        </w:rPr>
        <w:t>for development of this regulation and a contributor to the cost sharing model since its inception in 2002.</w:t>
      </w:r>
    </w:p>
    <w:p w:rsidR="004E5492" w:rsidRDefault="006C6779">
      <w:pPr>
        <w:spacing w:after="200" w:line="276" w:lineRule="auto"/>
        <w:rPr>
          <w:rFonts w:ascii="Tahoma" w:eastAsia="Tahoma" w:hAnsi="Tahoma" w:cs="Tahoma"/>
        </w:rPr>
      </w:pPr>
      <w:r>
        <w:rPr>
          <w:rFonts w:ascii="Tahoma" w:eastAsia="Tahoma" w:hAnsi="Tahoma" w:cs="Tahoma"/>
        </w:rPr>
        <w:t>We are disappointed in the released draft as the good faith agreement by stewards and municipalities post 2019 mediation is not at all reflected in the Regulation document.</w:t>
      </w:r>
    </w:p>
    <w:p w:rsidR="00E1243A" w:rsidRDefault="006C6779">
      <w:pPr>
        <w:spacing w:after="200" w:line="276" w:lineRule="auto"/>
        <w:rPr>
          <w:rFonts w:ascii="Tahoma" w:eastAsia="Tahoma" w:hAnsi="Tahoma" w:cs="Tahoma"/>
        </w:rPr>
      </w:pPr>
      <w:r>
        <w:rPr>
          <w:rFonts w:ascii="Tahoma" w:eastAsia="Tahoma" w:hAnsi="Tahoma" w:cs="Tahoma"/>
        </w:rPr>
        <w:t>Our concerns are outlined her</w:t>
      </w:r>
      <w:r w:rsidR="005D6053">
        <w:rPr>
          <w:rFonts w:ascii="Tahoma" w:eastAsia="Tahoma" w:hAnsi="Tahoma" w:cs="Tahoma"/>
        </w:rPr>
        <w:t>e</w:t>
      </w:r>
    </w:p>
    <w:p w:rsidR="004E5492" w:rsidRDefault="006C6779">
      <w:pPr>
        <w:spacing w:after="200" w:line="276" w:lineRule="auto"/>
        <w:rPr>
          <w:rFonts w:ascii="Tahoma" w:eastAsia="Tahoma" w:hAnsi="Tahoma" w:cs="Tahoma"/>
        </w:rPr>
      </w:pPr>
      <w:r>
        <w:rPr>
          <w:rFonts w:ascii="Tahoma" w:eastAsia="Tahoma" w:hAnsi="Tahoma" w:cs="Tahoma"/>
          <w:b/>
        </w:rPr>
        <w:lastRenderedPageBreak/>
        <w:t>Packaging-Like Products</w:t>
      </w:r>
    </w:p>
    <w:p w:rsidR="004E5492" w:rsidRDefault="006C6779">
      <w:pPr>
        <w:spacing w:after="200" w:line="276" w:lineRule="auto"/>
        <w:rPr>
          <w:rFonts w:ascii="Tahoma" w:eastAsia="Tahoma" w:hAnsi="Tahoma" w:cs="Tahoma"/>
        </w:rPr>
      </w:pPr>
      <w:r>
        <w:rPr>
          <w:rFonts w:ascii="Tahoma" w:eastAsia="Tahoma" w:hAnsi="Tahoma" w:cs="Tahoma"/>
        </w:rPr>
        <w:t xml:space="preserve">The essence of successful EPR transition, anywhere in the world, was as a packaging management/ diversion program for consumer goods. </w:t>
      </w:r>
    </w:p>
    <w:p w:rsidR="004E5492" w:rsidRDefault="006C6779">
      <w:pPr>
        <w:spacing w:after="200" w:line="276" w:lineRule="auto"/>
        <w:rPr>
          <w:rFonts w:ascii="Tahoma" w:eastAsia="Tahoma" w:hAnsi="Tahoma" w:cs="Tahoma"/>
        </w:rPr>
      </w:pPr>
      <w:r>
        <w:rPr>
          <w:rFonts w:ascii="Tahoma" w:eastAsia="Tahoma" w:hAnsi="Tahoma" w:cs="Tahoma"/>
        </w:rPr>
        <w:t>From the beginning of the consultation process in Ontario, EPR extension was a refinement of the Blue Box program policy; mainly absorbing the cost of municipal contributions of the current Blue Box system then assuming the control and operation of Blue Box across Ontario.</w:t>
      </w:r>
    </w:p>
    <w:p w:rsidR="004E5492" w:rsidRDefault="006C6779">
      <w:pPr>
        <w:spacing w:after="200" w:line="276" w:lineRule="auto"/>
        <w:rPr>
          <w:rFonts w:ascii="Tahoma" w:eastAsia="Tahoma" w:hAnsi="Tahoma" w:cs="Tahoma"/>
        </w:rPr>
      </w:pPr>
      <w:r>
        <w:rPr>
          <w:rFonts w:ascii="Tahoma" w:eastAsia="Tahoma" w:hAnsi="Tahoma" w:cs="Tahoma"/>
        </w:rPr>
        <w:t>One of the most egregious overreaches within this regulation is the designation for fees and mandatory inclusion of “p</w:t>
      </w:r>
      <w:r w:rsidR="00D86383">
        <w:rPr>
          <w:rFonts w:ascii="Tahoma" w:eastAsia="Tahoma" w:hAnsi="Tahoma" w:cs="Tahoma"/>
        </w:rPr>
        <w:t>ackaging like” material in the Blue B</w:t>
      </w:r>
      <w:r>
        <w:rPr>
          <w:rFonts w:ascii="Tahoma" w:eastAsia="Tahoma" w:hAnsi="Tahoma" w:cs="Tahoma"/>
        </w:rPr>
        <w:t xml:space="preserve">ox.  </w:t>
      </w:r>
    </w:p>
    <w:p w:rsidR="004E5492" w:rsidRDefault="006C6779">
      <w:pPr>
        <w:spacing w:after="200" w:line="276" w:lineRule="auto"/>
        <w:rPr>
          <w:rFonts w:ascii="Tahoma" w:eastAsia="Tahoma" w:hAnsi="Tahoma" w:cs="Tahoma"/>
        </w:rPr>
      </w:pPr>
      <w:r>
        <w:rPr>
          <w:rFonts w:ascii="Tahoma" w:eastAsia="Tahoma" w:hAnsi="Tahoma" w:cs="Tahoma"/>
        </w:rPr>
        <w:t>Currently, the definition in the draft Regulation for such products includes bags, and wraps of our Glad food protection line, both manufactured in Orangeville.</w:t>
      </w:r>
    </w:p>
    <w:p w:rsidR="002F3B3F" w:rsidRDefault="002F3B3F">
      <w:pPr>
        <w:spacing w:after="200" w:line="276" w:lineRule="auto"/>
      </w:pPr>
      <w:r w:rsidRPr="002F3B3F">
        <w:rPr>
          <w:rFonts w:ascii="Tahoma" w:eastAsia="Tahoma" w:hAnsi="Tahoma" w:cs="Tahoma"/>
        </w:rPr>
        <w:t>Food protection film and bags are products, not packaging.  To create this category departs from the objectives of EPR as a packaging management system through recycling</w:t>
      </w:r>
      <w:r>
        <w:rPr>
          <w:rFonts w:ascii="Tahoma" w:eastAsia="Tahoma" w:hAnsi="Tahoma" w:cs="Tahoma"/>
        </w:rPr>
        <w:t>.</w:t>
      </w:r>
      <w:r w:rsidR="004F3E2F">
        <w:rPr>
          <w:rFonts w:ascii="Tahoma" w:eastAsia="Tahoma" w:hAnsi="Tahoma" w:cs="Tahoma"/>
        </w:rPr>
        <w:t xml:space="preserve"> </w:t>
      </w:r>
      <w:r w:rsidR="006C6779">
        <w:rPr>
          <w:rFonts w:ascii="Tahoma" w:eastAsia="Tahoma" w:hAnsi="Tahoma" w:cs="Tahoma"/>
        </w:rPr>
        <w:t xml:space="preserve">Throughout </w:t>
      </w:r>
      <w:r w:rsidR="00A666E5">
        <w:rPr>
          <w:rFonts w:ascii="Tahoma" w:eastAsia="Tahoma" w:hAnsi="Tahoma" w:cs="Tahoma"/>
        </w:rPr>
        <w:t>consultation,</w:t>
      </w:r>
      <w:r w:rsidR="006C6779">
        <w:rPr>
          <w:rFonts w:ascii="Tahoma" w:eastAsia="Tahoma" w:hAnsi="Tahoma" w:cs="Tahoma"/>
        </w:rPr>
        <w:t xml:space="preserve"> it was conveyed to Clorox that single use type of these items needed to be better managed within the waste stream.  Collecting these film products and applying fees will create the incentive for manufacturers like ourselves to change the product through plastic reduction or </w:t>
      </w:r>
      <w:r w:rsidR="00E1243A">
        <w:rPr>
          <w:rFonts w:ascii="Tahoma" w:eastAsia="Tahoma" w:hAnsi="Tahoma" w:cs="Tahoma"/>
        </w:rPr>
        <w:t>composability</w:t>
      </w:r>
      <w:r w:rsidR="006C6779">
        <w:rPr>
          <w:rFonts w:ascii="Tahoma" w:eastAsia="Tahoma" w:hAnsi="Tahoma" w:cs="Tahoma"/>
        </w:rPr>
        <w:t>.</w:t>
      </w:r>
      <w:r w:rsidRPr="002F3B3F">
        <w:t xml:space="preserve"> </w:t>
      </w:r>
    </w:p>
    <w:p w:rsidR="00251DCD" w:rsidRDefault="00251DCD">
      <w:pPr>
        <w:spacing w:after="200" w:line="276" w:lineRule="auto"/>
        <w:rPr>
          <w:rFonts w:ascii="Tahoma" w:eastAsia="Tahoma" w:hAnsi="Tahoma" w:cs="Tahoma"/>
        </w:rPr>
      </w:pPr>
      <w:r>
        <w:rPr>
          <w:rFonts w:ascii="Tahoma" w:eastAsia="Tahoma" w:hAnsi="Tahoma" w:cs="Tahoma"/>
        </w:rPr>
        <w:t>This logic is confusion as the hier</w:t>
      </w:r>
      <w:r w:rsidR="004F3E2F">
        <w:rPr>
          <w:rFonts w:ascii="Tahoma" w:eastAsia="Tahoma" w:hAnsi="Tahoma" w:cs="Tahoma"/>
        </w:rPr>
        <w:t>archy of reduce reuse recycle is</w:t>
      </w:r>
      <w:r>
        <w:rPr>
          <w:rFonts w:ascii="Tahoma" w:eastAsia="Tahoma" w:hAnsi="Tahoma" w:cs="Tahoma"/>
        </w:rPr>
        <w:t xml:space="preserve"> best demonstrated by such food protection products. </w:t>
      </w:r>
    </w:p>
    <w:p w:rsidR="00E25D22" w:rsidRDefault="00E25D22">
      <w:pPr>
        <w:spacing w:after="200" w:line="276" w:lineRule="auto"/>
        <w:rPr>
          <w:rFonts w:ascii="Tahoma" w:eastAsia="Tahoma" w:hAnsi="Tahoma" w:cs="Tahoma"/>
        </w:rPr>
      </w:pPr>
      <w:r w:rsidRPr="00E25D22">
        <w:rPr>
          <w:rFonts w:ascii="Tahoma" w:eastAsia="Tahoma" w:hAnsi="Tahoma" w:cs="Tahoma"/>
        </w:rPr>
        <w:t>These products are used to preserve food for future consumption preventing food from spoiling prematurely preventing waste</w:t>
      </w:r>
      <w:r>
        <w:rPr>
          <w:rFonts w:ascii="Tahoma" w:eastAsia="Tahoma" w:hAnsi="Tahoma" w:cs="Tahoma"/>
        </w:rPr>
        <w:t>.</w:t>
      </w:r>
      <w:r w:rsidRPr="00E25D22">
        <w:rPr>
          <w:rFonts w:ascii="Tahoma" w:eastAsia="Tahoma" w:hAnsi="Tahoma" w:cs="Tahoma"/>
        </w:rPr>
        <w:t xml:space="preserve"> </w:t>
      </w:r>
      <w:r>
        <w:rPr>
          <w:rFonts w:ascii="Tahoma" w:eastAsia="Tahoma" w:hAnsi="Tahoma" w:cs="Tahoma"/>
        </w:rPr>
        <w:t>C</w:t>
      </w:r>
      <w:r w:rsidR="006C6779">
        <w:rPr>
          <w:rFonts w:ascii="Tahoma" w:eastAsia="Tahoma" w:hAnsi="Tahoma" w:cs="Tahoma"/>
        </w:rPr>
        <w:t xml:space="preserve">onsumer behavior with food protection is radically different. Attached to this submission is a presentation </w:t>
      </w:r>
      <w:r w:rsidR="00A666E5">
        <w:rPr>
          <w:rFonts w:ascii="Tahoma" w:eastAsia="Tahoma" w:hAnsi="Tahoma" w:cs="Tahoma"/>
        </w:rPr>
        <w:t>PowerPoint</w:t>
      </w:r>
      <w:r w:rsidR="006C6779">
        <w:rPr>
          <w:rFonts w:ascii="Tahoma" w:eastAsia="Tahoma" w:hAnsi="Tahoma" w:cs="Tahoma"/>
        </w:rPr>
        <w:t xml:space="preserve"> highlighting the frequency of reuse of wraps and bags by consumers (66% reuse bags and 40% reuse wrap)</w:t>
      </w:r>
      <w:proofErr w:type="gramStart"/>
      <w:r w:rsidR="006C6779">
        <w:rPr>
          <w:rFonts w:ascii="Tahoma" w:eastAsia="Tahoma" w:hAnsi="Tahoma" w:cs="Tahoma"/>
        </w:rPr>
        <w:t>.</w:t>
      </w:r>
      <w:proofErr w:type="gramEnd"/>
      <w:r w:rsidRPr="00E25D22">
        <w:t xml:space="preserve"> </w:t>
      </w:r>
      <w:r>
        <w:rPr>
          <w:rFonts w:ascii="Tahoma" w:eastAsia="Tahoma" w:hAnsi="Tahoma" w:cs="Tahoma"/>
        </w:rPr>
        <w:t xml:space="preserve"> </w:t>
      </w:r>
    </w:p>
    <w:p w:rsidR="00E25D22" w:rsidRDefault="00E25D22">
      <w:pPr>
        <w:spacing w:after="200" w:line="276" w:lineRule="auto"/>
        <w:rPr>
          <w:rFonts w:ascii="Tahoma" w:eastAsia="Tahoma" w:hAnsi="Tahoma" w:cs="Tahoma"/>
        </w:rPr>
      </w:pPr>
      <w:r>
        <w:rPr>
          <w:rFonts w:ascii="Tahoma" w:eastAsia="Tahoma" w:hAnsi="Tahoma" w:cs="Tahoma"/>
        </w:rPr>
        <w:t xml:space="preserve">We believe food protection productions to be an important tool in reducing organic </w:t>
      </w:r>
      <w:r w:rsidR="00693A8A">
        <w:rPr>
          <w:rFonts w:ascii="Tahoma" w:eastAsia="Tahoma" w:hAnsi="Tahoma" w:cs="Tahoma"/>
        </w:rPr>
        <w:t xml:space="preserve">waste and are willing to work on policy </w:t>
      </w:r>
      <w:r w:rsidR="004F3E2F">
        <w:rPr>
          <w:rFonts w:ascii="Tahoma" w:eastAsia="Tahoma" w:hAnsi="Tahoma" w:cs="Tahoma"/>
        </w:rPr>
        <w:t>and p</w:t>
      </w:r>
      <w:r w:rsidR="00693A8A">
        <w:rPr>
          <w:rFonts w:ascii="Tahoma" w:eastAsia="Tahoma" w:hAnsi="Tahoma" w:cs="Tahoma"/>
        </w:rPr>
        <w:t>ublic education to help people keep food long enough for consumption before spoiling. This offer was part our submission on the Food and Organic Policy paper in November.</w:t>
      </w:r>
    </w:p>
    <w:p w:rsidR="004E5492" w:rsidRDefault="006C6779">
      <w:pPr>
        <w:spacing w:after="200" w:line="276" w:lineRule="auto"/>
        <w:rPr>
          <w:rFonts w:ascii="Tahoma" w:eastAsia="Tahoma" w:hAnsi="Tahoma" w:cs="Tahoma"/>
        </w:rPr>
      </w:pPr>
      <w:r>
        <w:rPr>
          <w:rFonts w:ascii="Tahoma" w:eastAsia="Tahoma" w:hAnsi="Tahoma" w:cs="Tahoma"/>
        </w:rPr>
        <w:t>Inclusion of these films in the recycling system creates management problems as typically most of it has food contamination, making it unrecyclable.  The lightweight of the material also contributes to the cost of handling.  Conventional Blue Box materials cost between $50-400 mt to collect and process; this film stream costs are $2700 mt and further, there is no market for the material.</w:t>
      </w:r>
    </w:p>
    <w:p w:rsidR="004E5492" w:rsidRDefault="006C6779">
      <w:pPr>
        <w:spacing w:after="200" w:line="276" w:lineRule="auto"/>
        <w:rPr>
          <w:rFonts w:ascii="Tahoma" w:eastAsia="Tahoma" w:hAnsi="Tahoma" w:cs="Tahoma"/>
        </w:rPr>
      </w:pPr>
      <w:r>
        <w:rPr>
          <w:rFonts w:ascii="Tahoma" w:eastAsia="Tahoma" w:hAnsi="Tahoma" w:cs="Tahoma"/>
        </w:rPr>
        <w:lastRenderedPageBreak/>
        <w:t>We understand the need to reform the business around Blue Box programs and how productive a tool it can be for diversion.  Public acceptance has made the diversion of glass, newspapers, PET, and cans successful and mature markets exist to process these secondary materials into other goods.</w:t>
      </w:r>
    </w:p>
    <w:p w:rsidR="004E5492" w:rsidRDefault="006C6779">
      <w:pPr>
        <w:spacing w:after="200" w:line="276" w:lineRule="auto"/>
        <w:rPr>
          <w:rFonts w:ascii="Tahoma" w:eastAsia="Tahoma" w:hAnsi="Tahoma" w:cs="Tahoma"/>
        </w:rPr>
      </w:pPr>
      <w:r>
        <w:rPr>
          <w:rFonts w:ascii="Tahoma" w:eastAsia="Tahoma" w:hAnsi="Tahoma" w:cs="Tahoma"/>
        </w:rPr>
        <w:t>Light density film does not lend itself to collection, processing or sale.</w:t>
      </w:r>
    </w:p>
    <w:p w:rsidR="004E5492" w:rsidRDefault="006C6779">
      <w:pPr>
        <w:spacing w:after="200" w:line="276" w:lineRule="auto"/>
        <w:rPr>
          <w:rFonts w:ascii="Tahoma" w:eastAsia="Tahoma" w:hAnsi="Tahoma" w:cs="Tahoma"/>
        </w:rPr>
      </w:pPr>
      <w:r>
        <w:rPr>
          <w:rFonts w:ascii="Tahoma" w:eastAsia="Tahoma" w:hAnsi="Tahoma" w:cs="Tahoma"/>
        </w:rPr>
        <w:t xml:space="preserve">Included is an attachment </w:t>
      </w:r>
      <w:r w:rsidR="004F3E2F">
        <w:rPr>
          <w:rFonts w:ascii="Tahoma" w:eastAsia="Tahoma" w:hAnsi="Tahoma" w:cs="Tahoma"/>
        </w:rPr>
        <w:t xml:space="preserve">from </w:t>
      </w:r>
      <w:r>
        <w:rPr>
          <w:rFonts w:ascii="Tahoma" w:eastAsia="Tahoma" w:hAnsi="Tahoma" w:cs="Tahoma"/>
        </w:rPr>
        <w:t xml:space="preserve">a York University study on </w:t>
      </w:r>
      <w:r w:rsidR="004F3E2F">
        <w:rPr>
          <w:rFonts w:ascii="Tahoma" w:eastAsia="Tahoma" w:hAnsi="Tahoma" w:cs="Tahoma"/>
        </w:rPr>
        <w:t>the costs of collection of all Blue B</w:t>
      </w:r>
      <w:r>
        <w:rPr>
          <w:rFonts w:ascii="Tahoma" w:eastAsia="Tahoma" w:hAnsi="Tahoma" w:cs="Tahoma"/>
        </w:rPr>
        <w:t>ox material including film.  In this study the cost of collections are tested against the program.  At 1.7% of the waste stream, it will cost $54 million more to collect; the total current Blue Box program is</w:t>
      </w:r>
      <w:r w:rsidR="00F43DC8">
        <w:rPr>
          <w:rFonts w:ascii="Tahoma" w:eastAsia="Tahoma" w:hAnsi="Tahoma" w:cs="Tahoma"/>
        </w:rPr>
        <w:t xml:space="preserve"> estimated to cost $270 million. Total steward fees will need to increase by 20% for collection of this plastic stream.</w:t>
      </w:r>
    </w:p>
    <w:p w:rsidR="003F1DC2" w:rsidRDefault="003F1DC2">
      <w:pPr>
        <w:spacing w:after="200" w:line="276" w:lineRule="auto"/>
        <w:rPr>
          <w:rFonts w:ascii="Tahoma" w:eastAsia="Tahoma" w:hAnsi="Tahoma" w:cs="Tahoma"/>
        </w:rPr>
      </w:pPr>
      <w:r>
        <w:rPr>
          <w:rFonts w:ascii="Tahoma" w:eastAsia="Tahoma" w:hAnsi="Tahoma" w:cs="Tahoma"/>
        </w:rPr>
        <w:t>Clorox is steadfast in the commitment to sustainability and has undertaken the research of the LCA on this product line and is comfortable with the result.</w:t>
      </w:r>
      <w:r w:rsidR="00091843">
        <w:rPr>
          <w:rFonts w:ascii="Tahoma" w:eastAsia="Tahoma" w:hAnsi="Tahoma" w:cs="Tahoma"/>
        </w:rPr>
        <w:t xml:space="preserve"> Conclusions are managing these plastic thru the Blue Box add 12x more carbon into the atmosphere than excluding from Blue box collection.</w:t>
      </w:r>
    </w:p>
    <w:p w:rsidR="004F3E2F" w:rsidRDefault="006C6779">
      <w:pPr>
        <w:spacing w:after="200" w:line="276" w:lineRule="auto"/>
        <w:rPr>
          <w:rFonts w:ascii="Tahoma" w:eastAsia="Tahoma" w:hAnsi="Tahoma" w:cs="Tahoma"/>
        </w:rPr>
      </w:pPr>
      <w:r>
        <w:rPr>
          <w:rFonts w:ascii="Tahoma" w:eastAsia="Tahoma" w:hAnsi="Tahoma" w:cs="Tahoma"/>
        </w:rPr>
        <w:t>However well intentioned inclusion of the film-like products may be, not only is it a departure from the principles of EPR, it makes no economic sense</w:t>
      </w:r>
      <w:r w:rsidR="004F3E2F">
        <w:rPr>
          <w:rFonts w:ascii="Tahoma" w:eastAsia="Tahoma" w:hAnsi="Tahoma" w:cs="Tahoma"/>
        </w:rPr>
        <w:t xml:space="preserve">. </w:t>
      </w:r>
    </w:p>
    <w:p w:rsidR="004E5492" w:rsidRDefault="006C6779">
      <w:pPr>
        <w:spacing w:after="200" w:line="276" w:lineRule="auto"/>
        <w:rPr>
          <w:rFonts w:ascii="Tahoma" w:eastAsia="Tahoma" w:hAnsi="Tahoma" w:cs="Tahoma"/>
        </w:rPr>
      </w:pPr>
      <w:r>
        <w:rPr>
          <w:rFonts w:ascii="Tahoma" w:eastAsia="Tahoma" w:hAnsi="Tahoma" w:cs="Tahoma"/>
          <w:b/>
        </w:rPr>
        <w:t xml:space="preserve">We recommend the definition of </w:t>
      </w:r>
      <w:r w:rsidR="00693A8A">
        <w:rPr>
          <w:rFonts w:ascii="Tahoma" w:eastAsia="Tahoma" w:hAnsi="Tahoma" w:cs="Tahoma"/>
          <w:b/>
        </w:rPr>
        <w:t>“</w:t>
      </w:r>
      <w:r>
        <w:rPr>
          <w:rFonts w:ascii="Tahoma" w:eastAsia="Tahoma" w:hAnsi="Tahoma" w:cs="Tahoma"/>
          <w:b/>
        </w:rPr>
        <w:t>packaging</w:t>
      </w:r>
      <w:r w:rsidR="00693A8A">
        <w:rPr>
          <w:rFonts w:ascii="Tahoma" w:eastAsia="Tahoma" w:hAnsi="Tahoma" w:cs="Tahoma"/>
          <w:b/>
        </w:rPr>
        <w:t>-</w:t>
      </w:r>
      <w:r>
        <w:rPr>
          <w:rFonts w:ascii="Tahoma" w:eastAsia="Tahoma" w:hAnsi="Tahoma" w:cs="Tahoma"/>
          <w:b/>
        </w:rPr>
        <w:t>like</w:t>
      </w:r>
      <w:r w:rsidR="00693A8A">
        <w:rPr>
          <w:rFonts w:ascii="Tahoma" w:eastAsia="Tahoma" w:hAnsi="Tahoma" w:cs="Tahoma"/>
          <w:b/>
        </w:rPr>
        <w:t>”</w:t>
      </w:r>
      <w:r>
        <w:rPr>
          <w:rFonts w:ascii="Tahoma" w:eastAsia="Tahoma" w:hAnsi="Tahoma" w:cs="Tahoma"/>
          <w:b/>
        </w:rPr>
        <w:t xml:space="preserve"> </w:t>
      </w:r>
      <w:r w:rsidR="00693A8A">
        <w:rPr>
          <w:rFonts w:ascii="Tahoma" w:eastAsia="Tahoma" w:hAnsi="Tahoma" w:cs="Tahoma"/>
          <w:b/>
        </w:rPr>
        <w:t xml:space="preserve">be amended to </w:t>
      </w:r>
      <w:r>
        <w:rPr>
          <w:rFonts w:ascii="Tahoma" w:eastAsia="Tahoma" w:hAnsi="Tahoma" w:cs="Tahoma"/>
          <w:b/>
        </w:rPr>
        <w:t>e</w:t>
      </w:r>
      <w:r w:rsidR="004F3E2F">
        <w:rPr>
          <w:rFonts w:ascii="Tahoma" w:eastAsia="Tahoma" w:hAnsi="Tahoma" w:cs="Tahoma"/>
          <w:b/>
        </w:rPr>
        <w:t>xclude food protection products</w:t>
      </w:r>
      <w:r w:rsidR="00693A8A">
        <w:rPr>
          <w:rFonts w:ascii="Tahoma" w:eastAsia="Tahoma" w:hAnsi="Tahoma" w:cs="Tahoma"/>
          <w:b/>
        </w:rPr>
        <w:t>.</w:t>
      </w:r>
    </w:p>
    <w:p w:rsidR="004E5492" w:rsidRDefault="004E5492">
      <w:pPr>
        <w:spacing w:after="200" w:line="276" w:lineRule="auto"/>
        <w:rPr>
          <w:rFonts w:ascii="Tahoma" w:eastAsia="Tahoma" w:hAnsi="Tahoma" w:cs="Tahoma"/>
        </w:rPr>
      </w:pPr>
    </w:p>
    <w:p w:rsidR="004E5492" w:rsidRDefault="006C6779">
      <w:pPr>
        <w:spacing w:after="200" w:line="276" w:lineRule="auto"/>
        <w:rPr>
          <w:rFonts w:ascii="Tahoma" w:eastAsia="Tahoma" w:hAnsi="Tahoma" w:cs="Tahoma"/>
        </w:rPr>
      </w:pPr>
      <w:r>
        <w:rPr>
          <w:rFonts w:ascii="Tahoma" w:eastAsia="Tahoma" w:hAnsi="Tahoma" w:cs="Tahoma"/>
          <w:b/>
        </w:rPr>
        <w:t>Scope Expansion</w:t>
      </w:r>
    </w:p>
    <w:p w:rsidR="004E5492" w:rsidRDefault="006C6779">
      <w:pPr>
        <w:spacing w:after="200" w:line="276" w:lineRule="auto"/>
        <w:rPr>
          <w:rFonts w:ascii="Tahoma" w:eastAsia="Tahoma" w:hAnsi="Tahoma" w:cs="Tahoma"/>
        </w:rPr>
      </w:pPr>
      <w:r>
        <w:rPr>
          <w:rFonts w:ascii="Tahoma" w:eastAsia="Tahoma" w:hAnsi="Tahoma" w:cs="Tahoma"/>
        </w:rPr>
        <w:t>The regulation itemizes a large expansion of service into Multi-Residential Buildings, Long-Care Homes, Hospitals, Schools and Parks Open spaces. Adding these institutional and multi-residential locations to a mandatory service obligation to stewards immediately after the transition period will create an unfair and unmanageable cost escalation of Blue Box service in Ontario.</w:t>
      </w:r>
    </w:p>
    <w:p w:rsidR="00C914C1" w:rsidRDefault="00C914C1">
      <w:pPr>
        <w:spacing w:after="200" w:line="276" w:lineRule="auto"/>
        <w:rPr>
          <w:rFonts w:ascii="Tahoma" w:eastAsia="Tahoma" w:hAnsi="Tahoma" w:cs="Tahoma"/>
        </w:rPr>
      </w:pPr>
      <w:r>
        <w:rPr>
          <w:rFonts w:ascii="Tahoma" w:eastAsia="Tahoma" w:hAnsi="Tahoma" w:cs="Tahoma"/>
        </w:rPr>
        <w:t xml:space="preserve">Also in the regulation small communities and First Nations are a scheduled expansion of the Blue Box program. We agree and welcome the opportunity to add these locations  </w:t>
      </w:r>
    </w:p>
    <w:p w:rsidR="004E5492" w:rsidRDefault="006C6779">
      <w:pPr>
        <w:spacing w:after="200" w:line="276" w:lineRule="auto"/>
        <w:rPr>
          <w:rFonts w:ascii="Tahoma" w:eastAsia="Tahoma" w:hAnsi="Tahoma" w:cs="Tahoma"/>
        </w:rPr>
      </w:pPr>
      <w:r>
        <w:rPr>
          <w:rFonts w:ascii="Tahoma" w:eastAsia="Tahoma" w:hAnsi="Tahoma" w:cs="Tahoma"/>
        </w:rPr>
        <w:t>From the regulation consultation meetings,</w:t>
      </w:r>
      <w:r w:rsidR="00C914C1">
        <w:rPr>
          <w:rFonts w:ascii="Tahoma" w:eastAsia="Tahoma" w:hAnsi="Tahoma" w:cs="Tahoma"/>
        </w:rPr>
        <w:t xml:space="preserve"> with </w:t>
      </w:r>
      <w:r>
        <w:rPr>
          <w:rFonts w:ascii="Tahoma" w:eastAsia="Tahoma" w:hAnsi="Tahoma" w:cs="Tahoma"/>
        </w:rPr>
        <w:t xml:space="preserve">MOECP </w:t>
      </w:r>
      <w:r w:rsidR="00C914C1">
        <w:rPr>
          <w:rFonts w:ascii="Tahoma" w:eastAsia="Tahoma" w:hAnsi="Tahoma" w:cs="Tahoma"/>
        </w:rPr>
        <w:t xml:space="preserve">remaining </w:t>
      </w:r>
      <w:r>
        <w:rPr>
          <w:rFonts w:ascii="Tahoma" w:eastAsia="Tahoma" w:hAnsi="Tahoma" w:cs="Tahoma"/>
        </w:rPr>
        <w:t>numbers were</w:t>
      </w:r>
      <w:r w:rsidR="00C914C1">
        <w:rPr>
          <w:rFonts w:ascii="Tahoma" w:eastAsia="Tahoma" w:hAnsi="Tahoma" w:cs="Tahoma"/>
        </w:rPr>
        <w:t xml:space="preserve"> quantified at</w:t>
      </w:r>
      <w:r>
        <w:rPr>
          <w:rFonts w:ascii="Tahoma" w:eastAsia="Tahoma" w:hAnsi="Tahoma" w:cs="Tahoma"/>
        </w:rPr>
        <w:t xml:space="preserve"> 7,600 more facilities and 330,000 apartment units and the cost would be $14,500,000 more to the current program. </w:t>
      </w:r>
    </w:p>
    <w:p w:rsidR="004E5492" w:rsidRDefault="006C6779">
      <w:pPr>
        <w:spacing w:after="200" w:line="276" w:lineRule="auto"/>
        <w:rPr>
          <w:rFonts w:ascii="Tahoma" w:eastAsia="Tahoma" w:hAnsi="Tahoma" w:cs="Tahoma"/>
        </w:rPr>
      </w:pPr>
      <w:r>
        <w:rPr>
          <w:rFonts w:ascii="Tahoma" w:eastAsia="Tahoma" w:hAnsi="Tahoma" w:cs="Tahoma"/>
        </w:rPr>
        <w:t>The cost modelling could not be explained. Calculations using conventionally accepted operating cost multipliers for households would be considerably higher.</w:t>
      </w:r>
    </w:p>
    <w:p w:rsidR="004E5492" w:rsidRDefault="006C6779">
      <w:pPr>
        <w:spacing w:after="200" w:line="276" w:lineRule="auto"/>
        <w:rPr>
          <w:rFonts w:ascii="Tahoma" w:eastAsia="Tahoma" w:hAnsi="Tahoma" w:cs="Tahoma"/>
        </w:rPr>
      </w:pPr>
      <w:r>
        <w:rPr>
          <w:rFonts w:ascii="Tahoma" w:eastAsia="Tahoma" w:hAnsi="Tahoma" w:cs="Tahoma"/>
        </w:rPr>
        <w:lastRenderedPageBreak/>
        <w:t xml:space="preserve">We engaged with York University on this issue, and that study is attached. As Prof Lankan noted, a lot of variables are unknown.  Data for the proposed locations is not readily available and modelling based on audits from similar facilities likely underestimates the total.  </w:t>
      </w:r>
    </w:p>
    <w:p w:rsidR="004E5492" w:rsidRDefault="006C6779">
      <w:pPr>
        <w:spacing w:after="200" w:line="276" w:lineRule="auto"/>
        <w:rPr>
          <w:rFonts w:ascii="Tahoma" w:eastAsia="Tahoma" w:hAnsi="Tahoma" w:cs="Tahoma"/>
        </w:rPr>
      </w:pPr>
      <w:r>
        <w:rPr>
          <w:rFonts w:ascii="Tahoma" w:eastAsia="Tahoma" w:hAnsi="Tahoma" w:cs="Tahoma"/>
        </w:rPr>
        <w:t xml:space="preserve">The </w:t>
      </w:r>
      <w:r w:rsidR="00C914C1">
        <w:rPr>
          <w:rFonts w:ascii="Tahoma" w:eastAsia="Tahoma" w:hAnsi="Tahoma" w:cs="Tahoma"/>
        </w:rPr>
        <w:t xml:space="preserve">York </w:t>
      </w:r>
      <w:r>
        <w:rPr>
          <w:rFonts w:ascii="Tahoma" w:eastAsia="Tahoma" w:hAnsi="Tahoma" w:cs="Tahoma"/>
        </w:rPr>
        <w:t>study concluded the costs would be $94 million if all was perfect and processing capacity was available and properly capitalized. The revised cost from MOECP including Parks is $115,000,000. Cost projections are annual operating only and do not include the capital investments for collection and processing infrastructure that will be needed for this expansion beyond current Blue Box service.</w:t>
      </w:r>
    </w:p>
    <w:p w:rsidR="005C65A2" w:rsidRDefault="005C65A2">
      <w:pPr>
        <w:spacing w:after="200" w:line="276" w:lineRule="auto"/>
        <w:rPr>
          <w:rFonts w:ascii="Tahoma" w:eastAsia="Tahoma" w:hAnsi="Tahoma" w:cs="Tahoma"/>
        </w:rPr>
      </w:pPr>
      <w:r>
        <w:rPr>
          <w:rFonts w:ascii="Tahoma" w:eastAsia="Tahoma" w:hAnsi="Tahoma" w:cs="Tahoma"/>
        </w:rPr>
        <w:t>To suggest at th</w:t>
      </w:r>
      <w:r w:rsidR="004F3E2F">
        <w:rPr>
          <w:rFonts w:ascii="Tahoma" w:eastAsia="Tahoma" w:hAnsi="Tahoma" w:cs="Tahoma"/>
        </w:rPr>
        <w:t xml:space="preserve">e last minute that </w:t>
      </w:r>
      <w:r>
        <w:rPr>
          <w:rFonts w:ascii="Tahoma" w:eastAsia="Tahoma" w:hAnsi="Tahoma" w:cs="Tahoma"/>
        </w:rPr>
        <w:t>responsibility and costs for collection of material from Parks and Open spaces be transferred to all stewards violate</w:t>
      </w:r>
      <w:r w:rsidR="004F3E2F">
        <w:rPr>
          <w:rFonts w:ascii="Tahoma" w:eastAsia="Tahoma" w:hAnsi="Tahoma" w:cs="Tahoma"/>
        </w:rPr>
        <w:t>s</w:t>
      </w:r>
      <w:r>
        <w:rPr>
          <w:rFonts w:ascii="Tahoma" w:eastAsia="Tahoma" w:hAnsi="Tahoma" w:cs="Tahoma"/>
        </w:rPr>
        <w:t xml:space="preserve"> the spirit of respectful cooperation promised during mediation.  On the cost of collection within these location we agree with RCC that a “claw-back “ of away from home exemptions food service stewards enjoy be used to fund these collections.</w:t>
      </w:r>
    </w:p>
    <w:p w:rsidR="00C914C1" w:rsidRDefault="006C6779">
      <w:pPr>
        <w:spacing w:after="200" w:line="276" w:lineRule="auto"/>
        <w:rPr>
          <w:rFonts w:ascii="Tahoma" w:eastAsia="Tahoma" w:hAnsi="Tahoma" w:cs="Tahoma"/>
        </w:rPr>
      </w:pPr>
      <w:r>
        <w:rPr>
          <w:rFonts w:ascii="Tahoma" w:eastAsia="Tahoma" w:hAnsi="Tahoma" w:cs="Tahoma"/>
        </w:rPr>
        <w:t>This transfer of costs from public institutions and for profit business (multi-residential buildings) to the stewards is unfair and incongruous with the Principles agree upon with the mediator in 2019. Even with the MOECP calc</w:t>
      </w:r>
      <w:r w:rsidR="00251DCD">
        <w:rPr>
          <w:rFonts w:ascii="Tahoma" w:eastAsia="Tahoma" w:hAnsi="Tahoma" w:cs="Tahoma"/>
        </w:rPr>
        <w:t xml:space="preserve">ulations, total steward fees would now be </w:t>
      </w:r>
      <w:r>
        <w:rPr>
          <w:rFonts w:ascii="Tahoma" w:eastAsia="Tahoma" w:hAnsi="Tahoma" w:cs="Tahoma"/>
        </w:rPr>
        <w:t>$385 million up from $135 million in 2019.</w:t>
      </w:r>
      <w:r w:rsidR="00847F77">
        <w:rPr>
          <w:rFonts w:ascii="Tahoma" w:eastAsia="Tahoma" w:hAnsi="Tahoma" w:cs="Tahoma"/>
        </w:rPr>
        <w:t xml:space="preserve"> </w:t>
      </w:r>
    </w:p>
    <w:p w:rsidR="00251DCD" w:rsidRDefault="00251DCD">
      <w:pPr>
        <w:spacing w:after="200" w:line="276" w:lineRule="auto"/>
        <w:rPr>
          <w:rFonts w:ascii="Tahoma" w:eastAsia="Tahoma" w:hAnsi="Tahoma" w:cs="Tahoma"/>
        </w:rPr>
      </w:pPr>
    </w:p>
    <w:p w:rsidR="00251DCD" w:rsidRDefault="006C6779">
      <w:pPr>
        <w:spacing w:after="200" w:line="276" w:lineRule="auto"/>
        <w:rPr>
          <w:rFonts w:ascii="Tahoma" w:eastAsia="Tahoma" w:hAnsi="Tahoma" w:cs="Tahoma"/>
          <w:b/>
        </w:rPr>
      </w:pPr>
      <w:r>
        <w:rPr>
          <w:rFonts w:ascii="Tahoma" w:eastAsia="Tahoma" w:hAnsi="Tahoma" w:cs="Tahoma"/>
          <w:b/>
        </w:rPr>
        <w:t>We recommend that these additional locations for service be removed from the regulation</w:t>
      </w:r>
      <w:r w:rsidR="00091843">
        <w:rPr>
          <w:rFonts w:ascii="Tahoma" w:eastAsia="Tahoma" w:hAnsi="Tahoma" w:cs="Tahoma"/>
          <w:b/>
        </w:rPr>
        <w:t>.</w:t>
      </w:r>
    </w:p>
    <w:p w:rsidR="00251DCD" w:rsidRDefault="00251DCD">
      <w:pPr>
        <w:spacing w:after="200" w:line="276" w:lineRule="auto"/>
        <w:rPr>
          <w:rFonts w:ascii="Tahoma" w:eastAsia="Tahoma" w:hAnsi="Tahoma" w:cs="Tahoma"/>
          <w:b/>
        </w:rPr>
      </w:pPr>
      <w:r w:rsidRPr="00251DCD">
        <w:rPr>
          <w:rFonts w:ascii="Tahoma" w:eastAsia="Tahoma" w:hAnsi="Tahoma" w:cs="Tahoma"/>
          <w:b/>
        </w:rPr>
        <w:t>Only the currently served locations as agreed in the mediation process be included in the regulations.</w:t>
      </w:r>
    </w:p>
    <w:p w:rsidR="004F3E2F" w:rsidRDefault="00091843">
      <w:pPr>
        <w:spacing w:after="200" w:line="276" w:lineRule="auto"/>
        <w:rPr>
          <w:rFonts w:ascii="Tahoma" w:eastAsia="Tahoma" w:hAnsi="Tahoma" w:cs="Tahoma"/>
          <w:b/>
        </w:rPr>
      </w:pPr>
      <w:r>
        <w:rPr>
          <w:rFonts w:ascii="Tahoma" w:eastAsia="Tahoma" w:hAnsi="Tahoma" w:cs="Tahoma"/>
          <w:b/>
        </w:rPr>
        <w:t xml:space="preserve">Also, </w:t>
      </w:r>
      <w:r w:rsidR="006C6779">
        <w:rPr>
          <w:rFonts w:ascii="Tahoma" w:eastAsia="Tahoma" w:hAnsi="Tahoma" w:cs="Tahoma"/>
          <w:b/>
        </w:rPr>
        <w:t xml:space="preserve">the Government and Stewards </w:t>
      </w:r>
      <w:r w:rsidR="00847F77">
        <w:rPr>
          <w:rFonts w:ascii="Tahoma" w:eastAsia="Tahoma" w:hAnsi="Tahoma" w:cs="Tahoma"/>
          <w:b/>
        </w:rPr>
        <w:t xml:space="preserve">post transition can </w:t>
      </w:r>
      <w:r w:rsidR="006C6779">
        <w:rPr>
          <w:rFonts w:ascii="Tahoma" w:eastAsia="Tahoma" w:hAnsi="Tahoma" w:cs="Tahoma"/>
          <w:b/>
        </w:rPr>
        <w:t>negotia</w:t>
      </w:r>
      <w:r w:rsidR="00847F77">
        <w:rPr>
          <w:rFonts w:ascii="Tahoma" w:eastAsia="Tahoma" w:hAnsi="Tahoma" w:cs="Tahoma"/>
          <w:b/>
        </w:rPr>
        <w:t xml:space="preserve">te a service expansion schedule only when volume and source material audits on these locations are complete. </w:t>
      </w:r>
    </w:p>
    <w:p w:rsidR="004E5492" w:rsidRDefault="00847F77">
      <w:pPr>
        <w:spacing w:after="200" w:line="276" w:lineRule="auto"/>
        <w:rPr>
          <w:rFonts w:ascii="Tahoma" w:eastAsia="Tahoma" w:hAnsi="Tahoma" w:cs="Tahoma"/>
        </w:rPr>
      </w:pPr>
      <w:r>
        <w:rPr>
          <w:rFonts w:ascii="Tahoma" w:eastAsia="Tahoma" w:hAnsi="Tahoma" w:cs="Tahoma"/>
          <w:b/>
        </w:rPr>
        <w:t>Further an evaluation of MRF capacity be undertaken to determine if and when this volume can be added the processing and collection systems.</w:t>
      </w:r>
    </w:p>
    <w:p w:rsidR="004E5492" w:rsidRDefault="004E5492">
      <w:pPr>
        <w:spacing w:after="200" w:line="276" w:lineRule="auto"/>
        <w:rPr>
          <w:rFonts w:ascii="Tahoma" w:eastAsia="Tahoma" w:hAnsi="Tahoma" w:cs="Tahoma"/>
        </w:rPr>
      </w:pPr>
    </w:p>
    <w:p w:rsidR="003F1DC2" w:rsidRDefault="003F1DC2">
      <w:pPr>
        <w:spacing w:after="200" w:line="276" w:lineRule="auto"/>
        <w:rPr>
          <w:rFonts w:ascii="Tahoma" w:eastAsia="Tahoma" w:hAnsi="Tahoma" w:cs="Tahoma"/>
          <w:b/>
        </w:rPr>
      </w:pPr>
    </w:p>
    <w:p w:rsidR="005D6053" w:rsidRDefault="005D6053">
      <w:pPr>
        <w:spacing w:after="200" w:line="276" w:lineRule="auto"/>
        <w:rPr>
          <w:rFonts w:ascii="Tahoma" w:eastAsia="Tahoma" w:hAnsi="Tahoma" w:cs="Tahoma"/>
          <w:b/>
        </w:rPr>
      </w:pPr>
    </w:p>
    <w:p w:rsidR="005D6053" w:rsidRDefault="005D6053">
      <w:pPr>
        <w:spacing w:after="200" w:line="276" w:lineRule="auto"/>
        <w:rPr>
          <w:rFonts w:ascii="Tahoma" w:eastAsia="Tahoma" w:hAnsi="Tahoma" w:cs="Tahoma"/>
          <w:b/>
        </w:rPr>
      </w:pPr>
    </w:p>
    <w:p w:rsidR="005D6053" w:rsidRDefault="005D6053">
      <w:pPr>
        <w:spacing w:after="200" w:line="276" w:lineRule="auto"/>
        <w:rPr>
          <w:rFonts w:ascii="Tahoma" w:eastAsia="Tahoma" w:hAnsi="Tahoma" w:cs="Tahoma"/>
          <w:b/>
        </w:rPr>
      </w:pPr>
    </w:p>
    <w:p w:rsidR="005D6053" w:rsidRDefault="005D6053">
      <w:pPr>
        <w:spacing w:after="200" w:line="276" w:lineRule="auto"/>
        <w:rPr>
          <w:rFonts w:ascii="Tahoma" w:eastAsia="Tahoma" w:hAnsi="Tahoma" w:cs="Tahoma"/>
          <w:b/>
        </w:rPr>
      </w:pPr>
    </w:p>
    <w:p w:rsidR="004E5492" w:rsidRDefault="006C6779">
      <w:pPr>
        <w:spacing w:after="200" w:line="276" w:lineRule="auto"/>
        <w:rPr>
          <w:rFonts w:ascii="Tahoma" w:eastAsia="Tahoma" w:hAnsi="Tahoma" w:cs="Tahoma"/>
        </w:rPr>
      </w:pPr>
      <w:r>
        <w:rPr>
          <w:rFonts w:ascii="Tahoma" w:eastAsia="Tahoma" w:hAnsi="Tahoma" w:cs="Tahoma"/>
          <w:b/>
        </w:rPr>
        <w:lastRenderedPageBreak/>
        <w:t>Recycled Content</w:t>
      </w:r>
    </w:p>
    <w:p w:rsidR="004E5492" w:rsidRDefault="006C6779">
      <w:pPr>
        <w:spacing w:after="200" w:line="276" w:lineRule="auto"/>
        <w:rPr>
          <w:rFonts w:ascii="Tahoma" w:eastAsia="Tahoma" w:hAnsi="Tahoma" w:cs="Tahoma"/>
        </w:rPr>
      </w:pPr>
      <w:r>
        <w:rPr>
          <w:rFonts w:ascii="Tahoma" w:eastAsia="Tahoma" w:hAnsi="Tahoma" w:cs="Tahoma"/>
        </w:rPr>
        <w:t>This well-meaning addition to the regulation has the potential to bring down the system.</w:t>
      </w:r>
      <w:r w:rsidR="005D6053">
        <w:rPr>
          <w:rFonts w:ascii="Tahoma" w:eastAsia="Tahoma" w:hAnsi="Tahoma" w:cs="Tahoma"/>
        </w:rPr>
        <w:t xml:space="preserve"> </w:t>
      </w:r>
      <w:r>
        <w:rPr>
          <w:rFonts w:ascii="Tahoma" w:eastAsia="Tahoma" w:hAnsi="Tahoma" w:cs="Tahoma"/>
        </w:rPr>
        <w:t xml:space="preserve">A target for content is a good public policy instrument; however, being able to “buy down” financial obligation to the system by increasing recyclable material in packaging is at </w:t>
      </w:r>
      <w:r w:rsidR="00A666E5">
        <w:rPr>
          <w:rFonts w:ascii="Tahoma" w:eastAsia="Tahoma" w:hAnsi="Tahoma" w:cs="Tahoma"/>
        </w:rPr>
        <w:t>cross-purposes</w:t>
      </w:r>
      <w:r>
        <w:rPr>
          <w:rFonts w:ascii="Tahoma" w:eastAsia="Tahoma" w:hAnsi="Tahoma" w:cs="Tahoma"/>
        </w:rPr>
        <w:t xml:space="preserve"> with the rest of the regulation. Many p</w:t>
      </w:r>
      <w:r w:rsidR="00A666E5">
        <w:rPr>
          <w:rFonts w:ascii="Tahoma" w:eastAsia="Tahoma" w:hAnsi="Tahoma" w:cs="Tahoma"/>
        </w:rPr>
        <w:t xml:space="preserve">roducts in plastic packages can </w:t>
      </w:r>
      <w:r>
        <w:rPr>
          <w:rFonts w:ascii="Tahoma" w:eastAsia="Tahoma" w:hAnsi="Tahoma" w:cs="Tahoma"/>
        </w:rPr>
        <w:t xml:space="preserve">not be changed by weight or manufactured with recycled content as consumer protection and product integrity concerns would prevent such a change. </w:t>
      </w:r>
    </w:p>
    <w:p w:rsidR="004E5492" w:rsidRDefault="006C6779">
      <w:pPr>
        <w:spacing w:after="200" w:line="276" w:lineRule="auto"/>
        <w:rPr>
          <w:rFonts w:ascii="Tahoma" w:eastAsia="Tahoma" w:hAnsi="Tahoma" w:cs="Tahoma"/>
          <w:b/>
        </w:rPr>
      </w:pPr>
      <w:r>
        <w:rPr>
          <w:rFonts w:ascii="Tahoma" w:eastAsia="Tahoma" w:hAnsi="Tahoma" w:cs="Tahoma"/>
          <w:b/>
        </w:rPr>
        <w:t>A reward for packaging innovation is needed but another method to incent producers/ stewards to increase recycled content would be better.</w:t>
      </w:r>
    </w:p>
    <w:p w:rsidR="004E5492" w:rsidRDefault="004E5492">
      <w:pPr>
        <w:rPr>
          <w:rFonts w:ascii="Tahoma" w:eastAsia="Tahoma" w:hAnsi="Tahoma" w:cs="Tahoma"/>
        </w:rPr>
      </w:pPr>
    </w:p>
    <w:p w:rsidR="004E5492" w:rsidRDefault="006C6779">
      <w:pPr>
        <w:rPr>
          <w:rFonts w:ascii="Tahoma" w:eastAsia="Tahoma" w:hAnsi="Tahoma" w:cs="Tahoma"/>
        </w:rPr>
      </w:pPr>
      <w:r>
        <w:rPr>
          <w:rFonts w:ascii="Tahoma" w:eastAsia="Tahoma" w:hAnsi="Tahoma" w:cs="Tahoma"/>
          <w:b/>
        </w:rPr>
        <w:t>Compostable Packaging</w:t>
      </w:r>
    </w:p>
    <w:p w:rsidR="004E5492" w:rsidRDefault="004E5492">
      <w:pPr>
        <w:rPr>
          <w:rFonts w:ascii="Tahoma" w:eastAsia="Tahoma" w:hAnsi="Tahoma" w:cs="Tahoma"/>
        </w:rPr>
      </w:pPr>
    </w:p>
    <w:p w:rsidR="004E5492" w:rsidRDefault="006C6779">
      <w:pPr>
        <w:spacing w:after="200" w:line="276" w:lineRule="auto"/>
        <w:rPr>
          <w:rFonts w:ascii="Tahoma" w:eastAsia="Tahoma" w:hAnsi="Tahoma" w:cs="Tahoma"/>
        </w:rPr>
      </w:pPr>
      <w:r>
        <w:rPr>
          <w:rFonts w:ascii="Tahoma" w:eastAsia="Tahoma" w:hAnsi="Tahoma" w:cs="Tahoma"/>
        </w:rPr>
        <w:t>We expect a substantial increase in the volume of compostable packaging and other non-food waste material to enter the “waste” stream in the near future.  Many products that today are part of the Blue Box may transition to compostable.</w:t>
      </w:r>
    </w:p>
    <w:p w:rsidR="004E5492" w:rsidRDefault="006C6779">
      <w:pPr>
        <w:spacing w:after="200" w:line="276" w:lineRule="auto"/>
        <w:rPr>
          <w:rFonts w:ascii="Tahoma" w:eastAsia="Tahoma" w:hAnsi="Tahoma" w:cs="Tahoma"/>
        </w:rPr>
      </w:pPr>
      <w:r>
        <w:rPr>
          <w:rFonts w:ascii="Tahoma" w:eastAsia="Tahoma" w:hAnsi="Tahoma" w:cs="Tahoma"/>
        </w:rPr>
        <w:t>Collecting data on tonnage of material put into the market would serve the development of a sound organic diversion plan for Ontario.  MOECP must connect this action required under the regulation with ongoing consultation and crafting of an Organic / Food Waste Policy for Ontario.</w:t>
      </w:r>
    </w:p>
    <w:p w:rsidR="004E5492" w:rsidRDefault="006C6779">
      <w:pPr>
        <w:spacing w:after="200" w:line="276" w:lineRule="auto"/>
        <w:rPr>
          <w:rFonts w:ascii="Tahoma" w:eastAsia="Tahoma" w:hAnsi="Tahoma" w:cs="Tahoma"/>
          <w:b/>
        </w:rPr>
      </w:pPr>
      <w:r>
        <w:rPr>
          <w:rFonts w:ascii="Tahoma" w:eastAsia="Tahoma" w:hAnsi="Tahoma" w:cs="Tahoma"/>
          <w:b/>
        </w:rPr>
        <w:t>We recommend the organic policy discussion aim should be a separate but complementary regulation for organic diversion.</w:t>
      </w:r>
    </w:p>
    <w:p w:rsidR="00E1243A" w:rsidRDefault="00E1243A">
      <w:pPr>
        <w:spacing w:after="200" w:line="276" w:lineRule="auto"/>
        <w:rPr>
          <w:rFonts w:ascii="Tahoma" w:eastAsia="Tahoma" w:hAnsi="Tahoma" w:cs="Tahoma"/>
          <w:b/>
        </w:rPr>
      </w:pPr>
    </w:p>
    <w:p w:rsidR="004E5492" w:rsidRDefault="006C6779">
      <w:pPr>
        <w:spacing w:after="200" w:line="276" w:lineRule="auto"/>
        <w:rPr>
          <w:rFonts w:ascii="Tahoma" w:eastAsia="Tahoma" w:hAnsi="Tahoma" w:cs="Tahoma"/>
        </w:rPr>
      </w:pPr>
      <w:r>
        <w:rPr>
          <w:rFonts w:ascii="Tahoma" w:eastAsia="Tahoma" w:hAnsi="Tahoma" w:cs="Tahoma"/>
          <w:b/>
        </w:rPr>
        <w:t>Transition to PRO/Steward</w:t>
      </w:r>
    </w:p>
    <w:p w:rsidR="004E5492" w:rsidRDefault="006C6779">
      <w:pPr>
        <w:spacing w:after="200" w:line="276" w:lineRule="auto"/>
        <w:rPr>
          <w:rFonts w:ascii="Tahoma" w:eastAsia="Tahoma" w:hAnsi="Tahoma" w:cs="Tahoma"/>
        </w:rPr>
      </w:pPr>
      <w:r>
        <w:rPr>
          <w:rFonts w:ascii="Tahoma" w:eastAsia="Tahoma" w:hAnsi="Tahoma" w:cs="Tahoma"/>
        </w:rPr>
        <w:t>We are in agreement with trade associations that continue to outline the problems with transition to PRO/Steward responsibility of the Blue Box system.</w:t>
      </w:r>
    </w:p>
    <w:p w:rsidR="004E5492" w:rsidRDefault="006C6779">
      <w:pPr>
        <w:spacing w:after="200" w:line="276" w:lineRule="auto"/>
        <w:rPr>
          <w:rFonts w:ascii="Tahoma" w:eastAsia="Tahoma" w:hAnsi="Tahoma" w:cs="Tahoma"/>
        </w:rPr>
      </w:pPr>
      <w:r>
        <w:rPr>
          <w:rFonts w:ascii="Tahoma" w:eastAsia="Tahoma" w:hAnsi="Tahoma" w:cs="Tahoma"/>
        </w:rPr>
        <w:t xml:space="preserve">The process to establish producer groups is unnecessarily complex and the timelines for initial reporting unreasonable.  Without the details about MRF capacity, municipal collection contracts, including consultation with respective bargaining units, it is impossible to meet the registration deadline.  If this information is not presented quickly and accurately, it is unlikely the 2023 target for starting PRO-led collection and processing can be met. </w:t>
      </w:r>
    </w:p>
    <w:p w:rsidR="004E5492" w:rsidRDefault="006C6779">
      <w:pPr>
        <w:spacing w:after="200" w:line="276" w:lineRule="auto"/>
        <w:rPr>
          <w:rFonts w:ascii="Tahoma" w:eastAsia="Tahoma" w:hAnsi="Tahoma" w:cs="Tahoma"/>
        </w:rPr>
      </w:pPr>
      <w:r>
        <w:rPr>
          <w:rFonts w:ascii="Tahoma" w:eastAsia="Tahoma" w:hAnsi="Tahoma" w:cs="Tahoma"/>
          <w:b/>
        </w:rPr>
        <w:t xml:space="preserve">We agree with establishment of a single Pro to facilitate contracts for collection and processing </w:t>
      </w:r>
    </w:p>
    <w:p w:rsidR="004E5492" w:rsidRDefault="004E5492">
      <w:pPr>
        <w:spacing w:after="200" w:line="276" w:lineRule="auto"/>
        <w:rPr>
          <w:rFonts w:ascii="Tahoma" w:eastAsia="Tahoma" w:hAnsi="Tahoma" w:cs="Tahoma"/>
        </w:rPr>
      </w:pPr>
    </w:p>
    <w:p w:rsidR="004E5492" w:rsidRDefault="006C6779">
      <w:pPr>
        <w:spacing w:after="200" w:line="276" w:lineRule="auto"/>
        <w:rPr>
          <w:rFonts w:ascii="Tahoma" w:eastAsia="Tahoma" w:hAnsi="Tahoma" w:cs="Tahoma"/>
        </w:rPr>
      </w:pPr>
      <w:r>
        <w:rPr>
          <w:rFonts w:ascii="Tahoma" w:eastAsia="Tahoma" w:hAnsi="Tahoma" w:cs="Tahoma"/>
        </w:rPr>
        <w:t>Clorox Canada is committed to and wants to be part of developing a circular economy and a sustainable Ontario.  Our international commitments on environmentally sound business practices are reflected in the values we employ with our actions with customers and suppliers here in Ontario.</w:t>
      </w:r>
    </w:p>
    <w:p w:rsidR="004E5492" w:rsidRDefault="006C6779">
      <w:pPr>
        <w:spacing w:after="200" w:line="276" w:lineRule="auto"/>
        <w:rPr>
          <w:rFonts w:ascii="Tahoma" w:eastAsia="Tahoma" w:hAnsi="Tahoma" w:cs="Tahoma"/>
        </w:rPr>
      </w:pPr>
      <w:r>
        <w:rPr>
          <w:rFonts w:ascii="Tahoma" w:eastAsia="Tahoma" w:hAnsi="Tahoma" w:cs="Tahoma"/>
        </w:rPr>
        <w:t>We believe the creep into packaging-like materials violates both the spirit of EPR as it has been established elsewhere in the world, and the deal we willingly agreed to during mediation in 2019.</w:t>
      </w:r>
    </w:p>
    <w:p w:rsidR="004E5492" w:rsidRDefault="006C6779">
      <w:pPr>
        <w:spacing w:after="200" w:line="276" w:lineRule="auto"/>
        <w:rPr>
          <w:rFonts w:ascii="Tahoma" w:eastAsia="Tahoma" w:hAnsi="Tahoma" w:cs="Tahoma"/>
        </w:rPr>
      </w:pPr>
      <w:r>
        <w:rPr>
          <w:rFonts w:ascii="Tahoma" w:eastAsia="Tahoma" w:hAnsi="Tahoma" w:cs="Tahoma"/>
        </w:rPr>
        <w:t>The management and cost escalation of adding this low density material to the list of designated items for collection and fee assignment only creates a cost increase to the whole system and provides no environmental benefit.</w:t>
      </w:r>
      <w:r w:rsidR="00091843">
        <w:rPr>
          <w:rFonts w:ascii="Tahoma" w:eastAsia="Tahoma" w:hAnsi="Tahoma" w:cs="Tahoma"/>
        </w:rPr>
        <w:t xml:space="preserve"> </w:t>
      </w:r>
    </w:p>
    <w:p w:rsidR="004E5492" w:rsidRDefault="006C6779">
      <w:pPr>
        <w:spacing w:after="200" w:line="276" w:lineRule="auto"/>
        <w:rPr>
          <w:rFonts w:ascii="Tahoma" w:eastAsia="Tahoma" w:hAnsi="Tahoma" w:cs="Tahoma"/>
        </w:rPr>
      </w:pPr>
      <w:r>
        <w:rPr>
          <w:rFonts w:ascii="Tahoma" w:eastAsia="Tahoma" w:hAnsi="Tahoma" w:cs="Tahoma"/>
        </w:rPr>
        <w:t>The expansion of service to multi-residential and institutional locations, without proper evaluation of cost, is going to make the system of collection by PRO/Stewards impossible.</w:t>
      </w:r>
    </w:p>
    <w:p w:rsidR="004E5492" w:rsidRDefault="006C6779">
      <w:pPr>
        <w:spacing w:after="200" w:line="276" w:lineRule="auto"/>
        <w:rPr>
          <w:rFonts w:ascii="Tahoma" w:eastAsia="Tahoma" w:hAnsi="Tahoma" w:cs="Tahoma"/>
        </w:rPr>
      </w:pPr>
      <w:r>
        <w:rPr>
          <w:rFonts w:ascii="Tahoma" w:eastAsia="Tahoma" w:hAnsi="Tahoma" w:cs="Tahoma"/>
        </w:rPr>
        <w:t>We ask the government to not enshrine these actions in the regulation and to continue to negotiate with PRO/Stewards to find a pathway for a more effective way to manage these locations.</w:t>
      </w:r>
    </w:p>
    <w:p w:rsidR="004E5492" w:rsidRDefault="006C6779">
      <w:pPr>
        <w:spacing w:after="200" w:line="276" w:lineRule="auto"/>
        <w:rPr>
          <w:rFonts w:ascii="Tahoma" w:eastAsia="Tahoma" w:hAnsi="Tahoma" w:cs="Tahoma"/>
        </w:rPr>
      </w:pPr>
      <w:r>
        <w:rPr>
          <w:rFonts w:ascii="Tahoma" w:eastAsia="Tahoma" w:hAnsi="Tahoma" w:cs="Tahoma"/>
        </w:rPr>
        <w:t>Our hope is the government will take time to finalize this Regulation as it should be a building block for a robust, affordable, and effective diversion plan for Ontario.  A model where all Ontarians – labour, commerce, government, and citizens – work together to properly manage waste streams into inputs for the creation of a working circular economy.</w:t>
      </w:r>
    </w:p>
    <w:p w:rsidR="00F97061" w:rsidRDefault="008D393C">
      <w:pPr>
        <w:spacing w:after="200" w:line="276" w:lineRule="auto"/>
        <w:rPr>
          <w:rFonts w:ascii="Tahoma" w:eastAsia="Tahoma" w:hAnsi="Tahoma" w:cs="Tahoma"/>
        </w:rPr>
      </w:pPr>
      <w:r>
        <w:rPr>
          <w:rFonts w:ascii="Tahoma" w:eastAsia="Tahoma" w:hAnsi="Tahoma" w:cs="Tahoma"/>
        </w:rPr>
        <w:t>Clorox Canada and our 5</w:t>
      </w:r>
      <w:r w:rsidR="006C6779">
        <w:rPr>
          <w:rFonts w:ascii="Tahoma" w:eastAsia="Tahoma" w:hAnsi="Tahoma" w:cs="Tahoma"/>
        </w:rPr>
        <w:t>00+ employees in Ontario welcome the opportunity to participate in developing such a system.  Thank you for taking the time to review our comments.</w:t>
      </w:r>
    </w:p>
    <w:p w:rsidR="00F97061" w:rsidRPr="00F97061" w:rsidRDefault="00F97061" w:rsidP="00F97061">
      <w:pPr>
        <w:rPr>
          <w:rFonts w:ascii="Tahoma" w:eastAsia="Tahoma" w:hAnsi="Tahoma" w:cs="Tahoma"/>
        </w:rPr>
      </w:pPr>
    </w:p>
    <w:p w:rsidR="00F97061" w:rsidRDefault="00F97061" w:rsidP="00F97061">
      <w:pPr>
        <w:rPr>
          <w:rFonts w:ascii="Tahoma" w:eastAsia="Tahoma" w:hAnsi="Tahoma" w:cs="Tahoma"/>
        </w:rPr>
      </w:pPr>
    </w:p>
    <w:p w:rsidR="00DA77A7" w:rsidRDefault="00DA77A7" w:rsidP="00F97061">
      <w:pPr>
        <w:rPr>
          <w:rFonts w:ascii="Tahoma" w:eastAsia="Tahoma" w:hAnsi="Tahoma" w:cs="Tahoma"/>
        </w:rPr>
      </w:pPr>
      <w:r>
        <w:rPr>
          <w:rFonts w:ascii="Tahoma" w:eastAsia="Tahoma" w:hAnsi="Tahoma" w:cs="Tahoma"/>
        </w:rPr>
        <w:t xml:space="preserve">Respectfully </w:t>
      </w:r>
    </w:p>
    <w:p w:rsidR="008D393C" w:rsidRDefault="008D393C" w:rsidP="00F97061">
      <w:pPr>
        <w:rPr>
          <w:rFonts w:ascii="Tahoma" w:eastAsia="Tahoma" w:hAnsi="Tahoma" w:cs="Tahoma"/>
        </w:rPr>
      </w:pPr>
    </w:p>
    <w:p w:rsidR="00DA77A7" w:rsidRDefault="00DA77A7" w:rsidP="00F97061">
      <w:pPr>
        <w:rPr>
          <w:rFonts w:ascii="Tahoma" w:eastAsia="Tahoma" w:hAnsi="Tahoma" w:cs="Tahoma"/>
        </w:rPr>
      </w:pPr>
    </w:p>
    <w:p w:rsidR="00DA77A7" w:rsidRDefault="00DA77A7" w:rsidP="00F97061">
      <w:pPr>
        <w:rPr>
          <w:rFonts w:ascii="Tahoma" w:eastAsia="Tahoma" w:hAnsi="Tahoma" w:cs="Tahoma"/>
        </w:rPr>
      </w:pPr>
    </w:p>
    <w:p w:rsidR="00DA77A7" w:rsidRDefault="00DA77A7" w:rsidP="00F97061">
      <w:pPr>
        <w:rPr>
          <w:rFonts w:ascii="Tahoma" w:eastAsia="Tahoma" w:hAnsi="Tahoma" w:cs="Tahoma"/>
        </w:rPr>
      </w:pPr>
      <w:bookmarkStart w:id="0" w:name="_GoBack"/>
      <w:bookmarkEnd w:id="0"/>
    </w:p>
    <w:p w:rsidR="00DA77A7" w:rsidRDefault="008D393C" w:rsidP="00F97061">
      <w:pPr>
        <w:rPr>
          <w:rFonts w:ascii="Tahoma" w:eastAsia="Tahoma" w:hAnsi="Tahoma" w:cs="Tahoma"/>
        </w:rPr>
      </w:pPr>
      <w:r>
        <w:rPr>
          <w:rFonts w:ascii="Tahoma" w:eastAsia="Tahoma" w:hAnsi="Tahoma" w:cs="Tahoma"/>
        </w:rPr>
        <w:t xml:space="preserve">Paul Grenier </w:t>
      </w:r>
    </w:p>
    <w:p w:rsidR="008D393C" w:rsidRDefault="008D393C" w:rsidP="00F97061">
      <w:pPr>
        <w:rPr>
          <w:rFonts w:ascii="Tahoma" w:eastAsia="Tahoma" w:hAnsi="Tahoma" w:cs="Tahoma"/>
        </w:rPr>
      </w:pPr>
      <w:r>
        <w:rPr>
          <w:rFonts w:ascii="Tahoma" w:eastAsia="Tahoma" w:hAnsi="Tahoma" w:cs="Tahoma"/>
        </w:rPr>
        <w:t>Manager Government Affairs</w:t>
      </w:r>
    </w:p>
    <w:p w:rsidR="00DA77A7" w:rsidRPr="00F97061" w:rsidRDefault="00DA77A7" w:rsidP="00F97061">
      <w:pPr>
        <w:rPr>
          <w:rFonts w:ascii="Tahoma" w:eastAsia="Tahoma" w:hAnsi="Tahoma" w:cs="Tahoma"/>
        </w:rPr>
      </w:pPr>
      <w:r>
        <w:rPr>
          <w:rFonts w:ascii="Tahoma" w:eastAsia="Tahoma" w:hAnsi="Tahoma" w:cs="Tahoma"/>
        </w:rPr>
        <w:t>Clorox Canada</w:t>
      </w:r>
    </w:p>
    <w:p w:rsidR="00F97061" w:rsidRPr="00F97061" w:rsidRDefault="00F97061" w:rsidP="00F97061">
      <w:pPr>
        <w:rPr>
          <w:rFonts w:ascii="Tahoma" w:eastAsia="Tahoma" w:hAnsi="Tahoma" w:cs="Tahoma"/>
        </w:rPr>
      </w:pPr>
    </w:p>
    <w:p w:rsidR="00F97061" w:rsidRPr="00F97061" w:rsidRDefault="00F97061" w:rsidP="00F97061">
      <w:pPr>
        <w:rPr>
          <w:rFonts w:ascii="Tahoma" w:eastAsia="Tahoma" w:hAnsi="Tahoma" w:cs="Tahoma"/>
        </w:rPr>
      </w:pPr>
    </w:p>
    <w:p w:rsidR="00F97061" w:rsidRPr="00F97061" w:rsidRDefault="00F97061" w:rsidP="00F97061">
      <w:pPr>
        <w:rPr>
          <w:rFonts w:ascii="Tahoma" w:eastAsia="Tahoma" w:hAnsi="Tahoma" w:cs="Tahoma"/>
        </w:rPr>
      </w:pPr>
    </w:p>
    <w:p w:rsidR="00F97061" w:rsidRPr="00F97061" w:rsidRDefault="00F97061" w:rsidP="00F97061">
      <w:pPr>
        <w:rPr>
          <w:rFonts w:ascii="Tahoma" w:eastAsia="Tahoma" w:hAnsi="Tahoma" w:cs="Tahoma"/>
        </w:rPr>
      </w:pPr>
    </w:p>
    <w:p w:rsidR="00F97061" w:rsidRDefault="00F97061" w:rsidP="00F97061">
      <w:pPr>
        <w:rPr>
          <w:rFonts w:ascii="Tahoma" w:eastAsia="Tahoma" w:hAnsi="Tahoma" w:cs="Tahoma"/>
        </w:rPr>
      </w:pPr>
    </w:p>
    <w:p w:rsidR="004E5492" w:rsidRDefault="00F97061" w:rsidP="00F97061">
      <w:pPr>
        <w:tabs>
          <w:tab w:val="left" w:pos="1740"/>
        </w:tabs>
        <w:rPr>
          <w:rFonts w:ascii="Tahoma" w:eastAsia="Tahoma" w:hAnsi="Tahoma" w:cs="Tahoma"/>
        </w:rPr>
      </w:pPr>
      <w:r>
        <w:rPr>
          <w:rFonts w:ascii="Tahoma" w:eastAsia="Tahoma" w:hAnsi="Tahoma" w:cs="Tahoma"/>
        </w:rPr>
        <w:tab/>
      </w:r>
    </w:p>
    <w:p w:rsidR="00F97061" w:rsidRDefault="00F97061" w:rsidP="00F97061">
      <w:pPr>
        <w:tabs>
          <w:tab w:val="left" w:pos="1740"/>
        </w:tabs>
        <w:rPr>
          <w:rFonts w:ascii="Tahoma" w:eastAsia="Tahoma" w:hAnsi="Tahoma" w:cs="Tahoma"/>
        </w:rPr>
      </w:pPr>
    </w:p>
    <w:p w:rsidR="00F97061" w:rsidRDefault="00F97061" w:rsidP="00F97061">
      <w:pPr>
        <w:tabs>
          <w:tab w:val="left" w:pos="1740"/>
        </w:tabs>
        <w:rPr>
          <w:rFonts w:ascii="Tahoma" w:eastAsia="Tahoma" w:hAnsi="Tahoma" w:cs="Tahoma"/>
        </w:rPr>
      </w:pPr>
    </w:p>
    <w:p w:rsidR="00F97061" w:rsidRDefault="00F97061" w:rsidP="00F97061">
      <w:pPr>
        <w:tabs>
          <w:tab w:val="left" w:pos="1740"/>
        </w:tabs>
        <w:rPr>
          <w:rFonts w:ascii="Tahoma" w:eastAsia="Tahoma" w:hAnsi="Tahoma" w:cs="Tahoma"/>
        </w:rPr>
      </w:pPr>
    </w:p>
    <w:p w:rsidR="00F97061" w:rsidRDefault="00F97061" w:rsidP="00F97061">
      <w:pPr>
        <w:tabs>
          <w:tab w:val="left" w:pos="1740"/>
        </w:tabs>
        <w:rPr>
          <w:rFonts w:ascii="Tahoma" w:eastAsia="Tahoma" w:hAnsi="Tahoma" w:cs="Tahoma"/>
        </w:rPr>
      </w:pPr>
    </w:p>
    <w:p w:rsidR="00F97061" w:rsidRPr="00F97061" w:rsidRDefault="00F97061" w:rsidP="00F97061">
      <w:pPr>
        <w:tabs>
          <w:tab w:val="left" w:pos="1740"/>
        </w:tabs>
        <w:rPr>
          <w:rFonts w:ascii="Tahoma" w:eastAsia="Tahoma" w:hAnsi="Tahoma" w:cs="Tahoma"/>
          <w:sz w:val="48"/>
          <w:szCs w:val="48"/>
        </w:rPr>
      </w:pPr>
      <w:r w:rsidRPr="00F97061">
        <w:rPr>
          <w:rFonts w:ascii="Tahoma" w:eastAsia="Tahoma" w:hAnsi="Tahoma" w:cs="Tahoma"/>
          <w:sz w:val="48"/>
          <w:szCs w:val="48"/>
        </w:rPr>
        <w:t>Attachments</w:t>
      </w:r>
    </w:p>
    <w:p w:rsidR="00F97061" w:rsidRDefault="00F97061" w:rsidP="00F97061">
      <w:pPr>
        <w:tabs>
          <w:tab w:val="left" w:pos="1740"/>
        </w:tabs>
        <w:rPr>
          <w:rFonts w:ascii="Tahoma" w:eastAsia="Tahoma" w:hAnsi="Tahoma" w:cs="Tahoma"/>
        </w:rPr>
      </w:pPr>
    </w:p>
    <w:p w:rsidR="00F97061" w:rsidRDefault="00F97061" w:rsidP="00F97061">
      <w:pPr>
        <w:tabs>
          <w:tab w:val="left" w:pos="1740"/>
        </w:tabs>
        <w:rPr>
          <w:rFonts w:ascii="Tahoma" w:eastAsia="Tahoma" w:hAnsi="Tahoma" w:cs="Tahoma"/>
        </w:rPr>
      </w:pPr>
    </w:p>
    <w:sdt>
      <w:sdtPr>
        <w:rPr>
          <w:rFonts w:ascii="Arial" w:eastAsiaTheme="majorEastAsia" w:hAnsi="Arial" w:cs="Arial"/>
          <w:caps/>
          <w:sz w:val="36"/>
          <w:szCs w:val="36"/>
        </w:rPr>
        <w:alias w:val="Title"/>
        <w:tag w:val=""/>
        <w:id w:val="1735040861"/>
        <w:placeholder>
          <w:docPart w:val="7F44BA5A02B545828C0405FA1BEF8207"/>
        </w:placeholder>
        <w:dataBinding w:prefixMappings="xmlns:ns0='http://purl.org/dc/elements/1.1/' xmlns:ns1='http://schemas.openxmlformats.org/package/2006/metadata/core-properties' " w:xpath="/ns1:coreProperties[1]/ns0:title[1]" w:storeItemID="{6C3C8BC8-F283-45AE-878A-BAB7291924A1}"/>
        <w:text/>
      </w:sdtPr>
      <w:sdtContent>
        <w:p w:rsidR="00F97061" w:rsidRPr="002118A5" w:rsidRDefault="00F97061" w:rsidP="00F97061">
          <w:pPr>
            <w:tabs>
              <w:tab w:val="left" w:pos="1740"/>
            </w:tabs>
            <w:rPr>
              <w:rFonts w:ascii="Arial" w:eastAsia="Tahoma" w:hAnsi="Arial" w:cs="Arial"/>
              <w:sz w:val="36"/>
              <w:szCs w:val="36"/>
              <w:lang w:val="en-US"/>
            </w:rPr>
          </w:pPr>
          <w:r w:rsidRPr="002118A5">
            <w:rPr>
              <w:rFonts w:ascii="Arial" w:eastAsiaTheme="majorEastAsia" w:hAnsi="Arial" w:cs="Arial"/>
              <w:caps/>
              <w:sz w:val="36"/>
              <w:szCs w:val="36"/>
            </w:rPr>
            <w:t>ESTIMATING INCRE</w:t>
          </w:r>
          <w:r w:rsidRPr="002118A5">
            <w:rPr>
              <w:rFonts w:ascii="Arial" w:eastAsiaTheme="majorEastAsia" w:hAnsi="Arial" w:cs="Arial"/>
              <w:caps/>
              <w:sz w:val="36"/>
              <w:szCs w:val="36"/>
            </w:rPr>
            <w:t xml:space="preserve">ASES IN THE STEWARD OBLIGATION </w:t>
          </w:r>
          <w:r w:rsidRPr="002118A5">
            <w:rPr>
              <w:rFonts w:ascii="Arial" w:eastAsiaTheme="majorEastAsia" w:hAnsi="Arial" w:cs="Arial"/>
              <w:caps/>
              <w:sz w:val="36"/>
              <w:szCs w:val="36"/>
            </w:rPr>
            <w:t>RESULTING FROM THE BLUE BOX TRANSITION</w:t>
          </w:r>
        </w:p>
      </w:sdtContent>
    </w:sdt>
    <w:p w:rsidR="00F97061" w:rsidRPr="002118A5" w:rsidRDefault="002118A5" w:rsidP="00F97061">
      <w:pPr>
        <w:tabs>
          <w:tab w:val="left" w:pos="1740"/>
        </w:tabs>
        <w:rPr>
          <w:rFonts w:ascii="Arial" w:eastAsia="Tahoma" w:hAnsi="Arial" w:cs="Arial"/>
          <w:sz w:val="36"/>
          <w:szCs w:val="36"/>
        </w:rPr>
      </w:pPr>
      <w:r w:rsidRPr="002118A5">
        <w:rPr>
          <w:rFonts w:ascii="Arial" w:eastAsia="Tahoma" w:hAnsi="Arial" w:cs="Arial"/>
          <w:sz w:val="36"/>
          <w:szCs w:val="36"/>
        </w:rPr>
        <w:t>Professor Calvin Lakhan York University</w:t>
      </w:r>
    </w:p>
    <w:p w:rsidR="002118A5" w:rsidRPr="002118A5" w:rsidRDefault="002118A5" w:rsidP="00F97061">
      <w:pPr>
        <w:tabs>
          <w:tab w:val="left" w:pos="1740"/>
        </w:tabs>
        <w:rPr>
          <w:rFonts w:ascii="Arial" w:eastAsia="Tahoma" w:hAnsi="Arial" w:cs="Arial"/>
          <w:sz w:val="36"/>
          <w:szCs w:val="36"/>
        </w:rPr>
      </w:pPr>
    </w:p>
    <w:p w:rsidR="002118A5" w:rsidRPr="002118A5" w:rsidRDefault="002118A5" w:rsidP="00F97061">
      <w:pPr>
        <w:tabs>
          <w:tab w:val="left" w:pos="1740"/>
        </w:tabs>
        <w:rPr>
          <w:rFonts w:ascii="Arial" w:eastAsia="Tahoma" w:hAnsi="Arial" w:cs="Arial"/>
          <w:sz w:val="36"/>
          <w:szCs w:val="36"/>
        </w:rPr>
      </w:pPr>
      <w:r w:rsidRPr="002118A5">
        <w:rPr>
          <w:rFonts w:ascii="Arial" w:eastAsia="Tahoma" w:hAnsi="Arial" w:cs="Arial"/>
          <w:sz w:val="36"/>
          <w:szCs w:val="36"/>
        </w:rPr>
        <w:t xml:space="preserve">Food Protection Study </w:t>
      </w:r>
    </w:p>
    <w:p w:rsidR="002118A5" w:rsidRPr="002118A5" w:rsidRDefault="002118A5" w:rsidP="00F97061">
      <w:pPr>
        <w:tabs>
          <w:tab w:val="left" w:pos="1740"/>
        </w:tabs>
        <w:rPr>
          <w:rFonts w:ascii="Arial" w:eastAsia="Tahoma" w:hAnsi="Arial" w:cs="Arial"/>
          <w:sz w:val="36"/>
          <w:szCs w:val="36"/>
        </w:rPr>
      </w:pPr>
      <w:r w:rsidRPr="002118A5">
        <w:rPr>
          <w:rFonts w:ascii="Arial" w:eastAsia="Tahoma" w:hAnsi="Arial" w:cs="Arial"/>
          <w:sz w:val="36"/>
          <w:szCs w:val="36"/>
        </w:rPr>
        <w:t>Glad Corporate Marketing Presentation</w:t>
      </w:r>
    </w:p>
    <w:p w:rsidR="002118A5" w:rsidRPr="002118A5" w:rsidRDefault="002118A5" w:rsidP="00F97061">
      <w:pPr>
        <w:tabs>
          <w:tab w:val="left" w:pos="1740"/>
        </w:tabs>
        <w:rPr>
          <w:rFonts w:ascii="Arial" w:eastAsia="Tahoma" w:hAnsi="Arial" w:cs="Arial"/>
          <w:sz w:val="36"/>
          <w:szCs w:val="36"/>
        </w:rPr>
      </w:pPr>
    </w:p>
    <w:p w:rsidR="002118A5" w:rsidRPr="002118A5" w:rsidRDefault="002118A5" w:rsidP="00F97061">
      <w:pPr>
        <w:tabs>
          <w:tab w:val="left" w:pos="1740"/>
        </w:tabs>
        <w:rPr>
          <w:rFonts w:ascii="Arial" w:eastAsia="Tahoma" w:hAnsi="Arial" w:cs="Arial"/>
          <w:sz w:val="36"/>
          <w:szCs w:val="36"/>
        </w:rPr>
      </w:pPr>
      <w:r w:rsidRPr="002118A5">
        <w:rPr>
          <w:rFonts w:ascii="Arial" w:eastAsia="Tahoma" w:hAnsi="Arial" w:cs="Arial"/>
          <w:sz w:val="36"/>
          <w:szCs w:val="36"/>
        </w:rPr>
        <w:t xml:space="preserve">EPR Blue Box Editorial </w:t>
      </w:r>
    </w:p>
    <w:p w:rsidR="002118A5" w:rsidRPr="002118A5" w:rsidRDefault="002118A5" w:rsidP="00F97061">
      <w:pPr>
        <w:tabs>
          <w:tab w:val="left" w:pos="1740"/>
        </w:tabs>
        <w:rPr>
          <w:rFonts w:ascii="Arial" w:eastAsia="Tahoma" w:hAnsi="Arial" w:cs="Arial"/>
          <w:sz w:val="36"/>
          <w:szCs w:val="36"/>
        </w:rPr>
      </w:pPr>
      <w:r w:rsidRPr="002118A5">
        <w:rPr>
          <w:rFonts w:ascii="Arial" w:eastAsia="Tahoma" w:hAnsi="Arial" w:cs="Arial"/>
          <w:sz w:val="36"/>
          <w:szCs w:val="36"/>
        </w:rPr>
        <w:t>Professor Calvin Lakhan York University</w:t>
      </w:r>
    </w:p>
    <w:p w:rsidR="00F97061" w:rsidRPr="002118A5" w:rsidRDefault="00F97061" w:rsidP="00F97061">
      <w:pPr>
        <w:tabs>
          <w:tab w:val="left" w:pos="1740"/>
        </w:tabs>
        <w:rPr>
          <w:rFonts w:ascii="Arial" w:eastAsia="Tahoma" w:hAnsi="Arial" w:cs="Arial"/>
        </w:rPr>
      </w:pPr>
    </w:p>
    <w:p w:rsidR="00F97061" w:rsidRDefault="00F97061"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sdt>
      <w:sdtPr>
        <w:rPr>
          <w:rFonts w:eastAsiaTheme="minorHAnsi"/>
          <w:color w:val="4F81BD" w:themeColor="accent1"/>
        </w:rPr>
        <w:id w:val="-1594539160"/>
        <w:docPartObj>
          <w:docPartGallery w:val="Cover Pages"/>
          <w:docPartUnique/>
        </w:docPartObj>
      </w:sdtPr>
      <w:sdtEndPr>
        <w:rPr>
          <w:rFonts w:ascii="Times New Roman" w:eastAsia="Times New Roman" w:hAnsi="Times New Roman" w:cs="Times New Roman"/>
          <w:color w:val="auto"/>
          <w:sz w:val="24"/>
          <w:szCs w:val="24"/>
          <w:lang w:val="en-CA" w:eastAsia="en-CA"/>
        </w:rPr>
      </w:sdtEndPr>
      <w:sdtContent>
        <w:p w:rsidR="002118A5" w:rsidRDefault="002118A5" w:rsidP="002118A5">
          <w:pPr>
            <w:pStyle w:val="NoSpacing"/>
            <w:spacing w:before="1540" w:after="240"/>
            <w:jc w:val="center"/>
            <w:rPr>
              <w:color w:val="4F81BD" w:themeColor="accent1"/>
            </w:rPr>
          </w:pPr>
          <w:r w:rsidRPr="00C56A35">
            <w:rPr>
              <w:noProof/>
            </w:rPr>
            <w:drawing>
              <wp:inline distT="0" distB="0" distL="0" distR="0" wp14:anchorId="1BABBF3F" wp14:editId="26D4912E">
                <wp:extent cx="4261485" cy="1337310"/>
                <wp:effectExtent l="0" t="0" r="5715" b="0"/>
                <wp:docPr id="9" name="Picture 9" descr="Image result for york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rku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1485" cy="1337310"/>
                        </a:xfrm>
                        <a:prstGeom prst="rect">
                          <a:avLst/>
                        </a:prstGeom>
                        <a:noFill/>
                        <a:ln>
                          <a:noFill/>
                        </a:ln>
                      </pic:spPr>
                    </pic:pic>
                  </a:graphicData>
                </a:graphic>
              </wp:inline>
            </w:drawing>
          </w:r>
        </w:p>
        <w:sdt>
          <w:sdtPr>
            <w:rPr>
              <w:rFonts w:asciiTheme="majorHAnsi" w:eastAsiaTheme="majorEastAsia" w:hAnsiTheme="majorHAnsi" w:cstheme="majorBidi"/>
              <w:caps/>
              <w:color w:val="FF0000"/>
              <w:sz w:val="72"/>
              <w:szCs w:val="72"/>
            </w:rPr>
            <w:alias w:val="Title"/>
            <w:tag w:val=""/>
            <w:id w:val="-733389345"/>
            <w:placeholder>
              <w:docPart w:val="12C30C8FA7124F43916EC3425E3D7844"/>
            </w:placeholder>
            <w:dataBinding w:prefixMappings="xmlns:ns0='http://purl.org/dc/elements/1.1/' xmlns:ns1='http://schemas.openxmlformats.org/package/2006/metadata/core-properties' " w:xpath="/ns1:coreProperties[1]/ns0:title[1]" w:storeItemID="{6C3C8BC8-F283-45AE-878A-BAB7291924A1}"/>
            <w:text/>
          </w:sdtPr>
          <w:sdtContent>
            <w:p w:rsidR="002118A5" w:rsidRPr="00E25732" w:rsidRDefault="002118A5" w:rsidP="002118A5">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FF0000"/>
                  <w:sz w:val="80"/>
                  <w:szCs w:val="80"/>
                </w:rPr>
              </w:pPr>
              <w:r>
                <w:rPr>
                  <w:rFonts w:asciiTheme="majorHAnsi" w:eastAsiaTheme="majorEastAsia" w:hAnsiTheme="majorHAnsi" w:cstheme="majorBidi"/>
                  <w:caps/>
                  <w:color w:val="FF0000"/>
                  <w:sz w:val="72"/>
                  <w:szCs w:val="72"/>
                </w:rPr>
                <w:t>ESTIMATING INCREASES IN THE STEWARD OBLIGATION RESULTING FROM THE BLUE BOX TRANSITION</w:t>
              </w:r>
            </w:p>
          </w:sdtContent>
        </w:sdt>
        <w:p w:rsidR="002118A5" w:rsidRDefault="002118A5" w:rsidP="002118A5">
          <w:pPr>
            <w:pStyle w:val="NoSpacing"/>
            <w:rPr>
              <w:color w:val="4F81BD" w:themeColor="accent1"/>
              <w:sz w:val="28"/>
              <w:szCs w:val="28"/>
            </w:rPr>
          </w:pPr>
        </w:p>
        <w:p w:rsidR="002118A5" w:rsidRPr="00E25732" w:rsidRDefault="002118A5" w:rsidP="002118A5">
          <w:pPr>
            <w:jc w:val="center"/>
            <w:rPr>
              <w:b/>
              <w:szCs w:val="28"/>
            </w:rPr>
          </w:pPr>
          <w:r w:rsidRPr="00E25732">
            <w:rPr>
              <w:b/>
              <w:szCs w:val="28"/>
            </w:rPr>
            <w:t xml:space="preserve">Corresponding Author: Dr. Calvin Lakhan </w:t>
          </w:r>
        </w:p>
        <w:p w:rsidR="002118A5" w:rsidRPr="00E25732" w:rsidRDefault="002118A5" w:rsidP="002118A5">
          <w:pPr>
            <w:jc w:val="center"/>
            <w:rPr>
              <w:b/>
              <w:szCs w:val="28"/>
            </w:rPr>
          </w:pPr>
          <w:r w:rsidRPr="00E25732">
            <w:rPr>
              <w:b/>
              <w:szCs w:val="28"/>
            </w:rPr>
            <w:t xml:space="preserve">Secondary Author(s): </w:t>
          </w:r>
        </w:p>
        <w:p w:rsidR="002118A5" w:rsidRPr="00E25732" w:rsidRDefault="002118A5" w:rsidP="002118A5">
          <w:pPr>
            <w:numPr>
              <w:ilvl w:val="0"/>
              <w:numId w:val="2"/>
            </w:numPr>
            <w:spacing w:after="160" w:line="259" w:lineRule="auto"/>
            <w:contextualSpacing/>
            <w:rPr>
              <w:b/>
              <w:szCs w:val="28"/>
            </w:rPr>
          </w:pPr>
          <w:r>
            <w:rPr>
              <w:b/>
              <w:szCs w:val="28"/>
            </w:rPr>
            <w:t>Elizabeth Cho Macmillan</w:t>
          </w:r>
        </w:p>
        <w:p w:rsidR="002118A5" w:rsidRPr="00E25732" w:rsidRDefault="002118A5" w:rsidP="002118A5">
          <w:pPr>
            <w:jc w:val="center"/>
            <w:rPr>
              <w:b/>
              <w:szCs w:val="28"/>
            </w:rPr>
          </w:pPr>
        </w:p>
        <w:p w:rsidR="002118A5" w:rsidRPr="00E25732" w:rsidRDefault="002118A5" w:rsidP="002118A5">
          <w:pPr>
            <w:jc w:val="center"/>
            <w:rPr>
              <w:b/>
              <w:sz w:val="28"/>
              <w:szCs w:val="28"/>
            </w:rPr>
          </w:pPr>
          <w:r w:rsidRPr="00E25732">
            <w:rPr>
              <w:b/>
              <w:szCs w:val="28"/>
            </w:rPr>
            <w:t xml:space="preserve">Prepared by: Waste </w:t>
          </w:r>
          <w:proofErr w:type="spellStart"/>
          <w:r w:rsidRPr="00E25732">
            <w:rPr>
              <w:b/>
              <w:szCs w:val="28"/>
            </w:rPr>
            <w:t>Wiki@FES</w:t>
          </w:r>
          <w:proofErr w:type="spellEnd"/>
        </w:p>
        <w:p w:rsidR="002118A5" w:rsidRPr="00E25732" w:rsidRDefault="002118A5" w:rsidP="002118A5">
          <w:pPr>
            <w:jc w:val="center"/>
            <w:rPr>
              <w:b/>
              <w:sz w:val="28"/>
              <w:szCs w:val="28"/>
            </w:rPr>
          </w:pPr>
          <w:r w:rsidRPr="00E25732">
            <w:rPr>
              <w:b/>
              <w:szCs w:val="28"/>
            </w:rPr>
            <w:t>Faculty of Environmental Studies, York University</w:t>
          </w:r>
        </w:p>
      </w:sdtContent>
    </w:sdt>
    <w:p w:rsidR="002118A5" w:rsidRDefault="002118A5" w:rsidP="002118A5">
      <w:pPr>
        <w:jc w:val="center"/>
      </w:pPr>
    </w:p>
    <w:bookmarkStart w:id="1" w:name="_Toc532960896" w:displacedByCustomXml="next"/>
    <w:sdt>
      <w:sdtPr>
        <w:rPr>
          <w:rFonts w:asciiTheme="minorHAnsi" w:eastAsiaTheme="minorHAnsi" w:hAnsiTheme="minorHAnsi" w:cstheme="minorHAnsi"/>
          <w:color w:val="auto"/>
          <w:sz w:val="24"/>
          <w:szCs w:val="24"/>
        </w:rPr>
        <w:id w:val="803046804"/>
        <w:docPartObj>
          <w:docPartGallery w:val="Table of Contents"/>
          <w:docPartUnique/>
        </w:docPartObj>
      </w:sdtPr>
      <w:sdtEndPr>
        <w:rPr>
          <w:rFonts w:ascii="Times New Roman" w:eastAsia="Times New Roman" w:hAnsi="Times New Roman"/>
          <w:b/>
          <w:bCs/>
          <w:noProof/>
          <w:lang w:val="en-CA" w:eastAsia="en-CA"/>
        </w:rPr>
      </w:sdtEndPr>
      <w:sdtContent>
        <w:p w:rsidR="002118A5" w:rsidRPr="00554E7E" w:rsidRDefault="002118A5" w:rsidP="002118A5">
          <w:pPr>
            <w:pStyle w:val="TOCHeading"/>
            <w:rPr>
              <w:rFonts w:asciiTheme="minorHAnsi" w:hAnsiTheme="minorHAnsi" w:cstheme="minorHAnsi"/>
              <w:sz w:val="24"/>
              <w:szCs w:val="24"/>
            </w:rPr>
          </w:pPr>
          <w:r w:rsidRPr="00554E7E">
            <w:rPr>
              <w:rFonts w:asciiTheme="minorHAnsi" w:hAnsiTheme="minorHAnsi" w:cstheme="minorHAnsi"/>
              <w:sz w:val="24"/>
              <w:szCs w:val="24"/>
            </w:rPr>
            <w:t>Contents</w:t>
          </w:r>
        </w:p>
        <w:p w:rsidR="002118A5" w:rsidRDefault="002118A5" w:rsidP="002118A5">
          <w:pPr>
            <w:pStyle w:val="TOC1"/>
            <w:tabs>
              <w:tab w:val="right" w:leader="dot" w:pos="9350"/>
            </w:tabs>
            <w:rPr>
              <w:rFonts w:eastAsiaTheme="minorEastAsia"/>
              <w:noProof/>
            </w:rPr>
          </w:pPr>
          <w:r w:rsidRPr="00554E7E">
            <w:rPr>
              <w:rFonts w:cstheme="minorHAnsi"/>
              <w:sz w:val="24"/>
              <w:szCs w:val="24"/>
            </w:rPr>
            <w:fldChar w:fldCharType="begin"/>
          </w:r>
          <w:r w:rsidRPr="00554E7E">
            <w:rPr>
              <w:rFonts w:cstheme="minorHAnsi"/>
              <w:sz w:val="24"/>
              <w:szCs w:val="24"/>
            </w:rPr>
            <w:instrText xml:space="preserve"> TOC \o "1-3" \h \z \u </w:instrText>
          </w:r>
          <w:r w:rsidRPr="00554E7E">
            <w:rPr>
              <w:rFonts w:cstheme="minorHAnsi"/>
              <w:sz w:val="24"/>
              <w:szCs w:val="24"/>
            </w:rPr>
            <w:fldChar w:fldCharType="separate"/>
          </w:r>
          <w:hyperlink w:anchor="_Toc52433963" w:history="1">
            <w:r w:rsidRPr="002C2583">
              <w:rPr>
                <w:rStyle w:val="Hyperlink"/>
                <w:rFonts w:eastAsia="Times New Roman" w:cstheme="minorHAnsi"/>
                <w:noProof/>
              </w:rPr>
              <w:t>Purpose</w:t>
            </w:r>
            <w:r>
              <w:rPr>
                <w:noProof/>
                <w:webHidden/>
              </w:rPr>
              <w:tab/>
            </w:r>
            <w:r>
              <w:rPr>
                <w:noProof/>
                <w:webHidden/>
              </w:rPr>
              <w:fldChar w:fldCharType="begin"/>
            </w:r>
            <w:r>
              <w:rPr>
                <w:noProof/>
                <w:webHidden/>
              </w:rPr>
              <w:instrText xml:space="preserve"> PAGEREF _Toc52433963 \h </w:instrText>
            </w:r>
            <w:r>
              <w:rPr>
                <w:noProof/>
                <w:webHidden/>
              </w:rPr>
            </w:r>
            <w:r>
              <w:rPr>
                <w:noProof/>
                <w:webHidden/>
              </w:rPr>
              <w:fldChar w:fldCharType="separate"/>
            </w:r>
            <w:r>
              <w:rPr>
                <w:noProof/>
                <w:webHidden/>
              </w:rPr>
              <w:t>1</w:t>
            </w:r>
            <w:r>
              <w:rPr>
                <w:noProof/>
                <w:webHidden/>
              </w:rPr>
              <w:fldChar w:fldCharType="end"/>
            </w:r>
          </w:hyperlink>
        </w:p>
        <w:p w:rsidR="002118A5" w:rsidRDefault="002118A5" w:rsidP="002118A5">
          <w:pPr>
            <w:pStyle w:val="TOC1"/>
            <w:tabs>
              <w:tab w:val="right" w:leader="dot" w:pos="9350"/>
            </w:tabs>
            <w:rPr>
              <w:rFonts w:eastAsiaTheme="minorEastAsia"/>
              <w:noProof/>
            </w:rPr>
          </w:pPr>
          <w:hyperlink w:anchor="_Toc52433964" w:history="1">
            <w:r w:rsidRPr="002C2583">
              <w:rPr>
                <w:rStyle w:val="Hyperlink"/>
                <w:rFonts w:eastAsia="Times New Roman" w:cstheme="minorHAnsi"/>
                <w:noProof/>
              </w:rPr>
              <w:t>Data Acquisition</w:t>
            </w:r>
            <w:r>
              <w:rPr>
                <w:noProof/>
                <w:webHidden/>
              </w:rPr>
              <w:tab/>
            </w:r>
            <w:r>
              <w:rPr>
                <w:noProof/>
                <w:webHidden/>
              </w:rPr>
              <w:fldChar w:fldCharType="begin"/>
            </w:r>
            <w:r>
              <w:rPr>
                <w:noProof/>
                <w:webHidden/>
              </w:rPr>
              <w:instrText xml:space="preserve"> PAGEREF _Toc52433964 \h </w:instrText>
            </w:r>
            <w:r>
              <w:rPr>
                <w:noProof/>
                <w:webHidden/>
              </w:rPr>
            </w:r>
            <w:r>
              <w:rPr>
                <w:noProof/>
                <w:webHidden/>
              </w:rPr>
              <w:fldChar w:fldCharType="separate"/>
            </w:r>
            <w:r>
              <w:rPr>
                <w:noProof/>
                <w:webHidden/>
              </w:rPr>
              <w:t>1</w:t>
            </w:r>
            <w:r>
              <w:rPr>
                <w:noProof/>
                <w:webHidden/>
              </w:rPr>
              <w:fldChar w:fldCharType="end"/>
            </w:r>
          </w:hyperlink>
        </w:p>
        <w:p w:rsidR="002118A5" w:rsidRDefault="002118A5" w:rsidP="002118A5">
          <w:pPr>
            <w:pStyle w:val="TOC1"/>
            <w:tabs>
              <w:tab w:val="right" w:leader="dot" w:pos="9350"/>
            </w:tabs>
            <w:rPr>
              <w:rFonts w:eastAsiaTheme="minorEastAsia"/>
              <w:noProof/>
            </w:rPr>
          </w:pPr>
          <w:hyperlink w:anchor="_Toc52433965" w:history="1">
            <w:r w:rsidRPr="002C2583">
              <w:rPr>
                <w:rStyle w:val="Hyperlink"/>
                <w:rFonts w:cstheme="minorHAnsi"/>
                <w:noProof/>
              </w:rPr>
              <w:t>Results: # of Facilities Serviced by the Municipal Blue Box</w:t>
            </w:r>
            <w:r>
              <w:rPr>
                <w:noProof/>
                <w:webHidden/>
              </w:rPr>
              <w:tab/>
            </w:r>
            <w:r>
              <w:rPr>
                <w:noProof/>
                <w:webHidden/>
              </w:rPr>
              <w:fldChar w:fldCharType="begin"/>
            </w:r>
            <w:r>
              <w:rPr>
                <w:noProof/>
                <w:webHidden/>
              </w:rPr>
              <w:instrText xml:space="preserve"> PAGEREF _Toc52433965 \h </w:instrText>
            </w:r>
            <w:r>
              <w:rPr>
                <w:noProof/>
                <w:webHidden/>
              </w:rPr>
            </w:r>
            <w:r>
              <w:rPr>
                <w:noProof/>
                <w:webHidden/>
              </w:rPr>
              <w:fldChar w:fldCharType="separate"/>
            </w:r>
            <w:r>
              <w:rPr>
                <w:noProof/>
                <w:webHidden/>
              </w:rPr>
              <w:t>4</w:t>
            </w:r>
            <w:r>
              <w:rPr>
                <w:noProof/>
                <w:webHidden/>
              </w:rPr>
              <w:fldChar w:fldCharType="end"/>
            </w:r>
          </w:hyperlink>
        </w:p>
        <w:p w:rsidR="002118A5" w:rsidRDefault="002118A5" w:rsidP="002118A5">
          <w:pPr>
            <w:pStyle w:val="TOC1"/>
            <w:tabs>
              <w:tab w:val="right" w:leader="dot" w:pos="9350"/>
            </w:tabs>
            <w:rPr>
              <w:rFonts w:eastAsiaTheme="minorEastAsia"/>
              <w:noProof/>
            </w:rPr>
          </w:pPr>
          <w:hyperlink w:anchor="_Toc52433966" w:history="1">
            <w:r w:rsidRPr="002C2583">
              <w:rPr>
                <w:rStyle w:val="Hyperlink"/>
                <w:rFonts w:cstheme="minorHAnsi"/>
                <w:noProof/>
              </w:rPr>
              <w:t>Results #2 : Quantities of Blue Box Waste Generated and recovered from IC&amp;I sectors</w:t>
            </w:r>
            <w:r>
              <w:rPr>
                <w:noProof/>
                <w:webHidden/>
              </w:rPr>
              <w:tab/>
            </w:r>
            <w:r>
              <w:rPr>
                <w:noProof/>
                <w:webHidden/>
              </w:rPr>
              <w:fldChar w:fldCharType="begin"/>
            </w:r>
            <w:r>
              <w:rPr>
                <w:noProof/>
                <w:webHidden/>
              </w:rPr>
              <w:instrText xml:space="preserve"> PAGEREF _Toc52433966 \h </w:instrText>
            </w:r>
            <w:r>
              <w:rPr>
                <w:noProof/>
                <w:webHidden/>
              </w:rPr>
            </w:r>
            <w:r>
              <w:rPr>
                <w:noProof/>
                <w:webHidden/>
              </w:rPr>
              <w:fldChar w:fldCharType="separate"/>
            </w:r>
            <w:r>
              <w:rPr>
                <w:noProof/>
                <w:webHidden/>
              </w:rPr>
              <w:t>5</w:t>
            </w:r>
            <w:r>
              <w:rPr>
                <w:noProof/>
                <w:webHidden/>
              </w:rPr>
              <w:fldChar w:fldCharType="end"/>
            </w:r>
          </w:hyperlink>
        </w:p>
        <w:p w:rsidR="002118A5" w:rsidRDefault="002118A5" w:rsidP="002118A5">
          <w:pPr>
            <w:pStyle w:val="TOC1"/>
            <w:tabs>
              <w:tab w:val="right" w:leader="dot" w:pos="9350"/>
            </w:tabs>
            <w:rPr>
              <w:rFonts w:eastAsiaTheme="minorEastAsia"/>
              <w:noProof/>
            </w:rPr>
          </w:pPr>
          <w:hyperlink w:anchor="_Toc52433967" w:history="1">
            <w:r w:rsidRPr="002C2583">
              <w:rPr>
                <w:rStyle w:val="Hyperlink"/>
                <w:rFonts w:eastAsia="Times New Roman"/>
                <w:noProof/>
              </w:rPr>
              <w:t>Results # 3: Costs associated with expanding the steward obligation</w:t>
            </w:r>
            <w:r>
              <w:rPr>
                <w:noProof/>
                <w:webHidden/>
              </w:rPr>
              <w:tab/>
            </w:r>
            <w:r>
              <w:rPr>
                <w:noProof/>
                <w:webHidden/>
              </w:rPr>
              <w:fldChar w:fldCharType="begin"/>
            </w:r>
            <w:r>
              <w:rPr>
                <w:noProof/>
                <w:webHidden/>
              </w:rPr>
              <w:instrText xml:space="preserve"> PAGEREF _Toc52433967 \h </w:instrText>
            </w:r>
            <w:r>
              <w:rPr>
                <w:noProof/>
                <w:webHidden/>
              </w:rPr>
            </w:r>
            <w:r>
              <w:rPr>
                <w:noProof/>
                <w:webHidden/>
              </w:rPr>
              <w:fldChar w:fldCharType="separate"/>
            </w:r>
            <w:r>
              <w:rPr>
                <w:noProof/>
                <w:webHidden/>
              </w:rPr>
              <w:t>7</w:t>
            </w:r>
            <w:r>
              <w:rPr>
                <w:noProof/>
                <w:webHidden/>
              </w:rPr>
              <w:fldChar w:fldCharType="end"/>
            </w:r>
          </w:hyperlink>
        </w:p>
        <w:p w:rsidR="002118A5" w:rsidRDefault="002118A5" w:rsidP="002118A5">
          <w:pPr>
            <w:pStyle w:val="TOC1"/>
            <w:tabs>
              <w:tab w:val="right" w:leader="dot" w:pos="9350"/>
            </w:tabs>
            <w:rPr>
              <w:rFonts w:eastAsiaTheme="minorEastAsia"/>
              <w:noProof/>
            </w:rPr>
          </w:pPr>
          <w:hyperlink w:anchor="_Toc52433968" w:history="1">
            <w:r w:rsidRPr="002C2583">
              <w:rPr>
                <w:rStyle w:val="Hyperlink"/>
                <w:rFonts w:eastAsia="Times New Roman"/>
                <w:noProof/>
              </w:rPr>
              <w:t>Summary</w:t>
            </w:r>
            <w:r>
              <w:rPr>
                <w:noProof/>
                <w:webHidden/>
              </w:rPr>
              <w:tab/>
            </w:r>
            <w:r>
              <w:rPr>
                <w:noProof/>
                <w:webHidden/>
              </w:rPr>
              <w:fldChar w:fldCharType="begin"/>
            </w:r>
            <w:r>
              <w:rPr>
                <w:noProof/>
                <w:webHidden/>
              </w:rPr>
              <w:instrText xml:space="preserve"> PAGEREF _Toc52433968 \h </w:instrText>
            </w:r>
            <w:r>
              <w:rPr>
                <w:noProof/>
                <w:webHidden/>
              </w:rPr>
            </w:r>
            <w:r>
              <w:rPr>
                <w:noProof/>
                <w:webHidden/>
              </w:rPr>
              <w:fldChar w:fldCharType="separate"/>
            </w:r>
            <w:r>
              <w:rPr>
                <w:noProof/>
                <w:webHidden/>
              </w:rPr>
              <w:t>10</w:t>
            </w:r>
            <w:r>
              <w:rPr>
                <w:noProof/>
                <w:webHidden/>
              </w:rPr>
              <w:fldChar w:fldCharType="end"/>
            </w:r>
          </w:hyperlink>
        </w:p>
        <w:p w:rsidR="002118A5" w:rsidRPr="00554E7E" w:rsidRDefault="002118A5" w:rsidP="002118A5">
          <w:pPr>
            <w:rPr>
              <w:rFonts w:cstheme="minorHAnsi"/>
            </w:rPr>
          </w:pPr>
          <w:r w:rsidRPr="00554E7E">
            <w:rPr>
              <w:rFonts w:cstheme="minorHAnsi"/>
              <w:b/>
              <w:bCs/>
              <w:noProof/>
            </w:rPr>
            <w:fldChar w:fldCharType="end"/>
          </w:r>
        </w:p>
      </w:sdtContent>
    </w:sdt>
    <w:p w:rsidR="002118A5" w:rsidRPr="008516A1" w:rsidRDefault="002118A5" w:rsidP="002118A5">
      <w:pPr>
        <w:pStyle w:val="Heading1"/>
        <w:jc w:val="both"/>
        <w:rPr>
          <w:rFonts w:asciiTheme="minorHAnsi" w:hAnsiTheme="minorHAnsi" w:cstheme="minorHAnsi"/>
          <w:sz w:val="24"/>
          <w:szCs w:val="24"/>
        </w:rPr>
      </w:pPr>
      <w:bookmarkStart w:id="2" w:name="_Toc52433963"/>
      <w:r w:rsidRPr="008516A1">
        <w:rPr>
          <w:rFonts w:asciiTheme="minorHAnsi" w:hAnsiTheme="minorHAnsi" w:cstheme="minorHAnsi"/>
          <w:sz w:val="24"/>
          <w:szCs w:val="24"/>
        </w:rPr>
        <w:t>Purpose</w:t>
      </w:r>
      <w:bookmarkEnd w:id="2"/>
    </w:p>
    <w:p w:rsidR="002118A5" w:rsidRPr="008516A1" w:rsidRDefault="002118A5" w:rsidP="002118A5">
      <w:pPr>
        <w:rPr>
          <w:rFonts w:cstheme="minorHAnsi"/>
        </w:rPr>
      </w:pPr>
      <w:r w:rsidRPr="008516A1">
        <w:rPr>
          <w:rFonts w:cstheme="minorHAnsi"/>
        </w:rPr>
        <w:t xml:space="preserve">The purpose of this report is to outline the methodology used to quantify the potential economic impacts to stewards and Ontarians resulting from proposed changes to the Blue Box transition plan. </w:t>
      </w:r>
    </w:p>
    <w:p w:rsidR="002118A5" w:rsidRPr="008516A1" w:rsidRDefault="002118A5" w:rsidP="002118A5">
      <w:pPr>
        <w:rPr>
          <w:rFonts w:cstheme="minorHAnsi"/>
        </w:rPr>
      </w:pPr>
      <w:r w:rsidRPr="008516A1">
        <w:rPr>
          <w:rFonts w:cstheme="minorHAnsi"/>
        </w:rPr>
        <w:t xml:space="preserve">The Blue Box transition legislation is meant to transition the Ontario Blue Box Program to a 100% producer responsibility model, wherein packaging producers assume the physical and financial responsibility of managing printed paper and packaging waste. </w:t>
      </w:r>
    </w:p>
    <w:p w:rsidR="002118A5" w:rsidRPr="008516A1" w:rsidRDefault="002118A5" w:rsidP="002118A5">
      <w:pPr>
        <w:rPr>
          <w:rFonts w:cstheme="minorHAnsi"/>
        </w:rPr>
      </w:pPr>
      <w:r w:rsidRPr="008516A1">
        <w:rPr>
          <w:rFonts w:cstheme="minorHAnsi"/>
        </w:rPr>
        <w:t xml:space="preserve">In addition to these changes, the MOECP is currently considering expanding the steward obligation to include three additional IC&amp;I sectors. These include: Long term care and retirement facilities, private multi-residential buildings, and elementary/secondary schools. </w:t>
      </w:r>
    </w:p>
    <w:p w:rsidR="002118A5" w:rsidRPr="008516A1" w:rsidRDefault="002118A5" w:rsidP="002118A5">
      <w:pPr>
        <w:rPr>
          <w:rFonts w:cstheme="minorHAnsi"/>
        </w:rPr>
      </w:pPr>
      <w:r w:rsidRPr="008516A1">
        <w:rPr>
          <w:rFonts w:cstheme="minorHAnsi"/>
        </w:rPr>
        <w:t xml:space="preserve">The rational for expanding the obligation is that municipalities contend that they are already servicing a “significant” percentage of these facilities as part of the residential Blue Box program. As such, the steward obligation should also include these three sectors. </w:t>
      </w:r>
    </w:p>
    <w:p w:rsidR="002118A5" w:rsidRPr="008516A1" w:rsidRDefault="002118A5" w:rsidP="002118A5">
      <w:pPr>
        <w:rPr>
          <w:rFonts w:cstheme="minorHAnsi"/>
        </w:rPr>
      </w:pPr>
      <w:r w:rsidRPr="008516A1">
        <w:rPr>
          <w:rFonts w:cstheme="minorHAnsi"/>
        </w:rPr>
        <w:t>Initial estimates by the MOECP regarding the potential increase in the steward obligation is $12 million dollars (less than a 5% increase in overall system costs). This study attempts to ground truth these estimates, and provide both stewards and the province with a better understanding of the waste quantities, types and costs associated with waste management in these three sectors.</w:t>
      </w:r>
    </w:p>
    <w:p w:rsidR="002118A5" w:rsidRPr="008516A1" w:rsidRDefault="002118A5" w:rsidP="002118A5">
      <w:pPr>
        <w:pStyle w:val="Heading1"/>
        <w:jc w:val="both"/>
        <w:rPr>
          <w:rFonts w:asciiTheme="minorHAnsi" w:hAnsiTheme="minorHAnsi" w:cstheme="minorHAnsi"/>
          <w:sz w:val="24"/>
          <w:szCs w:val="24"/>
        </w:rPr>
      </w:pPr>
      <w:bookmarkStart w:id="3" w:name="_Toc52433964"/>
      <w:bookmarkEnd w:id="1"/>
      <w:r w:rsidRPr="008516A1">
        <w:rPr>
          <w:rFonts w:asciiTheme="minorHAnsi" w:hAnsiTheme="minorHAnsi" w:cstheme="minorHAnsi"/>
          <w:sz w:val="24"/>
          <w:szCs w:val="24"/>
        </w:rPr>
        <w:t>Data Acquisition</w:t>
      </w:r>
      <w:bookmarkEnd w:id="3"/>
      <w:r w:rsidRPr="008516A1">
        <w:rPr>
          <w:rFonts w:asciiTheme="minorHAnsi" w:hAnsiTheme="minorHAnsi" w:cstheme="minorHAnsi"/>
          <w:sz w:val="24"/>
          <w:szCs w:val="24"/>
        </w:rPr>
        <w:t xml:space="preserve"> </w:t>
      </w:r>
    </w:p>
    <w:p w:rsidR="002118A5" w:rsidRPr="008516A1" w:rsidRDefault="002118A5" w:rsidP="002118A5">
      <w:pPr>
        <w:rPr>
          <w:rFonts w:cstheme="minorHAnsi"/>
        </w:rPr>
      </w:pPr>
    </w:p>
    <w:p w:rsidR="002118A5" w:rsidRPr="008516A1" w:rsidRDefault="002118A5" w:rsidP="002118A5">
      <w:pPr>
        <w:rPr>
          <w:rFonts w:cstheme="minorHAnsi"/>
        </w:rPr>
      </w:pPr>
      <w:r w:rsidRPr="008516A1">
        <w:rPr>
          <w:rFonts w:cstheme="minorHAnsi"/>
        </w:rPr>
        <w:t xml:space="preserve">In order to accurately model potential changes in costs resulting from legislative change, the university utilized a number of primary and secondary sources. The following are a list of data sources used in this study: </w:t>
      </w:r>
    </w:p>
    <w:p w:rsidR="002118A5" w:rsidRPr="008516A1" w:rsidRDefault="002118A5" w:rsidP="002118A5">
      <w:pPr>
        <w:rPr>
          <w:rFonts w:cstheme="minorHAnsi"/>
        </w:rPr>
      </w:pPr>
      <w:r w:rsidRPr="008516A1">
        <w:rPr>
          <w:rFonts w:cstheme="minorHAnsi"/>
          <w:b/>
        </w:rPr>
        <w:t xml:space="preserve">Data </w:t>
      </w:r>
      <w:proofErr w:type="gramStart"/>
      <w:r w:rsidRPr="008516A1">
        <w:rPr>
          <w:rFonts w:cstheme="minorHAnsi"/>
          <w:b/>
        </w:rPr>
        <w:t>Pertaining</w:t>
      </w:r>
      <w:proofErr w:type="gramEnd"/>
      <w:r w:rsidRPr="008516A1">
        <w:rPr>
          <w:rFonts w:cstheme="minorHAnsi"/>
          <w:b/>
        </w:rPr>
        <w:t xml:space="preserve"> to # of IC&amp;I Long term care and retirement facilities</w:t>
      </w:r>
      <w:r w:rsidRPr="008516A1">
        <w:rPr>
          <w:rFonts w:cstheme="minorHAnsi"/>
        </w:rPr>
        <w:t>:</w:t>
      </w:r>
    </w:p>
    <w:p w:rsidR="002118A5" w:rsidRPr="008516A1" w:rsidRDefault="002118A5" w:rsidP="002118A5">
      <w:pPr>
        <w:rPr>
          <w:rFonts w:cstheme="minorHAnsi"/>
        </w:rPr>
      </w:pPr>
    </w:p>
    <w:p w:rsidR="002118A5" w:rsidRPr="008516A1" w:rsidRDefault="002118A5" w:rsidP="002118A5">
      <w:pPr>
        <w:numPr>
          <w:ilvl w:val="0"/>
          <w:numId w:val="3"/>
        </w:numPr>
        <w:rPr>
          <w:rFonts w:cstheme="minorHAnsi"/>
        </w:rPr>
      </w:pPr>
      <w:r w:rsidRPr="008516A1">
        <w:rPr>
          <w:rFonts w:cstheme="minorHAnsi"/>
        </w:rPr>
        <w:t>Ontario Long Term Care Association</w:t>
      </w:r>
    </w:p>
    <w:p w:rsidR="002118A5" w:rsidRPr="008516A1" w:rsidRDefault="002118A5" w:rsidP="002118A5">
      <w:pPr>
        <w:numPr>
          <w:ilvl w:val="0"/>
          <w:numId w:val="3"/>
        </w:numPr>
        <w:rPr>
          <w:rFonts w:cstheme="minorHAnsi"/>
        </w:rPr>
      </w:pPr>
      <w:r w:rsidRPr="008516A1">
        <w:rPr>
          <w:rFonts w:cstheme="minorHAnsi"/>
        </w:rPr>
        <w:t>Ontario Retirement Communities Association</w:t>
      </w:r>
    </w:p>
    <w:p w:rsidR="002118A5" w:rsidRPr="008516A1" w:rsidRDefault="002118A5" w:rsidP="002118A5">
      <w:pPr>
        <w:numPr>
          <w:ilvl w:val="0"/>
          <w:numId w:val="3"/>
        </w:numPr>
        <w:rPr>
          <w:rFonts w:cstheme="minorHAnsi"/>
        </w:rPr>
      </w:pPr>
      <w:r w:rsidRPr="008516A1">
        <w:rPr>
          <w:rFonts w:cstheme="minorHAnsi"/>
        </w:rPr>
        <w:t>Long term care home directory</w:t>
      </w:r>
    </w:p>
    <w:p w:rsidR="002118A5" w:rsidRPr="008516A1" w:rsidRDefault="002118A5" w:rsidP="002118A5">
      <w:pPr>
        <w:numPr>
          <w:ilvl w:val="0"/>
          <w:numId w:val="3"/>
        </w:numPr>
        <w:rPr>
          <w:rFonts w:cstheme="minorHAnsi"/>
        </w:rPr>
      </w:pPr>
      <w:r w:rsidRPr="008516A1">
        <w:rPr>
          <w:rFonts w:cstheme="minorHAnsi"/>
        </w:rPr>
        <w:t xml:space="preserve">Retirement Home Database </w:t>
      </w:r>
    </w:p>
    <w:p w:rsidR="002118A5" w:rsidRPr="008516A1" w:rsidRDefault="002118A5" w:rsidP="002118A5">
      <w:pPr>
        <w:ind w:left="720"/>
        <w:rPr>
          <w:rFonts w:cstheme="minorHAnsi"/>
        </w:rPr>
      </w:pPr>
      <w:r w:rsidRPr="008516A1">
        <w:rPr>
          <w:rFonts w:cstheme="minorHAnsi"/>
        </w:rPr>
        <w:t>https://www.rhra.ca/en/retirement-home-database/#:~:text=You%20can%20access%20information%20on,including%20those%20in%20your%20community.</w:t>
      </w:r>
    </w:p>
    <w:p w:rsidR="002118A5" w:rsidRPr="008516A1" w:rsidRDefault="002118A5" w:rsidP="002118A5">
      <w:pPr>
        <w:numPr>
          <w:ilvl w:val="0"/>
          <w:numId w:val="3"/>
        </w:numPr>
        <w:rPr>
          <w:rFonts w:cstheme="minorHAnsi"/>
        </w:rPr>
      </w:pPr>
      <w:r w:rsidRPr="008516A1">
        <w:rPr>
          <w:rFonts w:cstheme="minorHAnsi"/>
        </w:rPr>
        <w:t xml:space="preserve">Health, Community and Residential Care Services: </w:t>
      </w:r>
      <w:hyperlink r:id="rId8" w:history="1">
        <w:r w:rsidRPr="008516A1">
          <w:rPr>
            <w:rStyle w:val="Hyperlink"/>
            <w:rFonts w:cstheme="minorHAnsi"/>
          </w:rPr>
          <w:t>http://www.health.gov.on.ca/en/public/programs/ltc/home-finder.aspx</w:t>
        </w:r>
      </w:hyperlink>
    </w:p>
    <w:p w:rsidR="002118A5" w:rsidRPr="008516A1" w:rsidRDefault="002118A5" w:rsidP="002118A5">
      <w:pPr>
        <w:numPr>
          <w:ilvl w:val="0"/>
          <w:numId w:val="3"/>
        </w:numPr>
        <w:rPr>
          <w:rFonts w:cstheme="minorHAnsi"/>
        </w:rPr>
      </w:pPr>
      <w:r w:rsidRPr="008516A1">
        <w:rPr>
          <w:rFonts w:cstheme="minorHAnsi"/>
        </w:rPr>
        <w:t>Service Ontario</w:t>
      </w:r>
    </w:p>
    <w:p w:rsidR="002118A5" w:rsidRPr="008516A1" w:rsidRDefault="002118A5" w:rsidP="002118A5">
      <w:pPr>
        <w:numPr>
          <w:ilvl w:val="0"/>
          <w:numId w:val="3"/>
        </w:numPr>
        <w:rPr>
          <w:rFonts w:cstheme="minorHAnsi"/>
        </w:rPr>
      </w:pPr>
      <w:r w:rsidRPr="008516A1">
        <w:rPr>
          <w:rFonts w:cstheme="minorHAnsi"/>
        </w:rPr>
        <w:t xml:space="preserve"># of FTE Staff: </w:t>
      </w:r>
      <w:hyperlink r:id="rId9" w:history="1">
        <w:r w:rsidRPr="008516A1">
          <w:rPr>
            <w:rStyle w:val="Hyperlink"/>
            <w:rFonts w:cstheme="minorHAnsi"/>
          </w:rPr>
          <w:t>https://www.ontario.ca/page/long-term-care-staffing-study</w:t>
        </w:r>
      </w:hyperlink>
    </w:p>
    <w:p w:rsidR="002118A5" w:rsidRPr="008516A1" w:rsidRDefault="002118A5" w:rsidP="002118A5">
      <w:pPr>
        <w:numPr>
          <w:ilvl w:val="0"/>
          <w:numId w:val="3"/>
        </w:numPr>
        <w:rPr>
          <w:rFonts w:cstheme="minorHAnsi"/>
        </w:rPr>
      </w:pPr>
      <w:r w:rsidRPr="008516A1">
        <w:rPr>
          <w:rFonts w:cstheme="minorHAnsi"/>
        </w:rPr>
        <w:lastRenderedPageBreak/>
        <w:t xml:space="preserve"># of Long Term Care Beds: </w:t>
      </w:r>
      <w:hyperlink r:id="rId10" w:history="1">
        <w:r w:rsidRPr="008516A1">
          <w:rPr>
            <w:rStyle w:val="Hyperlink"/>
            <w:rFonts w:cstheme="minorHAnsi"/>
          </w:rPr>
          <w:t>https://www.oltca.com/oltca/OLTCA/Public/LongTermCare/FactsFigures.aspx</w:t>
        </w:r>
      </w:hyperlink>
    </w:p>
    <w:p w:rsidR="002118A5" w:rsidRPr="008516A1" w:rsidRDefault="002118A5" w:rsidP="002118A5">
      <w:pPr>
        <w:numPr>
          <w:ilvl w:val="0"/>
          <w:numId w:val="3"/>
        </w:numPr>
        <w:rPr>
          <w:rFonts w:cstheme="minorHAnsi"/>
        </w:rPr>
      </w:pPr>
      <w:r w:rsidRPr="008516A1">
        <w:rPr>
          <w:rFonts w:cstheme="minorHAnsi"/>
        </w:rPr>
        <w:t># of Seniors living in Retirement Homes (not requiring dedicated care): 158613 (Statistics Canada - # of Ontarians above 65 living in long term care or nursing homes, minus # of long term care patients)</w:t>
      </w:r>
    </w:p>
    <w:p w:rsidR="002118A5" w:rsidRPr="008516A1" w:rsidRDefault="002118A5" w:rsidP="002118A5">
      <w:pPr>
        <w:ind w:left="720"/>
        <w:rPr>
          <w:rFonts w:cstheme="minorHAnsi"/>
        </w:rPr>
      </w:pPr>
    </w:p>
    <w:p w:rsidR="002118A5" w:rsidRPr="008516A1" w:rsidRDefault="002118A5" w:rsidP="002118A5">
      <w:pPr>
        <w:ind w:left="360"/>
        <w:contextualSpacing/>
        <w:rPr>
          <w:rFonts w:cstheme="minorHAnsi"/>
          <w:b/>
        </w:rPr>
      </w:pPr>
      <w:r w:rsidRPr="008516A1">
        <w:rPr>
          <w:rFonts w:cstheme="minorHAnsi"/>
          <w:b/>
        </w:rPr>
        <w:t>Data pertaining to # of Elementary and Secondary Schools in Ontario</w:t>
      </w:r>
    </w:p>
    <w:p w:rsidR="002118A5" w:rsidRPr="008516A1" w:rsidRDefault="002118A5" w:rsidP="002118A5">
      <w:pPr>
        <w:numPr>
          <w:ilvl w:val="0"/>
          <w:numId w:val="4"/>
        </w:numPr>
        <w:contextualSpacing/>
        <w:rPr>
          <w:rFonts w:cstheme="minorHAnsi"/>
        </w:rPr>
      </w:pPr>
      <w:r w:rsidRPr="008516A1">
        <w:rPr>
          <w:rFonts w:cstheme="minorHAnsi"/>
        </w:rPr>
        <w:t>Ontario Public School Boards Association</w:t>
      </w:r>
    </w:p>
    <w:p w:rsidR="002118A5" w:rsidRPr="008516A1" w:rsidRDefault="002118A5" w:rsidP="002118A5">
      <w:pPr>
        <w:numPr>
          <w:ilvl w:val="0"/>
          <w:numId w:val="4"/>
        </w:numPr>
        <w:contextualSpacing/>
        <w:rPr>
          <w:rFonts w:cstheme="minorHAnsi"/>
        </w:rPr>
      </w:pPr>
      <w:r w:rsidRPr="008516A1">
        <w:rPr>
          <w:rFonts w:cstheme="minorHAnsi"/>
        </w:rPr>
        <w:t>Ontario Catholic School Trustees Association</w:t>
      </w:r>
    </w:p>
    <w:p w:rsidR="002118A5" w:rsidRPr="008516A1" w:rsidRDefault="002118A5" w:rsidP="002118A5">
      <w:pPr>
        <w:numPr>
          <w:ilvl w:val="0"/>
          <w:numId w:val="4"/>
        </w:numPr>
        <w:contextualSpacing/>
        <w:rPr>
          <w:rFonts w:cstheme="minorHAnsi"/>
        </w:rPr>
      </w:pPr>
      <w:proofErr w:type="spellStart"/>
      <w:r w:rsidRPr="008516A1">
        <w:rPr>
          <w:rFonts w:cstheme="minorHAnsi"/>
        </w:rPr>
        <w:t>L'Association</w:t>
      </w:r>
      <w:proofErr w:type="spellEnd"/>
      <w:r w:rsidRPr="008516A1">
        <w:rPr>
          <w:rFonts w:cstheme="minorHAnsi"/>
        </w:rPr>
        <w:t xml:space="preserve"> des </w:t>
      </w:r>
      <w:proofErr w:type="spellStart"/>
      <w:r w:rsidRPr="008516A1">
        <w:rPr>
          <w:rFonts w:cstheme="minorHAnsi"/>
        </w:rPr>
        <w:t>conseils</w:t>
      </w:r>
      <w:proofErr w:type="spellEnd"/>
      <w:r w:rsidRPr="008516A1">
        <w:rPr>
          <w:rFonts w:cstheme="minorHAnsi"/>
        </w:rPr>
        <w:t xml:space="preserve"> </w:t>
      </w:r>
      <w:proofErr w:type="spellStart"/>
      <w:r w:rsidRPr="008516A1">
        <w:rPr>
          <w:rFonts w:cstheme="minorHAnsi"/>
        </w:rPr>
        <w:t>scolaires</w:t>
      </w:r>
      <w:proofErr w:type="spellEnd"/>
      <w:r w:rsidRPr="008516A1">
        <w:rPr>
          <w:rFonts w:cstheme="minorHAnsi"/>
        </w:rPr>
        <w:t xml:space="preserve"> des </w:t>
      </w:r>
      <w:proofErr w:type="spellStart"/>
      <w:r w:rsidRPr="008516A1">
        <w:rPr>
          <w:rFonts w:cstheme="minorHAnsi"/>
        </w:rPr>
        <w:t>ecoles</w:t>
      </w:r>
      <w:proofErr w:type="spellEnd"/>
      <w:r w:rsidRPr="008516A1">
        <w:rPr>
          <w:rFonts w:cstheme="minorHAnsi"/>
        </w:rPr>
        <w:t> </w:t>
      </w:r>
      <w:proofErr w:type="spellStart"/>
      <w:r w:rsidRPr="008516A1">
        <w:rPr>
          <w:rFonts w:cstheme="minorHAnsi"/>
        </w:rPr>
        <w:t>publiques</w:t>
      </w:r>
      <w:proofErr w:type="spellEnd"/>
      <w:r w:rsidRPr="008516A1">
        <w:rPr>
          <w:rFonts w:cstheme="minorHAnsi"/>
        </w:rPr>
        <w:t xml:space="preserve"> (Public French Language)</w:t>
      </w:r>
    </w:p>
    <w:p w:rsidR="002118A5" w:rsidRPr="008516A1" w:rsidRDefault="002118A5" w:rsidP="002118A5">
      <w:pPr>
        <w:numPr>
          <w:ilvl w:val="0"/>
          <w:numId w:val="4"/>
        </w:numPr>
        <w:contextualSpacing/>
        <w:rPr>
          <w:rFonts w:cstheme="minorHAnsi"/>
        </w:rPr>
      </w:pPr>
      <w:proofErr w:type="spellStart"/>
      <w:r w:rsidRPr="008516A1">
        <w:rPr>
          <w:rFonts w:cstheme="minorHAnsi"/>
        </w:rPr>
        <w:t>L'Ecole</w:t>
      </w:r>
      <w:proofErr w:type="spellEnd"/>
      <w:r w:rsidRPr="008516A1">
        <w:rPr>
          <w:rFonts w:cstheme="minorHAnsi"/>
        </w:rPr>
        <w:t xml:space="preserve"> </w:t>
      </w:r>
      <w:proofErr w:type="spellStart"/>
      <w:r w:rsidRPr="008516A1">
        <w:rPr>
          <w:rFonts w:cstheme="minorHAnsi"/>
        </w:rPr>
        <w:t>Catholique</w:t>
      </w:r>
      <w:proofErr w:type="spellEnd"/>
      <w:r w:rsidRPr="008516A1">
        <w:rPr>
          <w:rFonts w:cstheme="minorHAnsi"/>
        </w:rPr>
        <w:t xml:space="preserve"> (Catholic French Language)</w:t>
      </w:r>
    </w:p>
    <w:p w:rsidR="002118A5" w:rsidRPr="008516A1" w:rsidRDefault="002118A5" w:rsidP="002118A5">
      <w:pPr>
        <w:numPr>
          <w:ilvl w:val="0"/>
          <w:numId w:val="4"/>
        </w:numPr>
        <w:contextualSpacing/>
        <w:rPr>
          <w:rFonts w:cstheme="minorHAnsi"/>
        </w:rPr>
      </w:pPr>
      <w:r w:rsidRPr="008516A1">
        <w:rPr>
          <w:rFonts w:cstheme="minorHAnsi"/>
        </w:rPr>
        <w:t xml:space="preserve">Ontario Public School Contact Directory: </w:t>
      </w:r>
      <w:hyperlink r:id="rId11" w:history="1">
        <w:r w:rsidRPr="008516A1">
          <w:rPr>
            <w:rStyle w:val="Hyperlink"/>
            <w:rFonts w:cstheme="minorHAnsi"/>
          </w:rPr>
          <w:t>https://data.ontario.ca/dataset/ontario-public-school-contact-information</w:t>
        </w:r>
      </w:hyperlink>
    </w:p>
    <w:p w:rsidR="002118A5" w:rsidRPr="008516A1" w:rsidRDefault="002118A5" w:rsidP="002118A5">
      <w:pPr>
        <w:numPr>
          <w:ilvl w:val="0"/>
          <w:numId w:val="4"/>
        </w:numPr>
        <w:contextualSpacing/>
        <w:rPr>
          <w:rFonts w:cstheme="minorHAnsi"/>
        </w:rPr>
      </w:pPr>
      <w:r w:rsidRPr="008516A1">
        <w:rPr>
          <w:rFonts w:cstheme="minorHAnsi"/>
        </w:rPr>
        <w:t xml:space="preserve">Student enrollment data: </w:t>
      </w:r>
      <w:hyperlink r:id="rId12" w:history="1">
        <w:r w:rsidRPr="008516A1">
          <w:rPr>
            <w:rStyle w:val="Hyperlink"/>
            <w:rFonts w:cstheme="minorHAnsi"/>
          </w:rPr>
          <w:t>http://www.edu.gov.on.ca/eng/educationfacts.html</w:t>
        </w:r>
      </w:hyperlink>
    </w:p>
    <w:p w:rsidR="002118A5" w:rsidRPr="008516A1" w:rsidRDefault="002118A5" w:rsidP="002118A5">
      <w:pPr>
        <w:numPr>
          <w:ilvl w:val="0"/>
          <w:numId w:val="4"/>
        </w:numPr>
        <w:contextualSpacing/>
        <w:rPr>
          <w:rFonts w:cstheme="minorHAnsi"/>
        </w:rPr>
      </w:pPr>
      <w:r w:rsidRPr="008516A1">
        <w:rPr>
          <w:rFonts w:cstheme="minorHAnsi"/>
        </w:rPr>
        <w:t xml:space="preserve"># of FTE Teachers: </w:t>
      </w:r>
      <w:hyperlink r:id="rId13" w:history="1">
        <w:r w:rsidRPr="008516A1">
          <w:rPr>
            <w:rStyle w:val="Hyperlink"/>
            <w:rFonts w:cstheme="minorHAnsi"/>
          </w:rPr>
          <w:t>http://www.edu.gov.on.ca/eng/educationfacts.html</w:t>
        </w:r>
      </w:hyperlink>
      <w:r w:rsidRPr="008516A1">
        <w:rPr>
          <w:rFonts w:cstheme="minorHAnsi"/>
        </w:rPr>
        <w:t xml:space="preserve"> </w:t>
      </w:r>
    </w:p>
    <w:p w:rsidR="002118A5" w:rsidRPr="008516A1" w:rsidRDefault="002118A5" w:rsidP="002118A5">
      <w:pPr>
        <w:numPr>
          <w:ilvl w:val="0"/>
          <w:numId w:val="4"/>
        </w:numPr>
        <w:contextualSpacing/>
        <w:rPr>
          <w:rFonts w:cstheme="minorHAnsi"/>
        </w:rPr>
      </w:pPr>
      <w:r w:rsidRPr="008516A1">
        <w:rPr>
          <w:rFonts w:cstheme="minorHAnsi"/>
        </w:rPr>
        <w:t xml:space="preserve"># of FTE Support: </w:t>
      </w:r>
      <w:hyperlink r:id="rId14" w:history="1">
        <w:r w:rsidRPr="008516A1">
          <w:rPr>
            <w:rStyle w:val="Hyperlink"/>
            <w:rFonts w:cstheme="minorHAnsi"/>
          </w:rPr>
          <w:t>http://www.edu.gov.on.ca/eng/educationfacts.html</w:t>
        </w:r>
      </w:hyperlink>
      <w:r w:rsidRPr="008516A1">
        <w:rPr>
          <w:rFonts w:cstheme="minorHAnsi"/>
        </w:rPr>
        <w:t xml:space="preserve"> </w:t>
      </w:r>
    </w:p>
    <w:p w:rsidR="002118A5" w:rsidRPr="008516A1" w:rsidRDefault="002118A5" w:rsidP="002118A5">
      <w:pPr>
        <w:numPr>
          <w:ilvl w:val="0"/>
          <w:numId w:val="4"/>
        </w:numPr>
        <w:contextualSpacing/>
        <w:rPr>
          <w:rFonts w:cstheme="minorHAnsi"/>
        </w:rPr>
      </w:pPr>
      <w:r w:rsidRPr="008516A1">
        <w:rPr>
          <w:rFonts w:cstheme="minorHAnsi"/>
        </w:rPr>
        <w:t xml:space="preserve"># of FTE Administrators: </w:t>
      </w:r>
      <w:hyperlink r:id="rId15" w:history="1">
        <w:r w:rsidRPr="008516A1">
          <w:rPr>
            <w:rStyle w:val="Hyperlink"/>
            <w:rFonts w:cstheme="minorHAnsi"/>
          </w:rPr>
          <w:t>http://www.edu.gov.on.ca/eng/educationfacts.html</w:t>
        </w:r>
      </w:hyperlink>
    </w:p>
    <w:p w:rsidR="002118A5" w:rsidRPr="008516A1" w:rsidRDefault="002118A5" w:rsidP="002118A5">
      <w:pPr>
        <w:contextualSpacing/>
        <w:rPr>
          <w:rFonts w:cstheme="minorHAnsi"/>
        </w:rPr>
      </w:pPr>
    </w:p>
    <w:p w:rsidR="002118A5" w:rsidRPr="008516A1" w:rsidRDefault="002118A5" w:rsidP="002118A5">
      <w:pPr>
        <w:contextualSpacing/>
        <w:rPr>
          <w:rFonts w:cstheme="minorHAnsi"/>
          <w:b/>
        </w:rPr>
      </w:pPr>
      <w:r w:rsidRPr="008516A1">
        <w:rPr>
          <w:rFonts w:cstheme="minorHAnsi"/>
          <w:b/>
        </w:rPr>
        <w:t xml:space="preserve">Data </w:t>
      </w:r>
      <w:proofErr w:type="gramStart"/>
      <w:r w:rsidRPr="008516A1">
        <w:rPr>
          <w:rFonts w:cstheme="minorHAnsi"/>
          <w:b/>
        </w:rPr>
        <w:t>Pertaining</w:t>
      </w:r>
      <w:proofErr w:type="gramEnd"/>
      <w:r w:rsidRPr="008516A1">
        <w:rPr>
          <w:rFonts w:cstheme="minorHAnsi"/>
          <w:b/>
        </w:rPr>
        <w:t xml:space="preserve"> to # of Private Multi-Residential Buildings and costs associated with multi-residential collection</w:t>
      </w:r>
    </w:p>
    <w:p w:rsidR="002118A5" w:rsidRPr="008516A1" w:rsidRDefault="002118A5" w:rsidP="002118A5">
      <w:pPr>
        <w:contextualSpacing/>
        <w:rPr>
          <w:rFonts w:cstheme="minorHAnsi"/>
        </w:rPr>
      </w:pPr>
    </w:p>
    <w:p w:rsidR="002118A5" w:rsidRPr="008516A1" w:rsidRDefault="002118A5" w:rsidP="002118A5">
      <w:pPr>
        <w:pStyle w:val="ListParagraph"/>
        <w:numPr>
          <w:ilvl w:val="0"/>
          <w:numId w:val="2"/>
        </w:numPr>
        <w:ind w:left="720"/>
        <w:rPr>
          <w:rFonts w:cstheme="minorHAnsi"/>
          <w:sz w:val="24"/>
          <w:szCs w:val="24"/>
        </w:rPr>
      </w:pPr>
      <w:hyperlink r:id="rId16" w:history="1">
        <w:r w:rsidRPr="008516A1">
          <w:rPr>
            <w:rStyle w:val="Hyperlink"/>
            <w:rFonts w:cstheme="minorHAnsi"/>
            <w:sz w:val="24"/>
            <w:szCs w:val="24"/>
          </w:rPr>
          <w:t>https://www12.statcan.gc.ca/census-recensement/2016/as-sa/98-200-x/2016005/98-200-x2016005-eng.cfm</w:t>
        </w:r>
      </w:hyperlink>
    </w:p>
    <w:p w:rsidR="002118A5" w:rsidRPr="008516A1" w:rsidRDefault="002118A5" w:rsidP="002118A5">
      <w:pPr>
        <w:pStyle w:val="ListParagraph"/>
        <w:numPr>
          <w:ilvl w:val="0"/>
          <w:numId w:val="2"/>
        </w:numPr>
        <w:ind w:left="720"/>
        <w:rPr>
          <w:rFonts w:cstheme="minorHAnsi"/>
          <w:sz w:val="24"/>
          <w:szCs w:val="24"/>
        </w:rPr>
      </w:pPr>
      <w:hyperlink r:id="rId17" w:history="1">
        <w:r w:rsidRPr="008516A1">
          <w:rPr>
            <w:rStyle w:val="Hyperlink"/>
            <w:rFonts w:cstheme="minorHAnsi"/>
            <w:sz w:val="24"/>
            <w:szCs w:val="24"/>
          </w:rPr>
          <w:t>https://stewardshipontario.ca/wp-content/uploads/2013/03/Sustainable-Financing-Approaches-for-Multi-Family-Buildings.pdf</w:t>
        </w:r>
      </w:hyperlink>
    </w:p>
    <w:p w:rsidR="002118A5" w:rsidRPr="008516A1" w:rsidRDefault="002118A5" w:rsidP="002118A5">
      <w:pPr>
        <w:pStyle w:val="ListParagraph"/>
        <w:numPr>
          <w:ilvl w:val="0"/>
          <w:numId w:val="2"/>
        </w:numPr>
        <w:ind w:left="720"/>
        <w:rPr>
          <w:rFonts w:cstheme="minorHAnsi"/>
          <w:sz w:val="24"/>
          <w:szCs w:val="24"/>
        </w:rPr>
      </w:pPr>
      <w:r w:rsidRPr="008516A1">
        <w:rPr>
          <w:rFonts w:cstheme="minorHAnsi"/>
          <w:sz w:val="24"/>
          <w:szCs w:val="24"/>
        </w:rPr>
        <w:t>https://thecif.ca/wp-content/uploads/2019/02/979-Toronto_Final_Report.pdf</w:t>
      </w:r>
    </w:p>
    <w:p w:rsidR="002118A5" w:rsidRPr="008516A1" w:rsidRDefault="002118A5" w:rsidP="002118A5">
      <w:pPr>
        <w:pStyle w:val="ListParagraph"/>
        <w:numPr>
          <w:ilvl w:val="0"/>
          <w:numId w:val="2"/>
        </w:numPr>
        <w:ind w:left="720"/>
        <w:rPr>
          <w:rFonts w:cstheme="minorHAnsi"/>
          <w:sz w:val="24"/>
          <w:szCs w:val="24"/>
        </w:rPr>
      </w:pPr>
      <w:r w:rsidRPr="008516A1">
        <w:rPr>
          <w:rFonts w:cstheme="minorHAnsi"/>
          <w:sz w:val="24"/>
          <w:szCs w:val="24"/>
        </w:rPr>
        <w:t>https://www.solidwastemag.com/feature/toronto-s-70-per-cent-solution/</w:t>
      </w:r>
    </w:p>
    <w:p w:rsidR="002118A5" w:rsidRPr="008516A1" w:rsidRDefault="002118A5" w:rsidP="002118A5">
      <w:pPr>
        <w:rPr>
          <w:rFonts w:cstheme="minorHAnsi"/>
          <w:b/>
        </w:rPr>
      </w:pPr>
      <w:r w:rsidRPr="008516A1">
        <w:rPr>
          <w:rFonts w:cstheme="minorHAnsi"/>
          <w:b/>
        </w:rPr>
        <w:t>Data pertaining to composition and quantities of waste generated by IC&amp;I sector</w:t>
      </w:r>
    </w:p>
    <w:p w:rsidR="002118A5" w:rsidRPr="008516A1" w:rsidRDefault="002118A5" w:rsidP="002118A5">
      <w:pPr>
        <w:rPr>
          <w:rFonts w:cstheme="minorHAnsi"/>
        </w:rPr>
      </w:pPr>
      <w:r w:rsidRPr="008516A1">
        <w:rPr>
          <w:rFonts w:cstheme="minorHAnsi"/>
        </w:rPr>
        <w:t xml:space="preserve">All audits </w:t>
      </w:r>
      <w:r>
        <w:rPr>
          <w:rFonts w:cstheme="minorHAnsi"/>
        </w:rPr>
        <w:t xml:space="preserve">were </w:t>
      </w:r>
      <w:r w:rsidRPr="008516A1">
        <w:rPr>
          <w:rFonts w:cstheme="minorHAnsi"/>
        </w:rPr>
        <w:t xml:space="preserve">conducted </w:t>
      </w:r>
      <w:proofErr w:type="gramStart"/>
      <w:r w:rsidRPr="008516A1">
        <w:rPr>
          <w:rFonts w:cstheme="minorHAnsi"/>
        </w:rPr>
        <w:t>between 2015-2019 by team(s) of professional auditors</w:t>
      </w:r>
      <w:proofErr w:type="gramEnd"/>
      <w:r w:rsidRPr="008516A1">
        <w:rPr>
          <w:rFonts w:cstheme="minorHAnsi"/>
        </w:rPr>
        <w:t>. Audits conducted in accordance with RPRA audit guidelines (previous WDO audit guidelines) and include 144 material categories, including 23 materials that are considered printed paper and packaging.</w:t>
      </w:r>
    </w:p>
    <w:p w:rsidR="002118A5" w:rsidRPr="008516A1" w:rsidRDefault="002118A5" w:rsidP="002118A5">
      <w:pPr>
        <w:rPr>
          <w:rFonts w:cstheme="minorHAnsi"/>
        </w:rPr>
      </w:pPr>
      <w:r w:rsidRPr="008516A1">
        <w:rPr>
          <w:rFonts w:cstheme="minorHAnsi"/>
        </w:rPr>
        <w:t>All audits include the relative composition of the recycling, organics and waste streams, absolute weights measured (by material type) during the audits and projected generation, diversion and disposal in a full calendar year.</w:t>
      </w:r>
    </w:p>
    <w:p w:rsidR="002118A5" w:rsidRPr="008516A1" w:rsidRDefault="002118A5" w:rsidP="002118A5">
      <w:pPr>
        <w:rPr>
          <w:rFonts w:cstheme="minorHAnsi"/>
        </w:rPr>
      </w:pPr>
      <w:r w:rsidRPr="008516A1">
        <w:rPr>
          <w:rFonts w:cstheme="minorHAnsi"/>
        </w:rPr>
        <w:t>Of the 101 audits included in this study, only 15 included full year seasonal audits (sampled four times in a calendar year to capture seasonality)</w:t>
      </w:r>
    </w:p>
    <w:p w:rsidR="002118A5" w:rsidRPr="008516A1" w:rsidRDefault="002118A5" w:rsidP="002118A5">
      <w:pPr>
        <w:pStyle w:val="ListParagraph"/>
        <w:numPr>
          <w:ilvl w:val="0"/>
          <w:numId w:val="5"/>
        </w:numPr>
        <w:rPr>
          <w:rFonts w:cstheme="minorHAnsi"/>
          <w:sz w:val="24"/>
          <w:szCs w:val="24"/>
        </w:rPr>
      </w:pPr>
      <w:r w:rsidRPr="008516A1">
        <w:rPr>
          <w:rFonts w:cstheme="minorHAnsi"/>
          <w:sz w:val="24"/>
          <w:szCs w:val="24"/>
        </w:rPr>
        <w:t xml:space="preserve">37 waste audits for schools: 21 Primary, 16 Secondary. </w:t>
      </w:r>
    </w:p>
    <w:p w:rsidR="002118A5" w:rsidRPr="008516A1" w:rsidRDefault="002118A5" w:rsidP="002118A5">
      <w:pPr>
        <w:pStyle w:val="ListParagraph"/>
        <w:numPr>
          <w:ilvl w:val="0"/>
          <w:numId w:val="5"/>
        </w:numPr>
        <w:rPr>
          <w:rFonts w:cstheme="minorHAnsi"/>
          <w:sz w:val="24"/>
          <w:szCs w:val="24"/>
        </w:rPr>
      </w:pPr>
      <w:r w:rsidRPr="008516A1">
        <w:rPr>
          <w:rFonts w:cstheme="minorHAnsi"/>
          <w:sz w:val="24"/>
          <w:szCs w:val="24"/>
        </w:rPr>
        <w:t>16 waste audits long term care facilities</w:t>
      </w:r>
    </w:p>
    <w:p w:rsidR="002118A5" w:rsidRPr="008516A1" w:rsidRDefault="002118A5" w:rsidP="002118A5">
      <w:pPr>
        <w:pStyle w:val="ListParagraph"/>
        <w:numPr>
          <w:ilvl w:val="0"/>
          <w:numId w:val="5"/>
        </w:numPr>
        <w:rPr>
          <w:rFonts w:cstheme="minorHAnsi"/>
          <w:sz w:val="24"/>
          <w:szCs w:val="24"/>
        </w:rPr>
      </w:pPr>
      <w:r w:rsidRPr="008516A1">
        <w:rPr>
          <w:rFonts w:cstheme="minorHAnsi"/>
          <w:sz w:val="24"/>
          <w:szCs w:val="24"/>
        </w:rPr>
        <w:t>8 waste audits retirement homes</w:t>
      </w:r>
    </w:p>
    <w:p w:rsidR="002118A5" w:rsidRPr="008516A1" w:rsidRDefault="002118A5" w:rsidP="002118A5">
      <w:pPr>
        <w:pStyle w:val="ListParagraph"/>
        <w:numPr>
          <w:ilvl w:val="0"/>
          <w:numId w:val="5"/>
        </w:numPr>
        <w:rPr>
          <w:rFonts w:cstheme="minorHAnsi"/>
          <w:sz w:val="24"/>
          <w:szCs w:val="24"/>
        </w:rPr>
      </w:pPr>
      <w:r w:rsidRPr="008516A1">
        <w:rPr>
          <w:rFonts w:cstheme="minorHAnsi"/>
          <w:sz w:val="24"/>
          <w:szCs w:val="24"/>
        </w:rPr>
        <w:t>40 waste audits multi-residential audits</w:t>
      </w:r>
    </w:p>
    <w:p w:rsidR="002118A5" w:rsidRPr="008516A1" w:rsidRDefault="002118A5" w:rsidP="002118A5">
      <w:pPr>
        <w:rPr>
          <w:rFonts w:cstheme="minorHAnsi"/>
        </w:rPr>
      </w:pPr>
      <w:r w:rsidRPr="008516A1">
        <w:rPr>
          <w:rFonts w:cstheme="minorHAnsi"/>
        </w:rPr>
        <w:t>The following is a geographic breakdown of where audits were conducted</w:t>
      </w:r>
    </w:p>
    <w:p w:rsidR="002118A5" w:rsidRPr="008516A1" w:rsidRDefault="002118A5" w:rsidP="002118A5">
      <w:pPr>
        <w:pStyle w:val="ListParagraph"/>
        <w:numPr>
          <w:ilvl w:val="0"/>
          <w:numId w:val="6"/>
        </w:numPr>
        <w:rPr>
          <w:rFonts w:cstheme="minorHAnsi"/>
          <w:sz w:val="24"/>
          <w:szCs w:val="24"/>
        </w:rPr>
      </w:pPr>
      <w:r w:rsidRPr="008516A1">
        <w:rPr>
          <w:rFonts w:cstheme="minorHAnsi"/>
          <w:sz w:val="24"/>
          <w:szCs w:val="24"/>
        </w:rPr>
        <w:t>34% Greater Toronto Area</w:t>
      </w:r>
    </w:p>
    <w:p w:rsidR="002118A5" w:rsidRPr="008516A1" w:rsidRDefault="002118A5" w:rsidP="002118A5">
      <w:pPr>
        <w:pStyle w:val="ListParagraph"/>
        <w:numPr>
          <w:ilvl w:val="0"/>
          <w:numId w:val="6"/>
        </w:numPr>
        <w:rPr>
          <w:rFonts w:cstheme="minorHAnsi"/>
          <w:sz w:val="24"/>
          <w:szCs w:val="24"/>
        </w:rPr>
      </w:pPr>
      <w:r w:rsidRPr="008516A1">
        <w:rPr>
          <w:rFonts w:cstheme="minorHAnsi"/>
          <w:sz w:val="24"/>
          <w:szCs w:val="24"/>
        </w:rPr>
        <w:t>72% Southern Ontario (Including GTA)</w:t>
      </w:r>
    </w:p>
    <w:p w:rsidR="002118A5" w:rsidRPr="008516A1" w:rsidRDefault="002118A5" w:rsidP="002118A5">
      <w:pPr>
        <w:pStyle w:val="ListParagraph"/>
        <w:numPr>
          <w:ilvl w:val="0"/>
          <w:numId w:val="6"/>
        </w:numPr>
        <w:rPr>
          <w:rFonts w:cstheme="minorHAnsi"/>
          <w:sz w:val="24"/>
          <w:szCs w:val="24"/>
        </w:rPr>
      </w:pPr>
      <w:r w:rsidRPr="008516A1">
        <w:rPr>
          <w:rFonts w:cstheme="minorHAnsi"/>
          <w:sz w:val="24"/>
          <w:szCs w:val="24"/>
        </w:rPr>
        <w:lastRenderedPageBreak/>
        <w:t>18% Central and Eastern Ontario (including Ottawa)</w:t>
      </w:r>
    </w:p>
    <w:p w:rsidR="002118A5" w:rsidRPr="008516A1" w:rsidRDefault="002118A5" w:rsidP="002118A5">
      <w:pPr>
        <w:pStyle w:val="ListParagraph"/>
        <w:numPr>
          <w:ilvl w:val="0"/>
          <w:numId w:val="6"/>
        </w:numPr>
        <w:rPr>
          <w:rFonts w:cstheme="minorHAnsi"/>
          <w:sz w:val="24"/>
          <w:szCs w:val="24"/>
        </w:rPr>
      </w:pPr>
      <w:r w:rsidRPr="008516A1">
        <w:rPr>
          <w:rFonts w:cstheme="minorHAnsi"/>
          <w:sz w:val="24"/>
          <w:szCs w:val="24"/>
        </w:rPr>
        <w:t>10% Northern Ontario</w:t>
      </w:r>
    </w:p>
    <w:p w:rsidR="002118A5" w:rsidRPr="008516A1" w:rsidRDefault="002118A5" w:rsidP="002118A5">
      <w:pPr>
        <w:rPr>
          <w:rFonts w:cstheme="minorHAnsi"/>
          <w:b/>
        </w:rPr>
      </w:pPr>
      <w:r w:rsidRPr="008516A1">
        <w:rPr>
          <w:rFonts w:cstheme="minorHAnsi"/>
          <w:b/>
        </w:rPr>
        <w:t>Data pertaining to costs of material management (including collection and processing)</w:t>
      </w:r>
    </w:p>
    <w:p w:rsidR="002118A5" w:rsidRPr="008516A1" w:rsidRDefault="002118A5" w:rsidP="002118A5">
      <w:pPr>
        <w:rPr>
          <w:rFonts w:cstheme="minorHAnsi"/>
        </w:rPr>
      </w:pPr>
      <w:r w:rsidRPr="008516A1">
        <w:rPr>
          <w:rFonts w:cstheme="minorHAnsi"/>
        </w:rPr>
        <w:t>For Blue Box materials, the Stewardship Ontario Pay in Model was used to estimate the costs of recycling printed paper and packaging materials</w:t>
      </w:r>
      <w:r>
        <w:rPr>
          <w:rFonts w:cstheme="minorHAnsi"/>
        </w:rPr>
        <w:t>.</w:t>
      </w:r>
      <w:r w:rsidRPr="008516A1">
        <w:rPr>
          <w:rFonts w:cstheme="minorHAnsi"/>
        </w:rPr>
        <w:t xml:space="preserve"> </w:t>
      </w:r>
    </w:p>
    <w:p w:rsidR="002118A5" w:rsidRPr="008516A1" w:rsidRDefault="002118A5" w:rsidP="002118A5">
      <w:pPr>
        <w:rPr>
          <w:rFonts w:cstheme="minorHAnsi"/>
        </w:rPr>
      </w:pPr>
      <w:r w:rsidRPr="008516A1">
        <w:rPr>
          <w:rFonts w:cstheme="minorHAnsi"/>
        </w:rPr>
        <w:t>For costs associated with multi-residential collection, a range of values were tested. This range reflects the different per unit collection costs that could be gleaned from the broader public literature on multi-residential recycling (see sources above)</w:t>
      </w:r>
      <w:r>
        <w:rPr>
          <w:rFonts w:cstheme="minorHAnsi"/>
        </w:rPr>
        <w:t>.</w:t>
      </w:r>
    </w:p>
    <w:p w:rsidR="002118A5" w:rsidRPr="008516A1" w:rsidRDefault="002118A5" w:rsidP="002118A5">
      <w:pPr>
        <w:rPr>
          <w:rFonts w:cstheme="minorHAnsi"/>
        </w:rPr>
      </w:pPr>
      <w:r w:rsidRPr="008516A1">
        <w:rPr>
          <w:rFonts w:cstheme="minorHAnsi"/>
        </w:rPr>
        <w:t xml:space="preserve">For costs associated with collecting recyclables from schools and long term care/retirement facilities, several scenarios were modeled. The first scenario assumes that the cost of servicing these facilities is comparable to the costs of servicing the multi-residential sector (as some of these sites are already being serviced as part of the Blue Box Program). Additional scenarios reflected self-reported collection costs provided by sources who were familiar with their facility operations and costs. </w:t>
      </w:r>
    </w:p>
    <w:p w:rsidR="002118A5" w:rsidRPr="008516A1" w:rsidRDefault="002118A5" w:rsidP="002118A5">
      <w:pPr>
        <w:rPr>
          <w:rFonts w:cstheme="minorHAnsi"/>
          <w:b/>
        </w:rPr>
      </w:pPr>
      <w:r w:rsidRPr="008516A1">
        <w:rPr>
          <w:rFonts w:cstheme="minorHAnsi"/>
          <w:b/>
        </w:rPr>
        <w:t xml:space="preserve">Supplemental data gathering </w:t>
      </w:r>
    </w:p>
    <w:p w:rsidR="002118A5" w:rsidRPr="008516A1" w:rsidRDefault="002118A5" w:rsidP="002118A5">
      <w:pPr>
        <w:rPr>
          <w:rFonts w:cstheme="minorHAnsi"/>
        </w:rPr>
      </w:pPr>
      <w:r w:rsidRPr="008516A1">
        <w:rPr>
          <w:rFonts w:cstheme="minorHAnsi"/>
        </w:rPr>
        <w:t>Over a four week period beginning on August the 18</w:t>
      </w:r>
      <w:r w:rsidRPr="008516A1">
        <w:rPr>
          <w:rFonts w:cstheme="minorHAnsi"/>
          <w:vertAlign w:val="superscript"/>
        </w:rPr>
        <w:t>th</w:t>
      </w:r>
      <w:r>
        <w:rPr>
          <w:rFonts w:cstheme="minorHAnsi"/>
          <w:vertAlign w:val="superscript"/>
        </w:rPr>
        <w:t xml:space="preserve"> 2020</w:t>
      </w:r>
      <w:r w:rsidRPr="008516A1">
        <w:rPr>
          <w:rFonts w:cstheme="minorHAnsi"/>
        </w:rPr>
        <w:t xml:space="preserve">, a team of four students were asked to randomly contact various IC&amp;I sites to ask questions pertaining to their waste and recycling operations. Specifically, sites were asked the following: </w:t>
      </w:r>
    </w:p>
    <w:p w:rsidR="002118A5" w:rsidRPr="008516A1" w:rsidRDefault="002118A5" w:rsidP="002118A5">
      <w:pPr>
        <w:pStyle w:val="ListParagraph"/>
        <w:numPr>
          <w:ilvl w:val="0"/>
          <w:numId w:val="7"/>
        </w:numPr>
        <w:rPr>
          <w:rFonts w:cstheme="minorHAnsi"/>
          <w:sz w:val="24"/>
          <w:szCs w:val="24"/>
        </w:rPr>
      </w:pPr>
      <w:r w:rsidRPr="008516A1">
        <w:rPr>
          <w:rFonts w:cstheme="minorHAnsi"/>
          <w:sz w:val="24"/>
          <w:szCs w:val="24"/>
        </w:rPr>
        <w:t xml:space="preserve">Does your site have a recycling program for printed paper and packaging? </w:t>
      </w:r>
    </w:p>
    <w:p w:rsidR="002118A5" w:rsidRPr="008516A1" w:rsidRDefault="002118A5" w:rsidP="002118A5">
      <w:pPr>
        <w:pStyle w:val="ListParagraph"/>
        <w:numPr>
          <w:ilvl w:val="0"/>
          <w:numId w:val="7"/>
        </w:numPr>
        <w:rPr>
          <w:rFonts w:cstheme="minorHAnsi"/>
          <w:sz w:val="24"/>
          <w:szCs w:val="24"/>
        </w:rPr>
      </w:pPr>
      <w:r w:rsidRPr="008516A1">
        <w:rPr>
          <w:rFonts w:cstheme="minorHAnsi"/>
          <w:sz w:val="24"/>
          <w:szCs w:val="24"/>
        </w:rPr>
        <w:t>If so, do you know who is responsible for collecting this material? Is it the city, or is it a private contractor?</w:t>
      </w:r>
    </w:p>
    <w:p w:rsidR="002118A5" w:rsidRPr="008516A1" w:rsidRDefault="002118A5" w:rsidP="002118A5">
      <w:pPr>
        <w:pStyle w:val="ListParagraph"/>
        <w:numPr>
          <w:ilvl w:val="0"/>
          <w:numId w:val="7"/>
        </w:numPr>
        <w:rPr>
          <w:rFonts w:cstheme="minorHAnsi"/>
          <w:sz w:val="24"/>
          <w:szCs w:val="24"/>
        </w:rPr>
      </w:pPr>
      <w:r w:rsidRPr="008516A1">
        <w:rPr>
          <w:rFonts w:cstheme="minorHAnsi"/>
          <w:sz w:val="24"/>
          <w:szCs w:val="24"/>
        </w:rPr>
        <w:t xml:space="preserve">How often do you receive waste collection services? </w:t>
      </w:r>
    </w:p>
    <w:p w:rsidR="002118A5" w:rsidRPr="008516A1" w:rsidRDefault="002118A5" w:rsidP="002118A5">
      <w:pPr>
        <w:pStyle w:val="ListParagraph"/>
        <w:numPr>
          <w:ilvl w:val="0"/>
          <w:numId w:val="7"/>
        </w:numPr>
        <w:rPr>
          <w:rFonts w:cstheme="minorHAnsi"/>
          <w:sz w:val="24"/>
          <w:szCs w:val="24"/>
        </w:rPr>
      </w:pPr>
      <w:r w:rsidRPr="008516A1">
        <w:rPr>
          <w:rFonts w:cstheme="minorHAnsi"/>
          <w:sz w:val="24"/>
          <w:szCs w:val="24"/>
        </w:rPr>
        <w:t>How do you store your waste? Bins, carts or trailers?</w:t>
      </w:r>
    </w:p>
    <w:p w:rsidR="002118A5" w:rsidRPr="008516A1" w:rsidRDefault="002118A5" w:rsidP="002118A5">
      <w:pPr>
        <w:rPr>
          <w:rFonts w:cstheme="minorHAnsi"/>
        </w:rPr>
      </w:pPr>
      <w:r w:rsidRPr="008516A1">
        <w:rPr>
          <w:rFonts w:cstheme="minorHAnsi"/>
        </w:rPr>
        <w:t xml:space="preserve">This is in addition to data that could be gathered through public sources, or in communications with industry associations. Contact was initiated via email or by phone – where enumerators explained the institution they represented and what the purpose of the exercise was. The following outlines the total number of facilities/schools/districts contacted at the end of the four week period. </w:t>
      </w:r>
    </w:p>
    <w:p w:rsidR="002118A5" w:rsidRPr="008516A1" w:rsidRDefault="002118A5" w:rsidP="002118A5">
      <w:pPr>
        <w:pStyle w:val="ListParagraph"/>
        <w:numPr>
          <w:ilvl w:val="0"/>
          <w:numId w:val="4"/>
        </w:numPr>
        <w:rPr>
          <w:rFonts w:cstheme="minorHAnsi"/>
          <w:sz w:val="24"/>
          <w:szCs w:val="24"/>
        </w:rPr>
      </w:pPr>
      <w:r w:rsidRPr="008516A1">
        <w:rPr>
          <w:rFonts w:cstheme="minorHAnsi"/>
          <w:sz w:val="24"/>
          <w:szCs w:val="24"/>
        </w:rPr>
        <w:t>Follow up with 270 Long term care and retirement facilities located in various parts of the province</w:t>
      </w:r>
    </w:p>
    <w:p w:rsidR="002118A5" w:rsidRPr="008516A1" w:rsidRDefault="002118A5" w:rsidP="002118A5">
      <w:pPr>
        <w:numPr>
          <w:ilvl w:val="0"/>
          <w:numId w:val="4"/>
        </w:numPr>
        <w:spacing w:after="160" w:line="259" w:lineRule="auto"/>
        <w:rPr>
          <w:rFonts w:cstheme="minorHAnsi"/>
        </w:rPr>
      </w:pPr>
      <w:r w:rsidRPr="008516A1">
        <w:rPr>
          <w:rFonts w:cstheme="minorHAnsi"/>
        </w:rPr>
        <w:t>Follow up 40 out of 72 individual school boards located in various parts of the province to have a representative sample</w:t>
      </w:r>
    </w:p>
    <w:p w:rsidR="002118A5" w:rsidRPr="008516A1" w:rsidRDefault="002118A5" w:rsidP="002118A5">
      <w:pPr>
        <w:numPr>
          <w:ilvl w:val="0"/>
          <w:numId w:val="4"/>
        </w:numPr>
        <w:spacing w:after="160" w:line="259" w:lineRule="auto"/>
        <w:rPr>
          <w:rFonts w:cstheme="minorHAnsi"/>
        </w:rPr>
      </w:pPr>
      <w:r w:rsidRPr="008516A1">
        <w:rPr>
          <w:rFonts w:cstheme="minorHAnsi"/>
        </w:rPr>
        <w:t>Follow up 187 of 4026 individual elementary schools as a cross check </w:t>
      </w:r>
    </w:p>
    <w:p w:rsidR="002118A5" w:rsidRPr="008516A1" w:rsidRDefault="002118A5" w:rsidP="002118A5">
      <w:pPr>
        <w:numPr>
          <w:ilvl w:val="0"/>
          <w:numId w:val="4"/>
        </w:numPr>
        <w:spacing w:after="160" w:line="259" w:lineRule="auto"/>
        <w:rPr>
          <w:rFonts w:cstheme="minorHAnsi"/>
        </w:rPr>
      </w:pPr>
      <w:r w:rsidRPr="008516A1">
        <w:rPr>
          <w:rFonts w:cstheme="minorHAnsi"/>
        </w:rPr>
        <w:t>Follow up with 87 of 920 individual high schools as a cross check</w:t>
      </w:r>
    </w:p>
    <w:p w:rsidR="002118A5" w:rsidRPr="008516A1" w:rsidRDefault="002118A5" w:rsidP="002118A5">
      <w:pPr>
        <w:rPr>
          <w:rFonts w:cstheme="minorHAnsi"/>
        </w:rPr>
      </w:pPr>
      <w:r w:rsidRPr="008516A1">
        <w:rPr>
          <w:rFonts w:cstheme="minorHAnsi"/>
        </w:rPr>
        <w:t>Note: Approximately 15% of all sites contacted did not know, or were unsure of how their waste was being managed.</w:t>
      </w:r>
    </w:p>
    <w:p w:rsidR="002118A5" w:rsidRPr="008516A1" w:rsidRDefault="002118A5" w:rsidP="002118A5">
      <w:pPr>
        <w:pStyle w:val="Heading1"/>
        <w:rPr>
          <w:rFonts w:asciiTheme="minorHAnsi" w:hAnsiTheme="minorHAnsi" w:cstheme="minorHAnsi"/>
          <w:sz w:val="24"/>
          <w:szCs w:val="24"/>
        </w:rPr>
      </w:pPr>
      <w:bookmarkStart w:id="4" w:name="_Toc52433965"/>
      <w:r w:rsidRPr="008516A1">
        <w:rPr>
          <w:rFonts w:asciiTheme="minorHAnsi" w:hAnsiTheme="minorHAnsi" w:cstheme="minorHAnsi"/>
          <w:sz w:val="24"/>
          <w:szCs w:val="24"/>
        </w:rPr>
        <w:t>Results: # of Facilities Serviced by the Municipal Blue Box</w:t>
      </w:r>
      <w:bookmarkEnd w:id="4"/>
    </w:p>
    <w:p w:rsidR="002118A5" w:rsidRPr="008516A1" w:rsidRDefault="002118A5" w:rsidP="002118A5">
      <w:pPr>
        <w:rPr>
          <w:rFonts w:cstheme="minorHAnsi"/>
        </w:rPr>
      </w:pPr>
    </w:p>
    <w:p w:rsidR="002118A5" w:rsidRPr="008516A1" w:rsidRDefault="002118A5" w:rsidP="002118A5">
      <w:pPr>
        <w:rPr>
          <w:rFonts w:cstheme="minorHAnsi"/>
        </w:rPr>
      </w:pPr>
      <w:r w:rsidRPr="008516A1">
        <w:rPr>
          <w:rFonts w:cstheme="minorHAnsi"/>
        </w:rPr>
        <w:t xml:space="preserve">One of the primary purposes of this study was to better understand the % of IC&amp;I facilities that were presently being serviced by the municipal Blue Box program. Anecdotally, MOECP staff have reported that the “majority” </w:t>
      </w:r>
      <w:r w:rsidRPr="008516A1">
        <w:rPr>
          <w:rFonts w:cstheme="minorHAnsi"/>
        </w:rPr>
        <w:lastRenderedPageBreak/>
        <w:t>of sites were presently being serviced by municipal Blue Box collection, and as a result, recycling costs were already factored into the existing steward obligation. However, no source was provided to substantiate this claim, necessitating that the university engage in a comprehensive follow up of the following IC&amp;I sectors - long term care/retirement homes and elementary/secondary schools. Results are shown in the figure 1 below.</w:t>
      </w:r>
    </w:p>
    <w:p w:rsidR="002118A5" w:rsidRPr="008516A1" w:rsidRDefault="002118A5" w:rsidP="002118A5">
      <w:pPr>
        <w:rPr>
          <w:rFonts w:cstheme="minorHAnsi"/>
        </w:rPr>
      </w:pPr>
      <w:r w:rsidRPr="008516A1">
        <w:rPr>
          <w:rFonts w:cstheme="minorHAnsi"/>
        </w:rPr>
        <w:t>Figure 1: # of IC&amp;I sites self-reporting as receiving municipal Blue Box service</w:t>
      </w:r>
      <w:r w:rsidRPr="008516A1">
        <w:rPr>
          <w:rFonts w:cstheme="minorHAnsi"/>
        </w:rPr>
        <w:br/>
      </w:r>
      <w:r w:rsidRPr="008516A1">
        <w:rPr>
          <w:rFonts w:cstheme="minorHAnsi"/>
          <w:noProof/>
        </w:rPr>
        <w:drawing>
          <wp:inline distT="0" distB="0" distL="0" distR="0" wp14:anchorId="43D25B84" wp14:editId="780DAD91">
            <wp:extent cx="4572635"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rsidR="002118A5" w:rsidRPr="008516A1" w:rsidRDefault="002118A5" w:rsidP="002118A5">
      <w:pPr>
        <w:spacing w:after="240"/>
        <w:jc w:val="both"/>
        <w:rPr>
          <w:rFonts w:cstheme="minorHAnsi"/>
        </w:rPr>
      </w:pPr>
      <w:r w:rsidRPr="008516A1">
        <w:rPr>
          <w:rFonts w:cstheme="minorHAnsi"/>
        </w:rPr>
        <w:t>When adjusted for proportional weighting (factoring in the number of students/patients/employees), the number of sites that reported being serviced by the municipality is 29% for long term care/retirement sites, and 22%</w:t>
      </w:r>
      <w:r>
        <w:rPr>
          <w:rFonts w:cstheme="minorHAnsi"/>
        </w:rPr>
        <w:t xml:space="preserve"> for</w:t>
      </w:r>
      <w:r w:rsidRPr="008516A1">
        <w:rPr>
          <w:rFonts w:cstheme="minorHAnsi"/>
        </w:rPr>
        <w:t xml:space="preserve"> public/private schools. </w:t>
      </w:r>
    </w:p>
    <w:p w:rsidR="002118A5" w:rsidRPr="008516A1" w:rsidRDefault="002118A5" w:rsidP="002118A5">
      <w:pPr>
        <w:spacing w:after="240"/>
        <w:jc w:val="both"/>
        <w:rPr>
          <w:rFonts w:cstheme="minorHAnsi"/>
        </w:rPr>
      </w:pPr>
      <w:r w:rsidRPr="008516A1">
        <w:rPr>
          <w:rFonts w:cstheme="minorHAnsi"/>
        </w:rPr>
        <w:t xml:space="preserve">This result directly contravenes previous communications from the MOECP as described above. By any definition, none of the results shown in Figure 1 can be interpreted as “majority of sites”. This is a significant issue of concern, as the potential increase in the steward obligation is a direct function of the number of sites who do/do not receive municipal recyclables collection. </w:t>
      </w:r>
    </w:p>
    <w:p w:rsidR="002118A5" w:rsidRPr="008516A1" w:rsidRDefault="002118A5" w:rsidP="002118A5">
      <w:pPr>
        <w:pStyle w:val="Heading1"/>
        <w:rPr>
          <w:rFonts w:asciiTheme="minorHAnsi" w:hAnsiTheme="minorHAnsi" w:cstheme="minorHAnsi"/>
          <w:sz w:val="24"/>
          <w:szCs w:val="24"/>
        </w:rPr>
      </w:pPr>
      <w:bookmarkStart w:id="5" w:name="_Toc52433966"/>
      <w:r w:rsidRPr="008516A1">
        <w:rPr>
          <w:rFonts w:asciiTheme="minorHAnsi" w:hAnsiTheme="minorHAnsi" w:cstheme="minorHAnsi"/>
          <w:sz w:val="24"/>
          <w:szCs w:val="24"/>
        </w:rPr>
        <w:t>Results #</w:t>
      </w:r>
      <w:proofErr w:type="gramStart"/>
      <w:r w:rsidRPr="008516A1">
        <w:rPr>
          <w:rFonts w:asciiTheme="minorHAnsi" w:hAnsiTheme="minorHAnsi" w:cstheme="minorHAnsi"/>
          <w:sz w:val="24"/>
          <w:szCs w:val="24"/>
        </w:rPr>
        <w:t>2 :</w:t>
      </w:r>
      <w:proofErr w:type="gramEnd"/>
      <w:r w:rsidRPr="008516A1">
        <w:rPr>
          <w:rFonts w:asciiTheme="minorHAnsi" w:hAnsiTheme="minorHAnsi" w:cstheme="minorHAnsi"/>
          <w:sz w:val="24"/>
          <w:szCs w:val="24"/>
        </w:rPr>
        <w:t xml:space="preserve"> Quantities of Blue Box Waste Generated and recovered from IC&amp;I sectors</w:t>
      </w:r>
      <w:bookmarkEnd w:id="5"/>
    </w:p>
    <w:p w:rsidR="002118A5" w:rsidRPr="008516A1" w:rsidRDefault="002118A5" w:rsidP="002118A5">
      <w:pPr>
        <w:rPr>
          <w:rFonts w:cstheme="minorHAnsi"/>
        </w:rPr>
      </w:pPr>
    </w:p>
    <w:p w:rsidR="002118A5" w:rsidRPr="008516A1" w:rsidRDefault="002118A5" w:rsidP="002118A5">
      <w:pPr>
        <w:rPr>
          <w:rFonts w:cstheme="minorHAnsi"/>
        </w:rPr>
      </w:pPr>
      <w:r w:rsidRPr="008516A1">
        <w:rPr>
          <w:rFonts w:cstheme="minorHAnsi"/>
        </w:rPr>
        <w:t>In order to model quantities of printed paper and packaging waste generated/recovered from these IC&amp;I sectors, the university used a combination of waste audits (described in section 1) and data pertaining to overall employee counts and waste generated per employee that are publicly available. Table 1 below summarizes the average (as well as min/max) range for overall waste generation and printed paper and packaging generation</w:t>
      </w:r>
    </w:p>
    <w:p w:rsidR="002118A5" w:rsidRPr="008516A1" w:rsidRDefault="002118A5" w:rsidP="002118A5">
      <w:pPr>
        <w:rPr>
          <w:rFonts w:cstheme="minorHAnsi"/>
          <w:b/>
        </w:rPr>
      </w:pPr>
      <w:r w:rsidRPr="008516A1">
        <w:rPr>
          <w:rFonts w:cstheme="minorHAnsi"/>
          <w:b/>
        </w:rPr>
        <w:t>Table 1: Waste/Printed Paper generation per capita (Schools and Long Term Care/Retirement Facilities)</w:t>
      </w:r>
      <w:r w:rsidRPr="008516A1">
        <w:rPr>
          <w:rFonts w:cstheme="minorHAnsi"/>
          <w:b/>
        </w:rPr>
        <w:br/>
      </w:r>
    </w:p>
    <w:p w:rsidR="002118A5" w:rsidRPr="008516A1" w:rsidRDefault="002118A5" w:rsidP="002118A5">
      <w:pPr>
        <w:rPr>
          <w:rFonts w:cstheme="minorHAnsi"/>
        </w:rPr>
      </w:pPr>
      <w:r w:rsidRPr="008516A1">
        <w:rPr>
          <w:rFonts w:cstheme="minorHAnsi"/>
          <w:noProof/>
        </w:rPr>
        <w:drawing>
          <wp:inline distT="0" distB="0" distL="0" distR="0" wp14:anchorId="3FC892FB" wp14:editId="0CBB720A">
            <wp:extent cx="5943600" cy="90423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904234"/>
                    </a:xfrm>
                    <a:prstGeom prst="rect">
                      <a:avLst/>
                    </a:prstGeom>
                    <a:noFill/>
                    <a:ln>
                      <a:noFill/>
                    </a:ln>
                  </pic:spPr>
                </pic:pic>
              </a:graphicData>
            </a:graphic>
          </wp:inline>
        </w:drawing>
      </w:r>
    </w:p>
    <w:p w:rsidR="002118A5" w:rsidRPr="008516A1" w:rsidRDefault="002118A5" w:rsidP="002118A5">
      <w:pPr>
        <w:spacing w:after="240"/>
        <w:jc w:val="both"/>
        <w:rPr>
          <w:rFonts w:cstheme="minorHAnsi"/>
          <w:color w:val="505050"/>
        </w:rPr>
      </w:pPr>
      <w:r w:rsidRPr="008516A1">
        <w:rPr>
          <w:rFonts w:cstheme="minorHAnsi"/>
          <w:color w:val="505050"/>
        </w:rPr>
        <w:lastRenderedPageBreak/>
        <w:t xml:space="preserve">It should be noted that quantities of printed paper and packaging generated from long term care/retirement facilities vary depending on how the auditor chose to define polypropylene and LDPE film. In some instances, these materials were considered as part of the recycling stream, while in others, it was counted as medical waste. For the purposes of this report, we have classified LDPE film and PP#5 as part of the Blue Box, as they are listed as two of the 23 materials included in the program plan. </w:t>
      </w:r>
    </w:p>
    <w:p w:rsidR="002118A5" w:rsidRPr="008516A1" w:rsidRDefault="002118A5" w:rsidP="002118A5">
      <w:pPr>
        <w:spacing w:after="240"/>
        <w:jc w:val="both"/>
        <w:rPr>
          <w:rFonts w:cstheme="minorHAnsi"/>
          <w:color w:val="505050"/>
        </w:rPr>
      </w:pPr>
      <w:r w:rsidRPr="008516A1">
        <w:rPr>
          <w:rFonts w:cstheme="minorHAnsi"/>
          <w:color w:val="505050"/>
        </w:rPr>
        <w:t xml:space="preserve">Another caveat is that waste generated by teachers/admin may be double counting paper waste generated by students (students submitting materials to teachers for evaluation). As a result, the average waste per capita and average printed paper and packaging per capita for teachers and administrators may be overstated. Unfortunately, no recommendation for how to treat this was made in the auditing notes, and as a result, we are forced to take the number as is. </w:t>
      </w:r>
    </w:p>
    <w:p w:rsidR="002118A5" w:rsidRPr="008516A1" w:rsidRDefault="002118A5" w:rsidP="002118A5">
      <w:pPr>
        <w:spacing w:after="240"/>
        <w:jc w:val="both"/>
        <w:rPr>
          <w:rFonts w:cstheme="minorHAnsi"/>
          <w:color w:val="505050"/>
        </w:rPr>
      </w:pPr>
      <w:r w:rsidRPr="008516A1">
        <w:rPr>
          <w:rFonts w:cstheme="minorHAnsi"/>
          <w:color w:val="505050"/>
        </w:rPr>
        <w:t>Combining the results of Table 1 with publicly reported data on the number of students, teachers, employees, residents and patients, overall estimated waste generation for the two IC&amp;I sectors is shown in Table 2 below:</w:t>
      </w:r>
    </w:p>
    <w:p w:rsidR="002118A5" w:rsidRPr="008516A1" w:rsidRDefault="002118A5" w:rsidP="002118A5">
      <w:pPr>
        <w:spacing w:after="240"/>
        <w:jc w:val="both"/>
        <w:rPr>
          <w:rFonts w:cstheme="minorHAnsi"/>
          <w:b/>
          <w:color w:val="505050"/>
        </w:rPr>
      </w:pPr>
      <w:r w:rsidRPr="008516A1">
        <w:rPr>
          <w:rFonts w:cstheme="minorHAnsi"/>
          <w:b/>
          <w:color w:val="505050"/>
        </w:rPr>
        <w:t>Table 2: All Waste and PP&amp;P Generated</w:t>
      </w:r>
    </w:p>
    <w:p w:rsidR="002118A5" w:rsidRPr="008516A1" w:rsidRDefault="002118A5" w:rsidP="002118A5">
      <w:pPr>
        <w:spacing w:after="240"/>
        <w:jc w:val="both"/>
        <w:rPr>
          <w:rFonts w:cstheme="minorHAnsi"/>
          <w:color w:val="505050"/>
        </w:rPr>
      </w:pPr>
      <w:r w:rsidRPr="008516A1">
        <w:rPr>
          <w:rFonts w:cstheme="minorHAnsi"/>
          <w:noProof/>
        </w:rPr>
        <w:drawing>
          <wp:inline distT="0" distB="0" distL="0" distR="0" wp14:anchorId="0E12AEB8" wp14:editId="7DC58E73">
            <wp:extent cx="5943600" cy="1582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82070"/>
                    </a:xfrm>
                    <a:prstGeom prst="rect">
                      <a:avLst/>
                    </a:prstGeom>
                    <a:noFill/>
                    <a:ln>
                      <a:noFill/>
                    </a:ln>
                  </pic:spPr>
                </pic:pic>
              </a:graphicData>
            </a:graphic>
          </wp:inline>
        </w:drawing>
      </w:r>
    </w:p>
    <w:p w:rsidR="002118A5" w:rsidRPr="008516A1" w:rsidRDefault="002118A5" w:rsidP="002118A5">
      <w:pPr>
        <w:spacing w:after="240"/>
        <w:jc w:val="both"/>
        <w:rPr>
          <w:rFonts w:cstheme="minorHAnsi"/>
          <w:color w:val="505050"/>
        </w:rPr>
      </w:pPr>
      <w:r w:rsidRPr="008516A1">
        <w:rPr>
          <w:rFonts w:cstheme="minorHAnsi"/>
          <w:color w:val="505050"/>
        </w:rPr>
        <w:t xml:space="preserve">Quantifying waste generated associated with the multi-residential sector was calculated separately, using per unit waste generation rates taken from </w:t>
      </w:r>
      <w:r>
        <w:rPr>
          <w:rFonts w:cstheme="minorHAnsi"/>
          <w:color w:val="505050"/>
        </w:rPr>
        <w:t>our fort</w:t>
      </w:r>
      <w:r w:rsidRPr="008516A1">
        <w:rPr>
          <w:rFonts w:cstheme="minorHAnsi"/>
          <w:color w:val="505050"/>
        </w:rPr>
        <w:t xml:space="preserve">y audit samples. </w:t>
      </w:r>
    </w:p>
    <w:p w:rsidR="002118A5" w:rsidRPr="008516A1" w:rsidRDefault="002118A5" w:rsidP="002118A5">
      <w:pPr>
        <w:spacing w:after="240"/>
        <w:jc w:val="both"/>
        <w:rPr>
          <w:rFonts w:cstheme="minorHAnsi"/>
          <w:color w:val="505050"/>
        </w:rPr>
      </w:pPr>
      <w:r w:rsidRPr="008516A1">
        <w:rPr>
          <w:rFonts w:cstheme="minorHAnsi"/>
          <w:color w:val="505050"/>
        </w:rPr>
        <w:t xml:space="preserve">Table 3 Summarizes the average waste generation per unit, average (as well as min/max) printed paper and packaging generated per unit, and overall generation for private multi residential buildings based on the 380,000 units presently not receiving Blue Box service. </w:t>
      </w:r>
    </w:p>
    <w:p w:rsidR="002118A5" w:rsidRPr="008516A1" w:rsidRDefault="002118A5" w:rsidP="002118A5">
      <w:pPr>
        <w:spacing w:after="240"/>
        <w:jc w:val="both"/>
        <w:rPr>
          <w:rFonts w:cstheme="minorHAnsi"/>
          <w:b/>
          <w:color w:val="505050"/>
        </w:rPr>
      </w:pPr>
      <w:r w:rsidRPr="008516A1">
        <w:rPr>
          <w:rFonts w:cstheme="minorHAnsi"/>
          <w:b/>
          <w:color w:val="505050"/>
        </w:rPr>
        <w:t>Table 3: Multi-Residential Waste and Printed Paper and Packaging Generation</w:t>
      </w:r>
    </w:p>
    <w:p w:rsidR="002118A5" w:rsidRPr="008516A1" w:rsidRDefault="002118A5" w:rsidP="002118A5">
      <w:pPr>
        <w:spacing w:after="240"/>
        <w:jc w:val="both"/>
        <w:rPr>
          <w:rFonts w:cstheme="minorHAnsi"/>
          <w:color w:val="505050"/>
        </w:rPr>
      </w:pPr>
      <w:r w:rsidRPr="008516A1">
        <w:rPr>
          <w:rFonts w:cstheme="minorHAnsi"/>
          <w:noProof/>
        </w:rPr>
        <w:drawing>
          <wp:inline distT="0" distB="0" distL="0" distR="0" wp14:anchorId="1EF6C82B" wp14:editId="7C69CCCB">
            <wp:extent cx="5939790" cy="14058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5595" cy="1407264"/>
                    </a:xfrm>
                    <a:prstGeom prst="rect">
                      <a:avLst/>
                    </a:prstGeom>
                    <a:noFill/>
                    <a:ln>
                      <a:noFill/>
                    </a:ln>
                  </pic:spPr>
                </pic:pic>
              </a:graphicData>
            </a:graphic>
          </wp:inline>
        </w:drawing>
      </w:r>
    </w:p>
    <w:p w:rsidR="002118A5" w:rsidRPr="008516A1" w:rsidRDefault="002118A5" w:rsidP="002118A5">
      <w:pPr>
        <w:spacing w:after="240"/>
        <w:jc w:val="both"/>
        <w:rPr>
          <w:rFonts w:cstheme="minorHAnsi"/>
          <w:color w:val="505050"/>
        </w:rPr>
      </w:pPr>
      <w:r w:rsidRPr="008516A1">
        <w:rPr>
          <w:rFonts w:cstheme="minorHAnsi"/>
          <w:color w:val="505050"/>
        </w:rPr>
        <w:lastRenderedPageBreak/>
        <w:t xml:space="preserve">Of note, quantities and types of waste generated/diverted in multi-residential buildings is highly variable, with ownership (condo/rental), building type (seniors/mixed use/subsidized) and locality being significant predictors of waste generation and recycling participation. As an example, recyclable rates are much higher in units that are owned vs. rented. </w:t>
      </w:r>
    </w:p>
    <w:p w:rsidR="002118A5" w:rsidRPr="008516A1" w:rsidRDefault="002118A5" w:rsidP="002118A5">
      <w:pPr>
        <w:pStyle w:val="Heading1"/>
        <w:rPr>
          <w:rFonts w:asciiTheme="minorHAnsi" w:hAnsiTheme="minorHAnsi" w:cstheme="minorHAnsi"/>
        </w:rPr>
      </w:pPr>
      <w:bookmarkStart w:id="6" w:name="_Toc52433967"/>
      <w:r w:rsidRPr="008516A1">
        <w:rPr>
          <w:rFonts w:asciiTheme="minorHAnsi" w:hAnsiTheme="minorHAnsi" w:cstheme="minorHAnsi"/>
        </w:rPr>
        <w:t>Results # 3: Costs associated with expanding the steward obligation</w:t>
      </w:r>
      <w:bookmarkEnd w:id="6"/>
    </w:p>
    <w:p w:rsidR="002118A5" w:rsidRPr="008516A1" w:rsidRDefault="002118A5" w:rsidP="002118A5">
      <w:pPr>
        <w:spacing w:after="240"/>
        <w:jc w:val="both"/>
        <w:rPr>
          <w:rFonts w:cstheme="minorHAnsi"/>
          <w:color w:val="505050"/>
        </w:rPr>
      </w:pPr>
      <w:r w:rsidRPr="008516A1">
        <w:rPr>
          <w:rFonts w:cstheme="minorHAnsi"/>
          <w:color w:val="505050"/>
        </w:rPr>
        <w:t xml:space="preserve">Ultimately, the purpose of this exercise is to determine whether the cost estimates projected by the ministry are indicative of what producers are likely to incur under the proposed legislative changes. </w:t>
      </w:r>
    </w:p>
    <w:p w:rsidR="002118A5" w:rsidRPr="008516A1" w:rsidRDefault="002118A5" w:rsidP="002118A5">
      <w:pPr>
        <w:spacing w:after="240"/>
        <w:jc w:val="both"/>
        <w:rPr>
          <w:rFonts w:cstheme="minorHAnsi"/>
          <w:color w:val="505050"/>
        </w:rPr>
      </w:pPr>
      <w:r w:rsidRPr="008516A1">
        <w:rPr>
          <w:rFonts w:cstheme="minorHAnsi"/>
          <w:color w:val="505050"/>
        </w:rPr>
        <w:t xml:space="preserve">Modeling costs for the IC&amp;I sectors can be done two ways: </w:t>
      </w:r>
    </w:p>
    <w:p w:rsidR="002118A5" w:rsidRPr="008516A1" w:rsidRDefault="002118A5" w:rsidP="002118A5">
      <w:pPr>
        <w:pStyle w:val="ListParagraph"/>
        <w:numPr>
          <w:ilvl w:val="1"/>
          <w:numId w:val="3"/>
        </w:numPr>
        <w:spacing w:after="240" w:line="240" w:lineRule="auto"/>
        <w:jc w:val="both"/>
        <w:rPr>
          <w:rFonts w:eastAsia="Times New Roman" w:cstheme="minorHAnsi"/>
          <w:color w:val="505050"/>
          <w:sz w:val="24"/>
          <w:szCs w:val="24"/>
        </w:rPr>
      </w:pPr>
      <w:r w:rsidRPr="008516A1">
        <w:rPr>
          <w:rFonts w:eastAsia="Times New Roman" w:cstheme="minorHAnsi"/>
          <w:color w:val="505050"/>
          <w:sz w:val="24"/>
          <w:szCs w:val="24"/>
        </w:rPr>
        <w:t xml:space="preserve">The cost estimate includes the cost of collection and sending it to a MRF that charges a fixed price per </w:t>
      </w:r>
      <w:proofErr w:type="spellStart"/>
      <w:r w:rsidRPr="008516A1">
        <w:rPr>
          <w:rFonts w:eastAsia="Times New Roman" w:cstheme="minorHAnsi"/>
          <w:color w:val="505050"/>
          <w:sz w:val="24"/>
          <w:szCs w:val="24"/>
        </w:rPr>
        <w:t>tonne</w:t>
      </w:r>
      <w:proofErr w:type="spellEnd"/>
      <w:r w:rsidRPr="008516A1">
        <w:rPr>
          <w:rFonts w:eastAsia="Times New Roman" w:cstheme="minorHAnsi"/>
          <w:color w:val="505050"/>
          <w:sz w:val="24"/>
          <w:szCs w:val="24"/>
        </w:rPr>
        <w:t xml:space="preserve"> of inbound material. </w:t>
      </w:r>
    </w:p>
    <w:p w:rsidR="002118A5" w:rsidRPr="008516A1" w:rsidRDefault="002118A5" w:rsidP="002118A5">
      <w:pPr>
        <w:pStyle w:val="ListParagraph"/>
        <w:numPr>
          <w:ilvl w:val="1"/>
          <w:numId w:val="3"/>
        </w:numPr>
        <w:spacing w:after="240" w:line="240" w:lineRule="auto"/>
        <w:jc w:val="both"/>
        <w:rPr>
          <w:rFonts w:eastAsia="Times New Roman" w:cstheme="minorHAnsi"/>
          <w:color w:val="505050"/>
          <w:sz w:val="24"/>
          <w:szCs w:val="24"/>
        </w:rPr>
      </w:pPr>
      <w:r w:rsidRPr="008516A1">
        <w:rPr>
          <w:rFonts w:eastAsia="Times New Roman" w:cstheme="minorHAnsi"/>
          <w:color w:val="505050"/>
          <w:sz w:val="24"/>
          <w:szCs w:val="24"/>
        </w:rPr>
        <w:t>The cost estimate includes the cost of collection, as well as the per material processing costs being generated by the multi-residential/school and long term care sectors</w:t>
      </w:r>
    </w:p>
    <w:p w:rsidR="002118A5" w:rsidRPr="008516A1" w:rsidRDefault="002118A5" w:rsidP="002118A5">
      <w:pPr>
        <w:spacing w:after="240"/>
        <w:jc w:val="both"/>
        <w:rPr>
          <w:rFonts w:cstheme="minorHAnsi"/>
          <w:color w:val="505050"/>
        </w:rPr>
      </w:pPr>
      <w:r w:rsidRPr="008516A1">
        <w:rPr>
          <w:rFonts w:cstheme="minorHAnsi"/>
          <w:color w:val="505050"/>
        </w:rPr>
        <w:t xml:space="preserve">The MOECP has stated repeatedly that the composition of material collected does not matter for the purposes of estimating the potential increase in the steward obligation. Given that the legislation does not include material specific targets or requirements, the composition of inbound material is irrelevant. </w:t>
      </w:r>
    </w:p>
    <w:p w:rsidR="002118A5" w:rsidRPr="008516A1" w:rsidRDefault="002118A5" w:rsidP="002118A5">
      <w:pPr>
        <w:spacing w:after="240"/>
        <w:jc w:val="both"/>
        <w:rPr>
          <w:rFonts w:cstheme="minorHAnsi"/>
          <w:color w:val="505050"/>
        </w:rPr>
      </w:pPr>
      <w:r w:rsidRPr="008516A1">
        <w:rPr>
          <w:rFonts w:cstheme="minorHAnsi"/>
          <w:color w:val="505050"/>
        </w:rPr>
        <w:t xml:space="preserve">However, this assumption does not reflect reality. The cost borne by stewards (much like municipalities today) are highly sensitive to the composition of inbound material to the MRF. Blue Box processing costs range anywhere from a negative value for aluminum (it makes money being recycled), to in excess of $2200 a tonne for LDPE film and other multi-resin plastics. Contracts with MRF operators very much depend on what material is being sorted, so it is disingenuous to ignore per material costs when attempting to quantify the potential increase in the steward obligation. </w:t>
      </w:r>
    </w:p>
    <w:p w:rsidR="002118A5" w:rsidRPr="008516A1" w:rsidRDefault="002118A5" w:rsidP="002118A5">
      <w:pPr>
        <w:spacing w:after="240"/>
        <w:jc w:val="both"/>
        <w:rPr>
          <w:rFonts w:cstheme="minorHAnsi"/>
          <w:color w:val="505050"/>
        </w:rPr>
      </w:pPr>
      <w:r w:rsidRPr="008516A1">
        <w:rPr>
          <w:rFonts w:cstheme="minorHAnsi"/>
          <w:color w:val="505050"/>
        </w:rPr>
        <w:t>This report opts to model both scenarios. Scenario 1 models a fixed processing cost per tonne of inbound material (at a range of values and recycling rates). Scenario 2 models per material costs, as provided by the Stewardship Ontario Pay in Model</w:t>
      </w:r>
    </w:p>
    <w:p w:rsidR="002118A5" w:rsidRPr="008516A1" w:rsidRDefault="002118A5" w:rsidP="002118A5">
      <w:pPr>
        <w:spacing w:after="240"/>
        <w:jc w:val="both"/>
        <w:rPr>
          <w:rFonts w:cstheme="minorHAnsi"/>
          <w:color w:val="505050"/>
        </w:rPr>
      </w:pPr>
      <w:r w:rsidRPr="008516A1">
        <w:rPr>
          <w:rFonts w:cstheme="minorHAnsi"/>
          <w:color w:val="505050"/>
        </w:rPr>
        <w:t>Table 4 below summarizes the recycling costs (using a fixed processing cost) associated with servicing each of the IC&amp;I sectors. For % of material recycled, we model three scenarios 25%, 50% and 75%. We also model a range of collection and processing costs, as well as the % of the program that is not being serviced under the existing Blue Box plan (29% for Long Term Care – 22% for Elementary and Secondary Schools)</w:t>
      </w:r>
    </w:p>
    <w:p w:rsidR="002118A5" w:rsidRPr="008516A1" w:rsidRDefault="002118A5" w:rsidP="002118A5">
      <w:pPr>
        <w:spacing w:after="240"/>
        <w:jc w:val="both"/>
        <w:rPr>
          <w:rFonts w:cstheme="minorHAnsi"/>
          <w:color w:val="505050"/>
        </w:rPr>
      </w:pPr>
      <w:r w:rsidRPr="008516A1">
        <w:rPr>
          <w:rFonts w:cstheme="minorHAnsi"/>
          <w:color w:val="505050"/>
        </w:rPr>
        <w:t xml:space="preserve">Note that calculating the costs of servicing private multi-residential buildings are performed separately. </w:t>
      </w:r>
    </w:p>
    <w:p w:rsidR="002118A5" w:rsidRPr="008516A1" w:rsidRDefault="002118A5" w:rsidP="002118A5">
      <w:pPr>
        <w:spacing w:after="240"/>
        <w:jc w:val="both"/>
        <w:rPr>
          <w:rFonts w:cstheme="minorHAnsi"/>
          <w:color w:val="505050"/>
        </w:rPr>
      </w:pPr>
    </w:p>
    <w:p w:rsidR="002118A5" w:rsidRPr="008516A1" w:rsidRDefault="002118A5" w:rsidP="002118A5">
      <w:pPr>
        <w:spacing w:after="240"/>
        <w:jc w:val="both"/>
        <w:rPr>
          <w:rFonts w:cstheme="minorHAnsi"/>
          <w:b/>
          <w:color w:val="505050"/>
        </w:rPr>
      </w:pPr>
      <w:r w:rsidRPr="008516A1">
        <w:rPr>
          <w:rFonts w:cstheme="minorHAnsi"/>
          <w:b/>
          <w:color w:val="505050"/>
        </w:rPr>
        <w:t>Table 4: Costs associated with expanding service to the IC&amp;I sector using fixed cost per tonne</w:t>
      </w:r>
    </w:p>
    <w:p w:rsidR="002118A5" w:rsidRPr="008516A1" w:rsidRDefault="002118A5" w:rsidP="002118A5">
      <w:pPr>
        <w:spacing w:after="240"/>
        <w:jc w:val="both"/>
        <w:rPr>
          <w:rFonts w:cstheme="minorHAnsi"/>
          <w:color w:val="505050"/>
        </w:rPr>
      </w:pPr>
      <w:r w:rsidRPr="008516A1">
        <w:rPr>
          <w:rFonts w:cstheme="minorHAnsi"/>
          <w:noProof/>
        </w:rPr>
        <w:lastRenderedPageBreak/>
        <w:drawing>
          <wp:inline distT="0" distB="0" distL="0" distR="0" wp14:anchorId="01E28A46" wp14:editId="6ADF6316">
            <wp:extent cx="5788393" cy="1730929"/>
            <wp:effectExtent l="0" t="0" r="317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8098" cy="1748783"/>
                    </a:xfrm>
                    <a:prstGeom prst="rect">
                      <a:avLst/>
                    </a:prstGeom>
                    <a:noFill/>
                    <a:ln>
                      <a:noFill/>
                    </a:ln>
                  </pic:spPr>
                </pic:pic>
              </a:graphicData>
            </a:graphic>
          </wp:inline>
        </w:drawing>
      </w:r>
    </w:p>
    <w:p w:rsidR="002118A5" w:rsidRPr="008516A1" w:rsidRDefault="002118A5" w:rsidP="002118A5">
      <w:pPr>
        <w:spacing w:after="240"/>
        <w:jc w:val="both"/>
        <w:rPr>
          <w:rFonts w:cstheme="minorHAnsi"/>
          <w:color w:val="505050"/>
        </w:rPr>
      </w:pPr>
      <w:r w:rsidRPr="008516A1">
        <w:rPr>
          <w:rFonts w:cstheme="minorHAnsi"/>
          <w:color w:val="505050"/>
        </w:rPr>
        <w:t xml:space="preserve">*$/tonne figure is the combination of both processing and collection costs. </w:t>
      </w:r>
    </w:p>
    <w:p w:rsidR="002118A5" w:rsidRPr="008516A1" w:rsidRDefault="002118A5" w:rsidP="002118A5">
      <w:pPr>
        <w:spacing w:after="240"/>
        <w:jc w:val="both"/>
        <w:rPr>
          <w:rFonts w:cstheme="minorHAnsi"/>
          <w:color w:val="505050"/>
        </w:rPr>
      </w:pPr>
      <w:r w:rsidRPr="008516A1">
        <w:rPr>
          <w:rFonts w:cstheme="minorHAnsi"/>
          <w:color w:val="505050"/>
        </w:rPr>
        <w:t>This model calculates three scenarios to reflect various levels of material management costs associated with servicing the IC&amp;I sector (using a fixed cost per tonne).  Of note, collection costs for the residential sector vary significantly depending on the municipality (upwards of $500/tonne in some instances) as locality, population density and curbside vs. depot service all affect collection costs</w:t>
      </w:r>
      <w:r>
        <w:rPr>
          <w:rFonts w:cstheme="minorHAnsi"/>
          <w:color w:val="505050"/>
        </w:rPr>
        <w:t>. For ref</w:t>
      </w:r>
      <w:r w:rsidRPr="008516A1">
        <w:rPr>
          <w:rFonts w:cstheme="minorHAnsi"/>
          <w:color w:val="505050"/>
        </w:rPr>
        <w:t>erence, average collection costs per tonne for all Blue Box programs is $235</w:t>
      </w:r>
      <w:r>
        <w:rPr>
          <w:rFonts w:cstheme="minorHAnsi"/>
          <w:color w:val="505050"/>
        </w:rPr>
        <w:t>/tonne</w:t>
      </w:r>
      <w:r w:rsidRPr="008516A1">
        <w:rPr>
          <w:rFonts w:cstheme="minorHAnsi"/>
          <w:color w:val="505050"/>
        </w:rPr>
        <w:t xml:space="preserve">.  Our modeling assumes that IC&amp;I collection is more efficient, and we assign a collection cost of $150 a tonne. </w:t>
      </w:r>
    </w:p>
    <w:p w:rsidR="002118A5" w:rsidRPr="008516A1" w:rsidRDefault="002118A5" w:rsidP="002118A5">
      <w:pPr>
        <w:spacing w:after="240"/>
        <w:jc w:val="both"/>
        <w:rPr>
          <w:rFonts w:cstheme="minorHAnsi"/>
          <w:color w:val="505050"/>
        </w:rPr>
      </w:pPr>
      <w:r w:rsidRPr="008516A1">
        <w:rPr>
          <w:rFonts w:cstheme="minorHAnsi"/>
          <w:color w:val="505050"/>
        </w:rPr>
        <w:t>For processing costs, our model calculates three scenarios: A processing cost of $100/tonne, $150/tonne and $200/tonne. While there is very little data regarding IC&amp;I processing costs per tonne, a review of MRF contractor quotes for the residential Blue Box program shows that processing costs can range from as little as $90/tonne to $660/tonne depending on the material mix. As far as can be ascertained, there are no contracts that offer a fixed processing price for inbound material that is independent of material composition.</w:t>
      </w:r>
    </w:p>
    <w:p w:rsidR="002118A5" w:rsidRPr="008516A1" w:rsidRDefault="002118A5" w:rsidP="002118A5">
      <w:pPr>
        <w:spacing w:after="240"/>
        <w:jc w:val="both"/>
        <w:rPr>
          <w:rFonts w:cstheme="minorHAnsi"/>
          <w:color w:val="505050"/>
        </w:rPr>
      </w:pPr>
      <w:r w:rsidRPr="008516A1">
        <w:rPr>
          <w:rFonts w:cstheme="minorHAnsi"/>
          <w:color w:val="505050"/>
        </w:rPr>
        <w:t xml:space="preserve">For the multi-residential sector, we undertake a similar exercise, but use </w:t>
      </w:r>
      <w:proofErr w:type="gramStart"/>
      <w:r w:rsidRPr="008516A1">
        <w:rPr>
          <w:rFonts w:cstheme="minorHAnsi"/>
          <w:color w:val="505050"/>
        </w:rPr>
        <w:t>a per</w:t>
      </w:r>
      <w:proofErr w:type="gramEnd"/>
      <w:r w:rsidRPr="008516A1">
        <w:rPr>
          <w:rFonts w:cstheme="minorHAnsi"/>
          <w:color w:val="505050"/>
        </w:rPr>
        <w:t xml:space="preserve"> unit material management cost and apply it to all 380,000 MR units that are not currently being serviced by the Blue box. The costs associated with per unit collection have been sampled from various municipalities who have published their costs in online reports (see data sources section). </w:t>
      </w:r>
    </w:p>
    <w:p w:rsidR="002118A5" w:rsidRPr="008516A1" w:rsidRDefault="002118A5" w:rsidP="002118A5">
      <w:pPr>
        <w:spacing w:after="240"/>
        <w:jc w:val="both"/>
        <w:rPr>
          <w:rFonts w:cstheme="minorHAnsi"/>
          <w:i/>
          <w:color w:val="505050"/>
        </w:rPr>
      </w:pPr>
      <w:r w:rsidRPr="008516A1">
        <w:rPr>
          <w:rFonts w:cstheme="minorHAnsi"/>
          <w:i/>
          <w:color w:val="505050"/>
        </w:rPr>
        <w:t>Note: Publicly reported per unit costs range from as low as $19 per unit, all the way to $140 per unit (this is heavily influenced by locality)</w:t>
      </w:r>
    </w:p>
    <w:p w:rsidR="002118A5" w:rsidRPr="008516A1" w:rsidRDefault="002118A5" w:rsidP="002118A5">
      <w:pPr>
        <w:spacing w:after="240"/>
        <w:jc w:val="both"/>
        <w:rPr>
          <w:rFonts w:cstheme="minorHAnsi"/>
          <w:color w:val="505050"/>
        </w:rPr>
      </w:pPr>
      <w:r w:rsidRPr="008516A1">
        <w:rPr>
          <w:rFonts w:cstheme="minorHAnsi"/>
          <w:color w:val="505050"/>
        </w:rPr>
        <w:t xml:space="preserve">Tables 5 below summarizes multi-residential Blue Box costs at various recycling rates and a range of per unit costs. This is accompanied by Table 6 which lists the combined costs for multi-residential, schools and long term care/retirement facilities. </w:t>
      </w:r>
    </w:p>
    <w:p w:rsidR="002118A5" w:rsidRPr="008516A1" w:rsidRDefault="002118A5" w:rsidP="002118A5">
      <w:pPr>
        <w:spacing w:after="240"/>
        <w:jc w:val="both"/>
        <w:rPr>
          <w:rFonts w:cstheme="minorHAnsi"/>
          <w:b/>
          <w:color w:val="505050"/>
        </w:rPr>
      </w:pPr>
      <w:r w:rsidRPr="008516A1">
        <w:rPr>
          <w:rFonts w:cstheme="minorHAnsi"/>
          <w:b/>
          <w:color w:val="505050"/>
        </w:rPr>
        <w:t xml:space="preserve">Table 5: Multi residential recycling costs </w:t>
      </w:r>
    </w:p>
    <w:p w:rsidR="002118A5" w:rsidRPr="008516A1" w:rsidRDefault="002118A5" w:rsidP="002118A5">
      <w:pPr>
        <w:spacing w:after="240"/>
        <w:jc w:val="both"/>
        <w:rPr>
          <w:rFonts w:cstheme="minorHAnsi"/>
          <w:color w:val="505050"/>
        </w:rPr>
      </w:pPr>
      <w:r w:rsidRPr="008516A1">
        <w:rPr>
          <w:rFonts w:cstheme="minorHAnsi"/>
          <w:noProof/>
        </w:rPr>
        <w:drawing>
          <wp:inline distT="0" distB="0" distL="0" distR="0" wp14:anchorId="16E94406" wp14:editId="0DE35C7F">
            <wp:extent cx="5943600" cy="69032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690328"/>
                    </a:xfrm>
                    <a:prstGeom prst="rect">
                      <a:avLst/>
                    </a:prstGeom>
                    <a:noFill/>
                    <a:ln>
                      <a:noFill/>
                    </a:ln>
                  </pic:spPr>
                </pic:pic>
              </a:graphicData>
            </a:graphic>
          </wp:inline>
        </w:drawing>
      </w:r>
    </w:p>
    <w:p w:rsidR="002118A5" w:rsidRPr="008516A1" w:rsidRDefault="002118A5" w:rsidP="002118A5">
      <w:pPr>
        <w:spacing w:after="240"/>
        <w:jc w:val="both"/>
        <w:rPr>
          <w:rFonts w:cstheme="minorHAnsi"/>
          <w:b/>
          <w:color w:val="505050"/>
        </w:rPr>
      </w:pPr>
      <w:r w:rsidRPr="008516A1">
        <w:rPr>
          <w:rFonts w:cstheme="minorHAnsi"/>
          <w:b/>
          <w:color w:val="505050"/>
        </w:rPr>
        <w:lastRenderedPageBreak/>
        <w:t>Table 6: Combined costs for IC&amp;I sector recycling</w:t>
      </w:r>
    </w:p>
    <w:p w:rsidR="002118A5" w:rsidRPr="008516A1" w:rsidRDefault="002118A5" w:rsidP="002118A5">
      <w:pPr>
        <w:spacing w:after="240"/>
        <w:jc w:val="both"/>
        <w:rPr>
          <w:rFonts w:cstheme="minorHAnsi"/>
          <w:color w:val="505050"/>
        </w:rPr>
      </w:pPr>
      <w:r w:rsidRPr="008516A1">
        <w:rPr>
          <w:rFonts w:cstheme="minorHAnsi"/>
          <w:noProof/>
        </w:rPr>
        <w:drawing>
          <wp:inline distT="0" distB="0" distL="0" distR="0" wp14:anchorId="66601E18" wp14:editId="106F7422">
            <wp:extent cx="5943600" cy="6903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690328"/>
                    </a:xfrm>
                    <a:prstGeom prst="rect">
                      <a:avLst/>
                    </a:prstGeom>
                    <a:noFill/>
                    <a:ln>
                      <a:noFill/>
                    </a:ln>
                  </pic:spPr>
                </pic:pic>
              </a:graphicData>
            </a:graphic>
          </wp:inline>
        </w:drawing>
      </w:r>
    </w:p>
    <w:p w:rsidR="002118A5" w:rsidRPr="008516A1" w:rsidRDefault="002118A5" w:rsidP="002118A5">
      <w:pPr>
        <w:spacing w:after="240"/>
        <w:jc w:val="both"/>
        <w:rPr>
          <w:rFonts w:cstheme="minorHAnsi"/>
          <w:color w:val="505050"/>
        </w:rPr>
      </w:pPr>
      <w:r w:rsidRPr="008516A1">
        <w:rPr>
          <w:rFonts w:cstheme="minorHAnsi"/>
          <w:color w:val="505050"/>
        </w:rPr>
        <w:t xml:space="preserve">Referring to Table 6, we can see that costs range from $7.3 million on the low end (assuming that only 25% of material gets recycled), and $32.12 million (assuming 75% of material gets recycled). </w:t>
      </w:r>
    </w:p>
    <w:p w:rsidR="002118A5" w:rsidRPr="008516A1" w:rsidRDefault="002118A5" w:rsidP="002118A5">
      <w:pPr>
        <w:spacing w:after="240"/>
        <w:jc w:val="both"/>
        <w:rPr>
          <w:rFonts w:cstheme="minorHAnsi"/>
          <w:color w:val="505050"/>
        </w:rPr>
      </w:pPr>
      <w:r w:rsidRPr="008516A1">
        <w:rPr>
          <w:rFonts w:cstheme="minorHAnsi"/>
          <w:color w:val="505050"/>
        </w:rPr>
        <w:t xml:space="preserve">Immediately, we begin to see that there are some significant discrepancies between our model and the estimated increase in the steward obligation calculated by the MOECP (unless the province’s recycling rate target is 25%). </w:t>
      </w:r>
    </w:p>
    <w:p w:rsidR="002118A5" w:rsidRPr="008516A1" w:rsidRDefault="002118A5" w:rsidP="002118A5">
      <w:pPr>
        <w:spacing w:after="240"/>
        <w:jc w:val="both"/>
        <w:rPr>
          <w:rFonts w:cstheme="minorHAnsi"/>
          <w:color w:val="505050"/>
        </w:rPr>
      </w:pPr>
      <w:r w:rsidRPr="008516A1">
        <w:rPr>
          <w:rFonts w:cstheme="minorHAnsi"/>
          <w:color w:val="505050"/>
        </w:rPr>
        <w:t xml:space="preserve">However, the above analysis paints an incomplete picture. As noted earlier, assuming a fixed collection and processing cost does not reflect the actual costs of material management, nor does it provide meaningful insight as to what the steward’s obligation will be. A more accurate representation of costs would be to model our scenarios using per material management costs. Not all recycling is made equal, and neither will the bill incurred by stewards. </w:t>
      </w:r>
    </w:p>
    <w:p w:rsidR="002118A5" w:rsidRPr="008516A1" w:rsidRDefault="002118A5" w:rsidP="002118A5">
      <w:pPr>
        <w:spacing w:after="240"/>
        <w:jc w:val="both"/>
        <w:rPr>
          <w:rFonts w:cstheme="minorHAnsi"/>
          <w:color w:val="505050"/>
        </w:rPr>
      </w:pPr>
      <w:r w:rsidRPr="008516A1">
        <w:rPr>
          <w:rFonts w:cstheme="minorHAnsi"/>
          <w:color w:val="505050"/>
        </w:rPr>
        <w:t xml:space="preserve">Using a weighted average of sector specific audit compositions, we multiply total tonnes of printed paper and packaging generated by schools, long term care and multi-residential facilities, by the material composition breakdown. At this point, we now know the quantities and composition of Blue Box materials being generated by each sector. </w:t>
      </w:r>
    </w:p>
    <w:p w:rsidR="002118A5" w:rsidRPr="008516A1" w:rsidRDefault="002118A5" w:rsidP="002118A5">
      <w:pPr>
        <w:spacing w:after="240"/>
        <w:jc w:val="both"/>
        <w:rPr>
          <w:rFonts w:cstheme="minorHAnsi"/>
          <w:color w:val="505050"/>
        </w:rPr>
      </w:pPr>
      <w:r w:rsidRPr="008516A1">
        <w:rPr>
          <w:rFonts w:cstheme="minorHAnsi"/>
          <w:color w:val="505050"/>
        </w:rPr>
        <w:t>Combining this data with material specific costs (as per the Stewardship Ontario PIM Model), we calculate total costs of recycling by material type, by sector. Finally, we model a range of recycling rate scenarios (25%, 50% and 75%) to arrive at a final estimate of costs that would represent the increase in the steward obligation.</w:t>
      </w:r>
    </w:p>
    <w:p w:rsidR="002118A5" w:rsidRPr="008516A1" w:rsidRDefault="002118A5" w:rsidP="002118A5">
      <w:pPr>
        <w:spacing w:after="240"/>
        <w:jc w:val="both"/>
        <w:rPr>
          <w:rFonts w:cstheme="minorHAnsi"/>
          <w:color w:val="505050"/>
        </w:rPr>
      </w:pPr>
      <w:r w:rsidRPr="008516A1">
        <w:rPr>
          <w:rFonts w:cstheme="minorHAnsi"/>
          <w:color w:val="505050"/>
        </w:rPr>
        <w:t xml:space="preserve">Figure 2 below summarizes per material costs, by IC&amp;I sector. </w:t>
      </w:r>
    </w:p>
    <w:p w:rsidR="002118A5" w:rsidRPr="008516A1" w:rsidRDefault="002118A5" w:rsidP="002118A5">
      <w:pPr>
        <w:spacing w:after="240"/>
        <w:jc w:val="both"/>
        <w:rPr>
          <w:rFonts w:cstheme="minorHAnsi"/>
          <w:color w:val="505050"/>
        </w:rPr>
      </w:pPr>
      <w:r w:rsidRPr="008516A1">
        <w:rPr>
          <w:rFonts w:cstheme="minorHAnsi"/>
          <w:noProof/>
        </w:rPr>
        <w:lastRenderedPageBreak/>
        <w:drawing>
          <wp:inline distT="0" distB="0" distL="0" distR="0" wp14:anchorId="1EC70808" wp14:editId="548BDFEA">
            <wp:extent cx="5943056" cy="3548686"/>
            <wp:effectExtent l="0" t="0" r="63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53092" cy="3554679"/>
                    </a:xfrm>
                    <a:prstGeom prst="rect">
                      <a:avLst/>
                    </a:prstGeom>
                    <a:noFill/>
                    <a:ln>
                      <a:noFill/>
                    </a:ln>
                  </pic:spPr>
                </pic:pic>
              </a:graphicData>
            </a:graphic>
          </wp:inline>
        </w:drawing>
      </w:r>
    </w:p>
    <w:p w:rsidR="002118A5" w:rsidRPr="008516A1" w:rsidRDefault="002118A5" w:rsidP="002118A5">
      <w:pPr>
        <w:spacing w:after="240"/>
        <w:jc w:val="both"/>
        <w:rPr>
          <w:rFonts w:cstheme="minorHAnsi"/>
          <w:color w:val="505050"/>
        </w:rPr>
      </w:pPr>
      <w:r w:rsidRPr="008516A1">
        <w:rPr>
          <w:rFonts w:cstheme="minorHAnsi"/>
          <w:color w:val="505050"/>
        </w:rPr>
        <w:t>Modeling our recycling rate scenarios, our final estimates are shown below:</w:t>
      </w:r>
    </w:p>
    <w:p w:rsidR="002118A5" w:rsidRPr="008516A1" w:rsidRDefault="002118A5" w:rsidP="002118A5">
      <w:pPr>
        <w:spacing w:after="240"/>
        <w:jc w:val="both"/>
        <w:rPr>
          <w:rFonts w:cstheme="minorHAnsi"/>
          <w:color w:val="505050"/>
        </w:rPr>
      </w:pPr>
      <w:r w:rsidRPr="008516A1">
        <w:rPr>
          <w:rFonts w:cstheme="minorHAnsi"/>
          <w:noProof/>
        </w:rPr>
        <w:drawing>
          <wp:inline distT="0" distB="0" distL="0" distR="0" wp14:anchorId="1519F904" wp14:editId="2072BC3D">
            <wp:extent cx="5073015" cy="7435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3015" cy="743585"/>
                    </a:xfrm>
                    <a:prstGeom prst="rect">
                      <a:avLst/>
                    </a:prstGeom>
                    <a:noFill/>
                    <a:ln>
                      <a:noFill/>
                    </a:ln>
                  </pic:spPr>
                </pic:pic>
              </a:graphicData>
            </a:graphic>
          </wp:inline>
        </w:drawing>
      </w:r>
      <w:r w:rsidRPr="008516A1">
        <w:rPr>
          <w:rFonts w:cstheme="minorHAnsi"/>
          <w:color w:val="505050"/>
        </w:rPr>
        <w:t xml:space="preserve"> </w:t>
      </w:r>
    </w:p>
    <w:p w:rsidR="002118A5" w:rsidRPr="002118A5" w:rsidRDefault="002118A5" w:rsidP="002118A5">
      <w:pPr>
        <w:spacing w:after="240"/>
        <w:jc w:val="both"/>
        <w:rPr>
          <w:rFonts w:cstheme="minorHAnsi"/>
          <w:color w:val="505050"/>
        </w:rPr>
      </w:pPr>
      <w:r w:rsidRPr="008516A1">
        <w:rPr>
          <w:rFonts w:cstheme="minorHAnsi"/>
          <w:color w:val="505050"/>
        </w:rPr>
        <w:t>As shown above, if we are to calculate the steward obligation on a per material basis (as opposed to fixed cost per tonne), the potential increase is at a minimum, an order of magnitude greater than what the MOECP had estimated. While one could make the argument that using Blue Box material specific costs are not reflective of the costs associated with managing material from the IC&amp;I sector, there is no publicly available alternative that can be used in lieu of the PIM model.</w:t>
      </w:r>
      <w:bookmarkStart w:id="7" w:name="_Toc52433968"/>
    </w:p>
    <w:p w:rsidR="002118A5" w:rsidRDefault="002118A5" w:rsidP="002118A5">
      <w:pPr>
        <w:pStyle w:val="Heading1"/>
        <w:rPr>
          <w:rFonts w:asciiTheme="minorHAnsi" w:hAnsiTheme="minorHAnsi" w:cstheme="minorHAnsi"/>
        </w:rPr>
      </w:pPr>
    </w:p>
    <w:p w:rsidR="002118A5" w:rsidRPr="008516A1" w:rsidRDefault="002118A5" w:rsidP="002118A5">
      <w:pPr>
        <w:pStyle w:val="Heading1"/>
        <w:rPr>
          <w:rFonts w:asciiTheme="minorHAnsi" w:hAnsiTheme="minorHAnsi" w:cstheme="minorHAnsi"/>
        </w:rPr>
      </w:pPr>
      <w:r w:rsidRPr="008516A1">
        <w:rPr>
          <w:rFonts w:asciiTheme="minorHAnsi" w:hAnsiTheme="minorHAnsi" w:cstheme="minorHAnsi"/>
        </w:rPr>
        <w:t>Summary</w:t>
      </w:r>
      <w:bookmarkEnd w:id="7"/>
    </w:p>
    <w:p w:rsidR="002118A5" w:rsidRPr="008516A1" w:rsidRDefault="002118A5" w:rsidP="002118A5">
      <w:pPr>
        <w:spacing w:after="240"/>
        <w:jc w:val="both"/>
        <w:rPr>
          <w:rFonts w:cstheme="minorHAnsi"/>
          <w:color w:val="505050"/>
        </w:rPr>
      </w:pPr>
    </w:p>
    <w:p w:rsidR="002118A5" w:rsidRPr="008516A1" w:rsidRDefault="002118A5" w:rsidP="002118A5">
      <w:pPr>
        <w:spacing w:after="240"/>
        <w:jc w:val="both"/>
        <w:rPr>
          <w:rFonts w:cstheme="minorHAnsi"/>
          <w:color w:val="505050"/>
        </w:rPr>
      </w:pPr>
      <w:r w:rsidRPr="008516A1">
        <w:rPr>
          <w:rFonts w:cstheme="minorHAnsi"/>
          <w:color w:val="505050"/>
        </w:rPr>
        <w:lastRenderedPageBreak/>
        <w:t xml:space="preserve">Based on the analysis outlined in this report, the university feels that the MOECP is grossly underestimating the potential costs associated with increasing the steward obligation. Depending on the scenario, stewards may face a bill of up to $230 million ($135 million + 95 million) dollars over and above what they are paying today. </w:t>
      </w:r>
    </w:p>
    <w:p w:rsidR="002118A5" w:rsidRPr="008516A1" w:rsidRDefault="002118A5" w:rsidP="002118A5">
      <w:pPr>
        <w:spacing w:after="240"/>
        <w:jc w:val="both"/>
        <w:rPr>
          <w:rFonts w:cstheme="minorHAnsi"/>
          <w:color w:val="505050"/>
        </w:rPr>
      </w:pPr>
      <w:r w:rsidRPr="008516A1">
        <w:rPr>
          <w:rFonts w:cstheme="minorHAnsi"/>
          <w:color w:val="505050"/>
        </w:rPr>
        <w:t xml:space="preserve">The financial impacts of this decision can have significant implications for Ontarians. Any increase in the costs of managing the Blue Box system are ultimately going to be borne by the consumer. As per the university’s research, this in all likelihood will manifest itself as an increase in the price of consumer goods, increasing basket of goods costs anywhere from 6-12% for the average household. </w:t>
      </w:r>
    </w:p>
    <w:p w:rsidR="002118A5" w:rsidRPr="008516A1" w:rsidRDefault="002118A5" w:rsidP="002118A5">
      <w:pPr>
        <w:spacing w:after="240"/>
        <w:jc w:val="both"/>
        <w:rPr>
          <w:rFonts w:cstheme="minorHAnsi"/>
          <w:color w:val="505050"/>
        </w:rPr>
      </w:pPr>
      <w:r w:rsidRPr="008516A1">
        <w:rPr>
          <w:rFonts w:cstheme="minorHAnsi"/>
          <w:color w:val="505050"/>
        </w:rPr>
        <w:t xml:space="preserve">At present, there still remains considerable uncertainty regarding how the MOECP was able to arrive at their initial estimate. </w:t>
      </w:r>
    </w:p>
    <w:p w:rsidR="002118A5" w:rsidRPr="008516A1" w:rsidRDefault="002118A5" w:rsidP="002118A5">
      <w:pPr>
        <w:spacing w:after="240"/>
        <w:jc w:val="both"/>
        <w:rPr>
          <w:rFonts w:cstheme="minorHAnsi"/>
          <w:color w:val="505050"/>
        </w:rPr>
      </w:pPr>
      <w:r w:rsidRPr="008516A1">
        <w:rPr>
          <w:rFonts w:cstheme="minorHAnsi"/>
          <w:color w:val="505050"/>
        </w:rPr>
        <w:t xml:space="preserve">Important questions that must be answered (in order to have a meaningful dialogue surrounding changes in the steward obligation) include: </w:t>
      </w:r>
    </w:p>
    <w:p w:rsidR="002118A5" w:rsidRPr="008516A1" w:rsidRDefault="002118A5" w:rsidP="002118A5">
      <w:pPr>
        <w:pStyle w:val="ListParagraph"/>
        <w:numPr>
          <w:ilvl w:val="0"/>
          <w:numId w:val="8"/>
        </w:numPr>
        <w:spacing w:after="240" w:line="240" w:lineRule="auto"/>
        <w:jc w:val="both"/>
        <w:rPr>
          <w:rFonts w:eastAsia="Times New Roman" w:cstheme="minorHAnsi"/>
          <w:color w:val="505050"/>
          <w:sz w:val="24"/>
          <w:szCs w:val="24"/>
        </w:rPr>
      </w:pPr>
      <w:r w:rsidRPr="008516A1">
        <w:rPr>
          <w:rFonts w:eastAsia="Times New Roman" w:cstheme="minorHAnsi"/>
          <w:color w:val="505050"/>
          <w:sz w:val="24"/>
          <w:szCs w:val="24"/>
        </w:rPr>
        <w:t>How did the MOECP conclude that “the majority” of IC&amp;I sites are currently being serviced as part of the Blue Box program?</w:t>
      </w:r>
    </w:p>
    <w:p w:rsidR="002118A5" w:rsidRPr="008516A1" w:rsidRDefault="002118A5" w:rsidP="002118A5">
      <w:pPr>
        <w:pStyle w:val="ListParagraph"/>
        <w:numPr>
          <w:ilvl w:val="0"/>
          <w:numId w:val="8"/>
        </w:numPr>
        <w:spacing w:after="240" w:line="240" w:lineRule="auto"/>
        <w:jc w:val="both"/>
        <w:rPr>
          <w:rFonts w:eastAsia="Times New Roman" w:cstheme="minorHAnsi"/>
          <w:color w:val="505050"/>
          <w:sz w:val="24"/>
          <w:szCs w:val="24"/>
        </w:rPr>
      </w:pPr>
      <w:r w:rsidRPr="008516A1">
        <w:rPr>
          <w:rFonts w:eastAsia="Times New Roman" w:cstheme="minorHAnsi"/>
          <w:color w:val="505050"/>
          <w:sz w:val="24"/>
          <w:szCs w:val="24"/>
        </w:rPr>
        <w:t>Based on the sources provided above, costs associated with per unit multi-residential collection is consistently higher than what the MOECP used in their calculations ($22/unit). While the MOECP indicated that these costs were reported to them by their municipal partners, it is prudent that we understand who those partners are, and how multi-residential unit costs have changed over time</w:t>
      </w:r>
    </w:p>
    <w:p w:rsidR="002118A5" w:rsidRPr="008516A1" w:rsidRDefault="002118A5" w:rsidP="002118A5">
      <w:pPr>
        <w:pStyle w:val="ListParagraph"/>
        <w:numPr>
          <w:ilvl w:val="0"/>
          <w:numId w:val="8"/>
        </w:numPr>
        <w:spacing w:after="240" w:line="240" w:lineRule="auto"/>
        <w:jc w:val="both"/>
        <w:rPr>
          <w:rFonts w:eastAsia="Times New Roman" w:cstheme="minorHAnsi"/>
          <w:color w:val="505050"/>
          <w:sz w:val="24"/>
          <w:szCs w:val="24"/>
        </w:rPr>
      </w:pPr>
      <w:r w:rsidRPr="008516A1">
        <w:rPr>
          <w:rFonts w:eastAsia="Times New Roman" w:cstheme="minorHAnsi"/>
          <w:color w:val="505050"/>
          <w:sz w:val="24"/>
          <w:szCs w:val="24"/>
        </w:rPr>
        <w:t>How many samples are included in the MOECP audits that were used to estimate quantities of PP&amp;P generated and recovered? This is a critical question, as waste composition/generation varies greatly from locality to locality. As a result, we need to ensure that a sufficient number of samples were taken from multiple jurisdictions to arrive at credible estimates to be used in our calculations.</w:t>
      </w:r>
    </w:p>
    <w:p w:rsidR="002118A5" w:rsidRPr="008516A1" w:rsidRDefault="002118A5" w:rsidP="002118A5">
      <w:pPr>
        <w:pStyle w:val="ListParagraph"/>
        <w:numPr>
          <w:ilvl w:val="0"/>
          <w:numId w:val="8"/>
        </w:numPr>
        <w:spacing w:after="240" w:line="240" w:lineRule="auto"/>
        <w:jc w:val="both"/>
        <w:rPr>
          <w:rFonts w:eastAsia="Times New Roman" w:cstheme="minorHAnsi"/>
          <w:color w:val="505050"/>
          <w:sz w:val="24"/>
          <w:szCs w:val="24"/>
        </w:rPr>
      </w:pPr>
      <w:r w:rsidRPr="008516A1">
        <w:rPr>
          <w:rFonts w:eastAsia="Times New Roman" w:cstheme="minorHAnsi"/>
          <w:color w:val="505050"/>
          <w:sz w:val="24"/>
          <w:szCs w:val="24"/>
        </w:rPr>
        <w:t xml:space="preserve">What value did the MOECP use for the cost of IC&amp;I collection and processing? </w:t>
      </w:r>
    </w:p>
    <w:p w:rsidR="002118A5" w:rsidRPr="008516A1" w:rsidRDefault="002118A5" w:rsidP="002118A5">
      <w:pPr>
        <w:pStyle w:val="ListParagraph"/>
        <w:numPr>
          <w:ilvl w:val="0"/>
          <w:numId w:val="8"/>
        </w:numPr>
        <w:spacing w:after="240" w:line="240" w:lineRule="auto"/>
        <w:jc w:val="both"/>
        <w:rPr>
          <w:rFonts w:eastAsia="Times New Roman" w:cstheme="minorHAnsi"/>
          <w:color w:val="505050"/>
          <w:sz w:val="24"/>
          <w:szCs w:val="24"/>
        </w:rPr>
      </w:pPr>
      <w:r w:rsidRPr="008516A1">
        <w:rPr>
          <w:rFonts w:eastAsia="Times New Roman" w:cstheme="minorHAnsi"/>
          <w:color w:val="505050"/>
          <w:sz w:val="24"/>
          <w:szCs w:val="24"/>
        </w:rPr>
        <w:t xml:space="preserve">Why does the MOECP feel that per material costs are not pertinent to calculating the estimated increase in the steward obligation? Given that processing costs change in response to the types of material being sorted, using a fixed value and applying it to all inbound materials cannot be readily rationalized. </w:t>
      </w: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r w:rsidRPr="00857644">
        <w:rPr>
          <w:rFonts w:cstheme="minorHAnsi"/>
          <w:noProof/>
          <w:color w:val="505050"/>
        </w:rPr>
        <w:drawing>
          <wp:inline distT="0" distB="0" distL="0" distR="0" wp14:anchorId="6CAC22F6" wp14:editId="22C6170D">
            <wp:extent cx="5943600" cy="4457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457700"/>
                    </a:xfrm>
                    <a:prstGeom prst="rect">
                      <a:avLst/>
                    </a:prstGeom>
                  </pic:spPr>
                </pic:pic>
              </a:graphicData>
            </a:graphic>
          </wp:inline>
        </w:drawing>
      </w: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r w:rsidRPr="00857644">
        <w:rPr>
          <w:rFonts w:cstheme="minorHAnsi"/>
          <w:noProof/>
          <w:color w:val="505050"/>
        </w:rPr>
        <w:drawing>
          <wp:inline distT="0" distB="0" distL="0" distR="0" wp14:anchorId="246F25EA" wp14:editId="570E53D4">
            <wp:extent cx="5943600" cy="4457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4457700"/>
                    </a:xfrm>
                    <a:prstGeom prst="rect">
                      <a:avLst/>
                    </a:prstGeom>
                  </pic:spPr>
                </pic:pic>
              </a:graphicData>
            </a:graphic>
          </wp:inline>
        </w:drawing>
      </w: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r w:rsidRPr="00857644">
        <w:rPr>
          <w:rFonts w:cstheme="minorHAnsi"/>
          <w:noProof/>
          <w:color w:val="505050"/>
        </w:rPr>
        <w:drawing>
          <wp:inline distT="0" distB="0" distL="0" distR="0" wp14:anchorId="5BB2D357" wp14:editId="76629CF3">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4457700"/>
                    </a:xfrm>
                    <a:prstGeom prst="rect">
                      <a:avLst/>
                    </a:prstGeom>
                  </pic:spPr>
                </pic:pic>
              </a:graphicData>
            </a:graphic>
          </wp:inline>
        </w:drawing>
      </w: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r w:rsidRPr="00857644">
        <w:rPr>
          <w:rFonts w:cstheme="minorHAnsi"/>
          <w:noProof/>
          <w:color w:val="505050"/>
        </w:rPr>
        <w:lastRenderedPageBreak/>
        <w:drawing>
          <wp:inline distT="0" distB="0" distL="0" distR="0" wp14:anchorId="402C0925" wp14:editId="74679573">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457700"/>
                    </a:xfrm>
                    <a:prstGeom prst="rect">
                      <a:avLst/>
                    </a:prstGeom>
                  </pic:spPr>
                </pic:pic>
              </a:graphicData>
            </a:graphic>
          </wp:inline>
        </w:drawing>
      </w: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Default="002118A5" w:rsidP="002118A5">
      <w:pPr>
        <w:spacing w:after="240"/>
        <w:jc w:val="both"/>
        <w:rPr>
          <w:rFonts w:cstheme="minorHAnsi"/>
          <w:color w:val="505050"/>
        </w:rPr>
      </w:pPr>
    </w:p>
    <w:p w:rsidR="002118A5" w:rsidRPr="00857644" w:rsidRDefault="002118A5" w:rsidP="002118A5">
      <w:pPr>
        <w:jc w:val="both"/>
        <w:rPr>
          <w:b/>
          <w:iCs/>
        </w:rPr>
      </w:pPr>
    </w:p>
    <w:p w:rsidR="002118A5" w:rsidRPr="00857644" w:rsidRDefault="002118A5" w:rsidP="002118A5">
      <w:pPr>
        <w:jc w:val="both"/>
        <w:rPr>
          <w:rFonts w:ascii="Arial" w:hAnsi="Arial" w:cs="Arial"/>
          <w:b/>
          <w:i/>
          <w:sz w:val="20"/>
          <w:szCs w:val="20"/>
        </w:rPr>
      </w:pPr>
      <w:r w:rsidRPr="00857644">
        <w:rPr>
          <w:rFonts w:ascii="Arial" w:hAnsi="Arial" w:cs="Arial"/>
          <w:b/>
          <w:i/>
          <w:sz w:val="20"/>
          <w:szCs w:val="20"/>
        </w:rPr>
        <w:t>What is being proposed?</w:t>
      </w:r>
    </w:p>
    <w:p w:rsidR="002118A5" w:rsidRPr="00857644" w:rsidRDefault="002118A5" w:rsidP="002118A5">
      <w:pPr>
        <w:jc w:val="both"/>
        <w:rPr>
          <w:rFonts w:ascii="Arial" w:hAnsi="Arial" w:cs="Arial"/>
          <w:sz w:val="20"/>
          <w:szCs w:val="20"/>
        </w:rPr>
      </w:pPr>
      <w:r w:rsidRPr="00857644">
        <w:rPr>
          <w:rFonts w:ascii="Arial" w:hAnsi="Arial" w:cs="Arial"/>
          <w:sz w:val="20"/>
          <w:szCs w:val="20"/>
        </w:rPr>
        <w:t xml:space="preserve">On October 19, 2020, Ontario’s Ministry of the Environment, Conservation and Parks released a proposed regulation to govern the Ontario blue box program under the Resource Recovery and Circular Economy Act, 2016 (the RRCEA). The regulation will transition Ontario’s blue box recycling program for printed paper and packaging to full extended producer responsibility (EPR). </w:t>
      </w:r>
    </w:p>
    <w:p w:rsidR="002118A5" w:rsidRPr="00857644" w:rsidRDefault="002118A5" w:rsidP="002118A5">
      <w:pPr>
        <w:jc w:val="both"/>
        <w:rPr>
          <w:rFonts w:ascii="Arial" w:hAnsi="Arial" w:cs="Arial"/>
          <w:sz w:val="20"/>
          <w:szCs w:val="20"/>
        </w:rPr>
      </w:pPr>
      <w:r w:rsidRPr="00857644">
        <w:rPr>
          <w:rFonts w:ascii="Arial" w:hAnsi="Arial" w:cs="Arial"/>
          <w:sz w:val="20"/>
          <w:szCs w:val="20"/>
        </w:rPr>
        <w:t xml:space="preserve">The proposed regulation expands the list of acceptable Blue Box materials to include “packaging-like products” and certain single-use items. Examples of packaging like products include: aluminum pie plates, tin foil, plastic wraps and food trays, plastic cutlery/plates and single use drink containers. </w:t>
      </w:r>
    </w:p>
    <w:p w:rsidR="002118A5" w:rsidRPr="00857644" w:rsidRDefault="002118A5" w:rsidP="002118A5">
      <w:pPr>
        <w:jc w:val="both"/>
        <w:rPr>
          <w:rFonts w:ascii="Arial" w:hAnsi="Arial" w:cs="Arial"/>
          <w:sz w:val="20"/>
          <w:szCs w:val="20"/>
        </w:rPr>
      </w:pPr>
      <w:r w:rsidRPr="00857644">
        <w:rPr>
          <w:rFonts w:ascii="Arial" w:hAnsi="Arial" w:cs="Arial"/>
          <w:sz w:val="20"/>
          <w:szCs w:val="20"/>
        </w:rPr>
        <w:t>The intent of this change is three fold: 1) By including packaging-like products, the regulation targets items that so far have been free riders in Ontario’s Blue Box system. 2) Reduce public confusion regarding what is considered an acceptable Blue Box material in their jurisdiction. The proposed change will standardize accepted Blue Box materials, with the same set of materials being collected throughout the province 3) Move towards harmonizing approaches to managing packaging waste at a national level - British Columbia has announced plans to include single-use and packaging-like products in its list of obligated materials by 2023</w:t>
      </w:r>
    </w:p>
    <w:p w:rsidR="002118A5" w:rsidRPr="00857644" w:rsidRDefault="002118A5" w:rsidP="002118A5">
      <w:pPr>
        <w:jc w:val="both"/>
        <w:rPr>
          <w:rFonts w:ascii="Arial" w:hAnsi="Arial" w:cs="Arial"/>
          <w:b/>
          <w:sz w:val="20"/>
          <w:szCs w:val="20"/>
        </w:rPr>
      </w:pPr>
      <w:r w:rsidRPr="00857644">
        <w:rPr>
          <w:rFonts w:ascii="Arial" w:hAnsi="Arial" w:cs="Arial"/>
          <w:b/>
          <w:sz w:val="20"/>
          <w:szCs w:val="20"/>
        </w:rPr>
        <w:t>What is the issue?</w:t>
      </w:r>
    </w:p>
    <w:p w:rsidR="002118A5" w:rsidRPr="00857644" w:rsidRDefault="002118A5" w:rsidP="002118A5">
      <w:pPr>
        <w:jc w:val="both"/>
        <w:rPr>
          <w:rFonts w:ascii="Arial" w:hAnsi="Arial" w:cs="Arial"/>
          <w:sz w:val="20"/>
          <w:szCs w:val="20"/>
        </w:rPr>
      </w:pPr>
      <w:r w:rsidRPr="00857644">
        <w:rPr>
          <w:rFonts w:ascii="Arial" w:hAnsi="Arial" w:cs="Arial"/>
          <w:sz w:val="20"/>
          <w:szCs w:val="20"/>
        </w:rPr>
        <w:t xml:space="preserve">The MOECP’s decision to expand the list of acceptable Blue Box materials to include “packaging like products” is inconsistent with previous direction from the province and contradicts the messaging surrounding the federal single use plastics ban. </w:t>
      </w:r>
    </w:p>
    <w:p w:rsidR="002118A5" w:rsidRPr="00857644" w:rsidRDefault="002118A5" w:rsidP="002118A5">
      <w:pPr>
        <w:jc w:val="both"/>
        <w:rPr>
          <w:rFonts w:ascii="Arial" w:hAnsi="Arial" w:cs="Arial"/>
          <w:sz w:val="20"/>
          <w:szCs w:val="20"/>
        </w:rPr>
      </w:pPr>
      <w:r w:rsidRPr="00857644">
        <w:rPr>
          <w:rFonts w:ascii="Arial" w:hAnsi="Arial" w:cs="Arial"/>
          <w:sz w:val="20"/>
          <w:szCs w:val="20"/>
        </w:rPr>
        <w:t xml:space="preserve">Prior to the transition plan, municipalities actively discouraged accepting packaging like products in the Blue Box. The primary concern expressed by municipalities was that it was extremely difficult, if not impossible, to recycle many of these materials. The costs associated with attempting to collect and recover packaging like products was prohibitive, and could not be rationalized given that these materials were often treated as contamination (both at the material recycling facility, and downstream re-processors), and subsequently disposed of. </w:t>
      </w:r>
    </w:p>
    <w:p w:rsidR="002118A5" w:rsidRPr="00857644" w:rsidRDefault="002118A5" w:rsidP="002118A5">
      <w:pPr>
        <w:jc w:val="both"/>
        <w:rPr>
          <w:rFonts w:ascii="Arial" w:hAnsi="Arial" w:cs="Arial"/>
          <w:sz w:val="20"/>
          <w:szCs w:val="20"/>
        </w:rPr>
      </w:pPr>
      <w:r w:rsidRPr="00857644">
        <w:rPr>
          <w:rFonts w:ascii="Arial" w:hAnsi="Arial" w:cs="Arial"/>
          <w:sz w:val="20"/>
          <w:szCs w:val="20"/>
        </w:rPr>
        <w:t>Under a full EPR system, wherein packaging producers assume 100% of the physical and financial responsibility for managing packaging waste at end of life, the messaging surrounding packaging like products has now changed. While the infrastructural and technical barriers to recycling these materials remains unchanged, who pays for it has. The potential costs to producers is enormous, as none of the pre-</w:t>
      </w:r>
      <w:proofErr w:type="spellStart"/>
      <w:r w:rsidRPr="00857644">
        <w:rPr>
          <w:rFonts w:ascii="Arial" w:hAnsi="Arial" w:cs="Arial"/>
          <w:sz w:val="20"/>
          <w:szCs w:val="20"/>
        </w:rPr>
        <w:t>requistes</w:t>
      </w:r>
      <w:proofErr w:type="spellEnd"/>
      <w:r w:rsidRPr="00857644">
        <w:rPr>
          <w:rFonts w:ascii="Arial" w:hAnsi="Arial" w:cs="Arial"/>
          <w:sz w:val="20"/>
          <w:szCs w:val="20"/>
        </w:rPr>
        <w:t xml:space="preserve"> for effectively recycling packaging like products are in place – there is limited infrastructure, no viable end markets and no end use applications for these materials.</w:t>
      </w:r>
    </w:p>
    <w:p w:rsidR="002118A5" w:rsidRPr="00857644" w:rsidRDefault="002118A5" w:rsidP="002118A5">
      <w:pPr>
        <w:jc w:val="both"/>
        <w:rPr>
          <w:rFonts w:ascii="Arial" w:hAnsi="Arial" w:cs="Arial"/>
          <w:sz w:val="20"/>
          <w:szCs w:val="20"/>
        </w:rPr>
      </w:pPr>
      <w:r w:rsidRPr="00857644">
        <w:rPr>
          <w:rFonts w:ascii="Arial" w:hAnsi="Arial" w:cs="Arial"/>
          <w:sz w:val="20"/>
          <w:szCs w:val="20"/>
        </w:rPr>
        <w:t>With respect to the federal directive to ban single use plastics, Ontario’s decision to try and include these items as part of the Blue Bin program is perplexing. Allowing households to place single use packaging in the Blue Bin erroneously suggests that these materials are going to be recycled. As a result, the public receives two conflicting messages – the federal government is saying that single plastics should be banned due to their lack of recyclability and impact on the environment, while the provincial government is saying to include these materials as part of the residential recycling program.</w:t>
      </w:r>
    </w:p>
    <w:p w:rsidR="002118A5" w:rsidRPr="00857644" w:rsidRDefault="002118A5" w:rsidP="002118A5">
      <w:pPr>
        <w:jc w:val="both"/>
        <w:rPr>
          <w:rFonts w:ascii="Arial" w:hAnsi="Arial" w:cs="Arial"/>
          <w:sz w:val="20"/>
          <w:szCs w:val="20"/>
        </w:rPr>
      </w:pPr>
      <w:r w:rsidRPr="00857644">
        <w:rPr>
          <w:rFonts w:ascii="Arial" w:hAnsi="Arial" w:cs="Arial"/>
          <w:sz w:val="20"/>
          <w:szCs w:val="20"/>
        </w:rPr>
        <w:t xml:space="preserve">Consumers already struggle with differentiating between what products can be recycled, and what cannot. Consumers have also expressed skepticism as to whether the materials that are collected are actually recycled at all. With this in mind, the decision to include packaging like materials as part of the Blue Box program is likely to exacerbate uncertainty, and serve to undermine the efficacy and credibility of the federal single use plastics ban. </w:t>
      </w:r>
    </w:p>
    <w:p w:rsidR="002118A5" w:rsidRPr="00857644" w:rsidRDefault="002118A5" w:rsidP="002118A5">
      <w:pPr>
        <w:jc w:val="both"/>
        <w:rPr>
          <w:rFonts w:ascii="Arial" w:hAnsi="Arial" w:cs="Arial"/>
          <w:sz w:val="20"/>
          <w:szCs w:val="20"/>
        </w:rPr>
      </w:pPr>
      <w:r w:rsidRPr="00857644">
        <w:rPr>
          <w:rFonts w:ascii="Arial" w:hAnsi="Arial" w:cs="Arial"/>
          <w:sz w:val="20"/>
          <w:szCs w:val="20"/>
        </w:rPr>
        <w:t xml:space="preserve">It is the university’s assertion that expanding the list of acceptable materials will result in adverse economic, environmental and social outcomes for Ontarians and lead to consumer confusion regarding what materials are actually recyclable. </w:t>
      </w:r>
    </w:p>
    <w:p w:rsidR="002118A5" w:rsidRPr="00857644" w:rsidRDefault="002118A5" w:rsidP="002118A5">
      <w:pPr>
        <w:jc w:val="both"/>
        <w:rPr>
          <w:rFonts w:ascii="Arial" w:hAnsi="Arial" w:cs="Arial"/>
          <w:b/>
          <w:sz w:val="20"/>
          <w:szCs w:val="20"/>
        </w:rPr>
      </w:pPr>
      <w:r w:rsidRPr="00857644">
        <w:rPr>
          <w:rFonts w:ascii="Arial" w:hAnsi="Arial" w:cs="Arial"/>
          <w:b/>
          <w:sz w:val="20"/>
          <w:szCs w:val="20"/>
        </w:rPr>
        <w:t xml:space="preserve">What will this cost? </w:t>
      </w:r>
    </w:p>
    <w:p w:rsidR="002118A5" w:rsidRPr="00857644" w:rsidRDefault="002118A5" w:rsidP="002118A5">
      <w:pPr>
        <w:jc w:val="both"/>
        <w:rPr>
          <w:rFonts w:ascii="Arial" w:hAnsi="Arial" w:cs="Arial"/>
          <w:sz w:val="20"/>
          <w:szCs w:val="20"/>
        </w:rPr>
      </w:pPr>
      <w:r w:rsidRPr="00857644">
        <w:rPr>
          <w:rFonts w:ascii="Arial" w:hAnsi="Arial" w:cs="Arial"/>
          <w:sz w:val="20"/>
          <w:szCs w:val="20"/>
        </w:rPr>
        <w:t xml:space="preserve">Quantifying the economic impact of expanding the list of acceptable Blue Box materials is enormously challenging, largely because the vast majority of packaging like products cannot be recycled in our existing system. Further complicating matters is that we don’t have a clear understanding of the quantities of packaging like products that are being generated in the province – in short, there is not enough data at this time to make informed policy decisions.   </w:t>
      </w:r>
    </w:p>
    <w:p w:rsidR="002118A5" w:rsidRPr="00857644" w:rsidRDefault="002118A5" w:rsidP="002118A5">
      <w:pPr>
        <w:jc w:val="both"/>
        <w:rPr>
          <w:rFonts w:ascii="Arial" w:hAnsi="Arial" w:cs="Arial"/>
          <w:sz w:val="20"/>
          <w:szCs w:val="20"/>
        </w:rPr>
      </w:pPr>
      <w:r w:rsidRPr="00857644">
        <w:rPr>
          <w:rFonts w:ascii="Arial" w:hAnsi="Arial" w:cs="Arial"/>
          <w:sz w:val="20"/>
          <w:szCs w:val="20"/>
        </w:rPr>
        <w:t xml:space="preserve">With that in mind, this section attempts to model a scenario using best available data that is intended to provide directional guidance as to what this change will cost. Additional research needs to be done in this area as better data becomes available. </w:t>
      </w:r>
    </w:p>
    <w:p w:rsidR="002118A5" w:rsidRPr="00857644" w:rsidRDefault="002118A5" w:rsidP="002118A5">
      <w:pPr>
        <w:jc w:val="both"/>
        <w:rPr>
          <w:rFonts w:ascii="Arial" w:hAnsi="Arial" w:cs="Arial"/>
          <w:sz w:val="20"/>
          <w:szCs w:val="20"/>
        </w:rPr>
      </w:pPr>
      <w:r w:rsidRPr="00857644">
        <w:rPr>
          <w:rFonts w:ascii="Arial" w:hAnsi="Arial" w:cs="Arial"/>
          <w:i/>
          <w:sz w:val="20"/>
          <w:szCs w:val="20"/>
        </w:rPr>
        <w:t>Note:</w:t>
      </w:r>
      <w:r w:rsidRPr="00857644">
        <w:rPr>
          <w:rFonts w:ascii="Arial" w:hAnsi="Arial" w:cs="Arial"/>
          <w:sz w:val="20"/>
          <w:szCs w:val="20"/>
        </w:rPr>
        <w:t xml:space="preserve"> The data used in this section is based on the Stewardship Ontario Pay in Model (used as an analog to estimate net costs per tonne for packaging like products) and 55 waste audits conducted throughout Ontario, between the periods of 2015 and 2020. Audit data is used to estimate the quantities of packaging like products that are being generated by households each year.  </w:t>
      </w:r>
    </w:p>
    <w:p w:rsidR="002118A5" w:rsidRPr="00857644" w:rsidRDefault="002118A5" w:rsidP="002118A5">
      <w:pPr>
        <w:jc w:val="both"/>
        <w:rPr>
          <w:rFonts w:ascii="Arial" w:hAnsi="Arial" w:cs="Arial"/>
          <w:sz w:val="20"/>
          <w:szCs w:val="20"/>
        </w:rPr>
      </w:pPr>
      <w:r w:rsidRPr="00857644">
        <w:rPr>
          <w:rFonts w:ascii="Arial" w:hAnsi="Arial" w:cs="Arial"/>
          <w:sz w:val="20"/>
          <w:szCs w:val="20"/>
        </w:rPr>
        <w:t>Based on the waste audit data, Ontarians, on average, generate approximately 567kg of waste per household every year (Note: Estimates range from as little as 411kg/</w:t>
      </w:r>
      <w:proofErr w:type="spellStart"/>
      <w:r w:rsidRPr="00857644">
        <w:rPr>
          <w:rFonts w:ascii="Arial" w:hAnsi="Arial" w:cs="Arial"/>
          <w:sz w:val="20"/>
          <w:szCs w:val="20"/>
        </w:rPr>
        <w:t>hh</w:t>
      </w:r>
      <w:proofErr w:type="spellEnd"/>
      <w:r w:rsidRPr="00857644">
        <w:rPr>
          <w:rFonts w:ascii="Arial" w:hAnsi="Arial" w:cs="Arial"/>
          <w:sz w:val="20"/>
          <w:szCs w:val="20"/>
        </w:rPr>
        <w:t xml:space="preserve"> to more than 740kg/</w:t>
      </w:r>
      <w:proofErr w:type="spellStart"/>
      <w:r w:rsidRPr="00857644">
        <w:rPr>
          <w:rFonts w:ascii="Arial" w:hAnsi="Arial" w:cs="Arial"/>
          <w:sz w:val="20"/>
          <w:szCs w:val="20"/>
        </w:rPr>
        <w:t>hh</w:t>
      </w:r>
      <w:proofErr w:type="spellEnd"/>
      <w:r w:rsidRPr="00857644">
        <w:rPr>
          <w:rFonts w:ascii="Arial" w:hAnsi="Arial" w:cs="Arial"/>
          <w:sz w:val="20"/>
          <w:szCs w:val="20"/>
        </w:rPr>
        <w:t xml:space="preserve"> depending on where the audit was conducted). Overall waste generation in Ontario, based on a population of 5,169,175 households, is 2,933,196.66 Tonnes.</w:t>
      </w:r>
    </w:p>
    <w:p w:rsidR="002118A5" w:rsidRDefault="002118A5" w:rsidP="002118A5">
      <w:pPr>
        <w:jc w:val="both"/>
        <w:rPr>
          <w:rFonts w:ascii="Arial" w:hAnsi="Arial" w:cs="Arial"/>
          <w:sz w:val="20"/>
          <w:szCs w:val="20"/>
        </w:rPr>
      </w:pPr>
      <w:r w:rsidRPr="00857644">
        <w:rPr>
          <w:rFonts w:ascii="Arial" w:hAnsi="Arial" w:cs="Arial"/>
          <w:sz w:val="20"/>
          <w:szCs w:val="20"/>
        </w:rPr>
        <w:lastRenderedPageBreak/>
        <w:t>Of this, packaging like products makes up approximately 4.01% of all waste generated. Table 1 below provides a detailed breakdown of waste composition, as well as net cost per tonne to manage these materials as part of the Blue Box.</w:t>
      </w:r>
    </w:p>
    <w:p w:rsidR="002118A5" w:rsidRPr="00857644" w:rsidRDefault="002118A5" w:rsidP="002118A5">
      <w:pPr>
        <w:jc w:val="both"/>
        <w:rPr>
          <w:rFonts w:ascii="Arial" w:hAnsi="Arial" w:cs="Arial"/>
          <w:sz w:val="20"/>
          <w:szCs w:val="20"/>
        </w:rPr>
      </w:pPr>
      <w:r w:rsidRPr="00857644">
        <w:rPr>
          <w:rFonts w:ascii="Arial" w:hAnsi="Arial" w:cs="Arial"/>
          <w:b/>
          <w:sz w:val="20"/>
          <w:szCs w:val="20"/>
        </w:rPr>
        <w:t>Table 1: Scenario Modeling</w:t>
      </w:r>
    </w:p>
    <w:tbl>
      <w:tblPr>
        <w:tblW w:w="5000" w:type="pct"/>
        <w:tblLook w:val="04A0" w:firstRow="1" w:lastRow="0" w:firstColumn="1" w:lastColumn="0" w:noHBand="0" w:noVBand="1"/>
      </w:tblPr>
      <w:tblGrid>
        <w:gridCol w:w="2667"/>
        <w:gridCol w:w="2997"/>
        <w:gridCol w:w="2884"/>
        <w:gridCol w:w="2512"/>
      </w:tblGrid>
      <w:tr w:rsidR="002118A5" w:rsidRPr="00857644" w:rsidTr="00A344FE">
        <w:trPr>
          <w:trHeight w:val="576"/>
        </w:trPr>
        <w:tc>
          <w:tcPr>
            <w:tcW w:w="1265" w:type="pct"/>
            <w:tcBorders>
              <w:top w:val="single" w:sz="4" w:space="0" w:color="auto"/>
              <w:left w:val="single" w:sz="4" w:space="0" w:color="auto"/>
              <w:bottom w:val="single" w:sz="4" w:space="0" w:color="auto"/>
              <w:right w:val="single" w:sz="4" w:space="0" w:color="auto"/>
            </w:tcBorders>
            <w:shd w:val="clear" w:color="000000" w:fill="D9D9D9"/>
            <w:vAlign w:val="bottom"/>
            <w:hideMark/>
          </w:tcPr>
          <w:p w:rsidR="002118A5" w:rsidRPr="00857644" w:rsidRDefault="002118A5" w:rsidP="00A344FE">
            <w:pPr>
              <w:jc w:val="both"/>
              <w:rPr>
                <w:rFonts w:ascii="Arial" w:hAnsi="Arial" w:cs="Arial"/>
                <w:b/>
                <w:bCs/>
                <w:color w:val="000000"/>
                <w:sz w:val="20"/>
                <w:szCs w:val="20"/>
              </w:rPr>
            </w:pPr>
            <w:r w:rsidRPr="00857644">
              <w:rPr>
                <w:rFonts w:ascii="Arial" w:hAnsi="Arial" w:cs="Arial"/>
                <w:b/>
                <w:bCs/>
                <w:color w:val="000000"/>
                <w:sz w:val="20"/>
                <w:szCs w:val="20"/>
              </w:rPr>
              <w:t>Material Category</w:t>
            </w:r>
          </w:p>
        </w:tc>
        <w:tc>
          <w:tcPr>
            <w:tcW w:w="1414" w:type="pct"/>
            <w:tcBorders>
              <w:top w:val="single" w:sz="4" w:space="0" w:color="auto"/>
              <w:left w:val="nil"/>
              <w:bottom w:val="single" w:sz="4" w:space="0" w:color="auto"/>
              <w:right w:val="single" w:sz="4" w:space="0" w:color="auto"/>
            </w:tcBorders>
            <w:shd w:val="clear" w:color="000000" w:fill="D9D9D9"/>
            <w:vAlign w:val="bottom"/>
            <w:hideMark/>
          </w:tcPr>
          <w:p w:rsidR="002118A5" w:rsidRPr="00857644" w:rsidRDefault="002118A5" w:rsidP="00A344FE">
            <w:pPr>
              <w:jc w:val="both"/>
              <w:rPr>
                <w:rFonts w:ascii="Arial" w:hAnsi="Arial" w:cs="Arial"/>
                <w:b/>
                <w:bCs/>
                <w:color w:val="000000"/>
                <w:sz w:val="20"/>
                <w:szCs w:val="20"/>
              </w:rPr>
            </w:pPr>
            <w:r w:rsidRPr="00857644">
              <w:rPr>
                <w:rFonts w:ascii="Arial" w:hAnsi="Arial" w:cs="Arial"/>
                <w:b/>
                <w:bCs/>
                <w:color w:val="000000"/>
                <w:sz w:val="20"/>
                <w:szCs w:val="20"/>
              </w:rPr>
              <w:t>Analog for</w:t>
            </w:r>
          </w:p>
        </w:tc>
        <w:tc>
          <w:tcPr>
            <w:tcW w:w="1126" w:type="pct"/>
            <w:tcBorders>
              <w:top w:val="single" w:sz="4" w:space="0" w:color="auto"/>
              <w:left w:val="nil"/>
              <w:bottom w:val="single" w:sz="4" w:space="0" w:color="auto"/>
              <w:right w:val="single" w:sz="4" w:space="0" w:color="auto"/>
            </w:tcBorders>
            <w:shd w:val="clear" w:color="000000" w:fill="D9D9D9"/>
            <w:vAlign w:val="bottom"/>
            <w:hideMark/>
          </w:tcPr>
          <w:p w:rsidR="002118A5" w:rsidRPr="00857644" w:rsidRDefault="002118A5" w:rsidP="00A344FE">
            <w:pPr>
              <w:jc w:val="both"/>
              <w:rPr>
                <w:rFonts w:ascii="Arial" w:hAnsi="Arial" w:cs="Arial"/>
                <w:b/>
                <w:bCs/>
                <w:color w:val="000000"/>
                <w:sz w:val="20"/>
                <w:szCs w:val="20"/>
              </w:rPr>
            </w:pPr>
            <w:r w:rsidRPr="00857644">
              <w:rPr>
                <w:rFonts w:ascii="Arial" w:hAnsi="Arial" w:cs="Arial"/>
                <w:b/>
                <w:bCs/>
                <w:color w:val="000000"/>
                <w:sz w:val="20"/>
                <w:szCs w:val="20"/>
              </w:rPr>
              <w:t>Net Cost Per Tonne (assuming recycled)</w:t>
            </w:r>
          </w:p>
        </w:tc>
        <w:tc>
          <w:tcPr>
            <w:tcW w:w="1195" w:type="pct"/>
            <w:tcBorders>
              <w:top w:val="single" w:sz="4" w:space="0" w:color="auto"/>
              <w:left w:val="nil"/>
              <w:bottom w:val="single" w:sz="4" w:space="0" w:color="auto"/>
              <w:right w:val="single" w:sz="4" w:space="0" w:color="auto"/>
            </w:tcBorders>
            <w:shd w:val="clear" w:color="000000" w:fill="D9D9D9"/>
            <w:vAlign w:val="bottom"/>
            <w:hideMark/>
          </w:tcPr>
          <w:p w:rsidR="002118A5" w:rsidRPr="00857644" w:rsidRDefault="002118A5" w:rsidP="00A344FE">
            <w:pPr>
              <w:jc w:val="both"/>
              <w:rPr>
                <w:rFonts w:ascii="Arial" w:hAnsi="Arial" w:cs="Arial"/>
                <w:b/>
                <w:bCs/>
                <w:color w:val="000000"/>
                <w:sz w:val="20"/>
                <w:szCs w:val="20"/>
              </w:rPr>
            </w:pPr>
            <w:r w:rsidRPr="00857644">
              <w:rPr>
                <w:rFonts w:ascii="Arial" w:hAnsi="Arial" w:cs="Arial"/>
                <w:b/>
                <w:bCs/>
                <w:color w:val="000000"/>
                <w:sz w:val="20"/>
                <w:szCs w:val="20"/>
              </w:rPr>
              <w:t>% of Waste Stream (BB, Organics, Garbage)</w:t>
            </w:r>
          </w:p>
        </w:tc>
      </w:tr>
      <w:tr w:rsidR="002118A5" w:rsidRPr="00857644" w:rsidTr="00A344FE">
        <w:trPr>
          <w:trHeight w:val="288"/>
        </w:trPr>
        <w:tc>
          <w:tcPr>
            <w:tcW w:w="1265" w:type="pct"/>
            <w:tcBorders>
              <w:top w:val="nil"/>
              <w:left w:val="single" w:sz="4" w:space="0" w:color="auto"/>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Other Printed Paper</w:t>
            </w:r>
          </w:p>
        </w:tc>
        <w:tc>
          <w:tcPr>
            <w:tcW w:w="1414"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Unprinted Paper</w:t>
            </w:r>
          </w:p>
        </w:tc>
        <w:tc>
          <w:tcPr>
            <w:tcW w:w="1126" w:type="pct"/>
            <w:tcBorders>
              <w:top w:val="nil"/>
              <w:left w:val="nil"/>
              <w:bottom w:val="single" w:sz="4" w:space="0" w:color="auto"/>
              <w:right w:val="single" w:sz="4" w:space="0" w:color="auto"/>
            </w:tcBorders>
            <w:shd w:val="clear" w:color="auto" w:fill="auto"/>
            <w:noWrap/>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 xml:space="preserve"> $                                  227.25 </w:t>
            </w:r>
          </w:p>
        </w:tc>
        <w:tc>
          <w:tcPr>
            <w:tcW w:w="1195"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0.11%</w:t>
            </w:r>
          </w:p>
        </w:tc>
      </w:tr>
      <w:tr w:rsidR="002118A5" w:rsidRPr="00857644" w:rsidTr="00A344FE">
        <w:trPr>
          <w:trHeight w:val="288"/>
        </w:trPr>
        <w:tc>
          <w:tcPr>
            <w:tcW w:w="1265" w:type="pct"/>
            <w:tcBorders>
              <w:top w:val="nil"/>
              <w:left w:val="single" w:sz="4" w:space="0" w:color="auto"/>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Plastic Film</w:t>
            </w:r>
          </w:p>
        </w:tc>
        <w:tc>
          <w:tcPr>
            <w:tcW w:w="1414"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Plastic Wrap, plastic bags</w:t>
            </w:r>
          </w:p>
        </w:tc>
        <w:tc>
          <w:tcPr>
            <w:tcW w:w="1126" w:type="pct"/>
            <w:tcBorders>
              <w:top w:val="nil"/>
              <w:left w:val="nil"/>
              <w:bottom w:val="single" w:sz="4" w:space="0" w:color="auto"/>
              <w:right w:val="single" w:sz="4" w:space="0" w:color="auto"/>
            </w:tcBorders>
            <w:shd w:val="clear" w:color="auto" w:fill="auto"/>
            <w:noWrap/>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 xml:space="preserve"> $                               2,732.63 </w:t>
            </w:r>
          </w:p>
        </w:tc>
        <w:tc>
          <w:tcPr>
            <w:tcW w:w="1195"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1.71%</w:t>
            </w:r>
          </w:p>
        </w:tc>
      </w:tr>
      <w:tr w:rsidR="002118A5" w:rsidRPr="00857644" w:rsidTr="00A344FE">
        <w:trPr>
          <w:trHeight w:val="576"/>
        </w:trPr>
        <w:tc>
          <w:tcPr>
            <w:tcW w:w="1265" w:type="pct"/>
            <w:tcBorders>
              <w:top w:val="nil"/>
              <w:left w:val="single" w:sz="4" w:space="0" w:color="auto"/>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Paper Laminate</w:t>
            </w:r>
          </w:p>
        </w:tc>
        <w:tc>
          <w:tcPr>
            <w:tcW w:w="1414"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Single use drink cups, fast food boxes/containers</w:t>
            </w:r>
          </w:p>
        </w:tc>
        <w:tc>
          <w:tcPr>
            <w:tcW w:w="1126" w:type="pct"/>
            <w:tcBorders>
              <w:top w:val="nil"/>
              <w:left w:val="nil"/>
              <w:bottom w:val="single" w:sz="4" w:space="0" w:color="auto"/>
              <w:right w:val="single" w:sz="4" w:space="0" w:color="auto"/>
            </w:tcBorders>
            <w:shd w:val="clear" w:color="auto" w:fill="auto"/>
            <w:noWrap/>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 xml:space="preserve"> $                               1,287.21 </w:t>
            </w:r>
          </w:p>
        </w:tc>
        <w:tc>
          <w:tcPr>
            <w:tcW w:w="1195"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0.21%</w:t>
            </w:r>
          </w:p>
          <w:p w:rsidR="002118A5" w:rsidRPr="00857644" w:rsidRDefault="002118A5" w:rsidP="00A344FE">
            <w:pPr>
              <w:jc w:val="both"/>
              <w:rPr>
                <w:rFonts w:ascii="Arial" w:hAnsi="Arial" w:cs="Arial"/>
                <w:color w:val="000000"/>
                <w:sz w:val="20"/>
                <w:szCs w:val="20"/>
              </w:rPr>
            </w:pPr>
          </w:p>
        </w:tc>
      </w:tr>
      <w:tr w:rsidR="002118A5" w:rsidRPr="00857644" w:rsidTr="00A344FE">
        <w:trPr>
          <w:trHeight w:val="1152"/>
        </w:trPr>
        <w:tc>
          <w:tcPr>
            <w:tcW w:w="1265" w:type="pct"/>
            <w:tcBorders>
              <w:top w:val="nil"/>
              <w:left w:val="single" w:sz="4" w:space="0" w:color="auto"/>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Packaging like Plastics (weighted average of laminates, Polystyrene and Other)</w:t>
            </w:r>
          </w:p>
        </w:tc>
        <w:tc>
          <w:tcPr>
            <w:tcW w:w="1414"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Plastic Cutlery/dishes, straws, stir sticks</w:t>
            </w:r>
          </w:p>
        </w:tc>
        <w:tc>
          <w:tcPr>
            <w:tcW w:w="1126" w:type="pct"/>
            <w:tcBorders>
              <w:top w:val="nil"/>
              <w:left w:val="nil"/>
              <w:bottom w:val="single" w:sz="4" w:space="0" w:color="auto"/>
              <w:right w:val="single" w:sz="4" w:space="0" w:color="auto"/>
            </w:tcBorders>
            <w:shd w:val="clear" w:color="auto" w:fill="auto"/>
            <w:noWrap/>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 xml:space="preserve"> $                               1,712.07 </w:t>
            </w:r>
          </w:p>
        </w:tc>
        <w:tc>
          <w:tcPr>
            <w:tcW w:w="1195"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1.87%</w:t>
            </w:r>
          </w:p>
        </w:tc>
      </w:tr>
      <w:tr w:rsidR="002118A5" w:rsidRPr="00857644" w:rsidTr="00A344FE">
        <w:trPr>
          <w:trHeight w:val="864"/>
        </w:trPr>
        <w:tc>
          <w:tcPr>
            <w:tcW w:w="1265" w:type="pct"/>
            <w:tcBorders>
              <w:top w:val="nil"/>
              <w:left w:val="single" w:sz="4" w:space="0" w:color="auto"/>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Other Aluminum Packaging (Gross costs, as no revenue attributable to foil/food trays)</w:t>
            </w:r>
          </w:p>
        </w:tc>
        <w:tc>
          <w:tcPr>
            <w:tcW w:w="1414"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Pie plates, foil, baking trays</w:t>
            </w:r>
          </w:p>
        </w:tc>
        <w:tc>
          <w:tcPr>
            <w:tcW w:w="1126" w:type="pct"/>
            <w:tcBorders>
              <w:top w:val="nil"/>
              <w:left w:val="nil"/>
              <w:bottom w:val="single" w:sz="4" w:space="0" w:color="auto"/>
              <w:right w:val="single" w:sz="4" w:space="0" w:color="auto"/>
            </w:tcBorders>
            <w:shd w:val="clear" w:color="auto" w:fill="auto"/>
            <w:noWrap/>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 xml:space="preserve"> $                                  934.72 </w:t>
            </w:r>
          </w:p>
        </w:tc>
        <w:tc>
          <w:tcPr>
            <w:tcW w:w="1195" w:type="pct"/>
            <w:tcBorders>
              <w:top w:val="nil"/>
              <w:left w:val="nil"/>
              <w:bottom w:val="single" w:sz="4" w:space="0" w:color="auto"/>
              <w:right w:val="single" w:sz="4" w:space="0" w:color="auto"/>
            </w:tcBorders>
            <w:shd w:val="clear" w:color="auto" w:fill="auto"/>
            <w:vAlign w:val="bottom"/>
            <w:hideMark/>
          </w:tcPr>
          <w:p w:rsidR="002118A5" w:rsidRPr="00857644" w:rsidRDefault="002118A5" w:rsidP="00A344FE">
            <w:pPr>
              <w:jc w:val="both"/>
              <w:rPr>
                <w:rFonts w:ascii="Arial" w:hAnsi="Arial" w:cs="Arial"/>
                <w:color w:val="000000"/>
                <w:sz w:val="20"/>
                <w:szCs w:val="20"/>
              </w:rPr>
            </w:pPr>
            <w:r w:rsidRPr="00857644">
              <w:rPr>
                <w:rFonts w:ascii="Arial" w:hAnsi="Arial" w:cs="Arial"/>
                <w:color w:val="000000"/>
                <w:sz w:val="20"/>
                <w:szCs w:val="20"/>
              </w:rPr>
              <w:t>0.11%</w:t>
            </w:r>
          </w:p>
        </w:tc>
      </w:tr>
    </w:tbl>
    <w:p w:rsidR="002118A5" w:rsidRPr="00857644" w:rsidRDefault="002118A5" w:rsidP="002118A5">
      <w:pPr>
        <w:jc w:val="both"/>
        <w:rPr>
          <w:rFonts w:ascii="Arial" w:hAnsi="Arial" w:cs="Arial"/>
          <w:sz w:val="20"/>
          <w:szCs w:val="20"/>
        </w:rPr>
      </w:pPr>
    </w:p>
    <w:p w:rsidR="002118A5" w:rsidRPr="00857644" w:rsidRDefault="002118A5" w:rsidP="002118A5">
      <w:pPr>
        <w:jc w:val="both"/>
        <w:rPr>
          <w:rFonts w:ascii="Arial" w:hAnsi="Arial" w:cs="Arial"/>
          <w:b/>
          <w:sz w:val="20"/>
          <w:szCs w:val="20"/>
        </w:rPr>
      </w:pPr>
      <w:r w:rsidRPr="00857644">
        <w:rPr>
          <w:rFonts w:ascii="Arial" w:hAnsi="Arial" w:cs="Arial"/>
          <w:b/>
          <w:sz w:val="20"/>
          <w:szCs w:val="20"/>
        </w:rPr>
        <w:t xml:space="preserve">Weighted Average Net Cost </w:t>
      </w:r>
      <w:proofErr w:type="gramStart"/>
      <w:r w:rsidRPr="00857644">
        <w:rPr>
          <w:rFonts w:ascii="Arial" w:hAnsi="Arial" w:cs="Arial"/>
          <w:b/>
          <w:sz w:val="20"/>
          <w:szCs w:val="20"/>
        </w:rPr>
        <w:t>Per</w:t>
      </w:r>
      <w:proofErr w:type="gramEnd"/>
      <w:r w:rsidRPr="00857644">
        <w:rPr>
          <w:rFonts w:ascii="Arial" w:hAnsi="Arial" w:cs="Arial"/>
          <w:b/>
          <w:sz w:val="20"/>
          <w:szCs w:val="20"/>
        </w:rPr>
        <w:t xml:space="preserve"> Tonne: $2002.52/T</w:t>
      </w:r>
    </w:p>
    <w:p w:rsidR="002118A5" w:rsidRPr="00857644" w:rsidRDefault="002118A5" w:rsidP="002118A5">
      <w:pPr>
        <w:jc w:val="both"/>
        <w:rPr>
          <w:rFonts w:ascii="Arial" w:hAnsi="Arial" w:cs="Arial"/>
          <w:b/>
          <w:sz w:val="20"/>
          <w:szCs w:val="20"/>
        </w:rPr>
      </w:pPr>
      <w:r w:rsidRPr="00857644">
        <w:rPr>
          <w:rFonts w:ascii="Arial" w:hAnsi="Arial" w:cs="Arial"/>
          <w:b/>
          <w:sz w:val="20"/>
          <w:szCs w:val="20"/>
        </w:rPr>
        <w:t>% of Packaging like products of overall waste: 4.01%</w:t>
      </w:r>
    </w:p>
    <w:p w:rsidR="002118A5" w:rsidRDefault="002118A5" w:rsidP="002118A5">
      <w:pPr>
        <w:jc w:val="both"/>
        <w:rPr>
          <w:rFonts w:ascii="Arial" w:hAnsi="Arial" w:cs="Arial"/>
          <w:sz w:val="20"/>
          <w:szCs w:val="20"/>
        </w:rPr>
      </w:pPr>
    </w:p>
    <w:p w:rsidR="002118A5" w:rsidRPr="00857644" w:rsidRDefault="002118A5" w:rsidP="002118A5">
      <w:pPr>
        <w:jc w:val="both"/>
        <w:rPr>
          <w:rFonts w:ascii="Arial" w:hAnsi="Arial" w:cs="Arial"/>
          <w:sz w:val="20"/>
          <w:szCs w:val="20"/>
        </w:rPr>
      </w:pPr>
      <w:r w:rsidRPr="00857644">
        <w:rPr>
          <w:rFonts w:ascii="Arial" w:hAnsi="Arial" w:cs="Arial"/>
          <w:sz w:val="20"/>
          <w:szCs w:val="20"/>
        </w:rPr>
        <w:t>Based on our aggregated audit data, 39% of packaging like products are found in the recycling stream (Blue Box), 8% in the Organics Stream (Blue Bin) and 53% in the garbage stream (Trash)</w:t>
      </w:r>
    </w:p>
    <w:p w:rsidR="002118A5" w:rsidRPr="00857644" w:rsidRDefault="002118A5" w:rsidP="002118A5">
      <w:pPr>
        <w:jc w:val="both"/>
        <w:rPr>
          <w:rFonts w:ascii="Arial" w:hAnsi="Arial" w:cs="Arial"/>
          <w:sz w:val="20"/>
          <w:szCs w:val="20"/>
        </w:rPr>
      </w:pPr>
      <w:r w:rsidRPr="00857644">
        <w:rPr>
          <w:rFonts w:ascii="Arial" w:hAnsi="Arial" w:cs="Arial"/>
          <w:sz w:val="20"/>
          <w:szCs w:val="20"/>
        </w:rPr>
        <w:t xml:space="preserve">Using the above data, we can now estimate what the potential cost would be if Ontario were to move forward with the decision to include packaging like products as part of the Blue Bin. To reiterate, these numbers should be interpreted with caution due to the paucity of available data. This </w:t>
      </w:r>
      <w:proofErr w:type="gramStart"/>
      <w:r w:rsidRPr="00857644">
        <w:rPr>
          <w:rFonts w:ascii="Arial" w:hAnsi="Arial" w:cs="Arial"/>
          <w:sz w:val="20"/>
          <w:szCs w:val="20"/>
        </w:rPr>
        <w:t>modeling  assumes</w:t>
      </w:r>
      <w:proofErr w:type="gramEnd"/>
      <w:r w:rsidRPr="00857644">
        <w:rPr>
          <w:rFonts w:ascii="Arial" w:hAnsi="Arial" w:cs="Arial"/>
          <w:sz w:val="20"/>
          <w:szCs w:val="20"/>
        </w:rPr>
        <w:t xml:space="preserve"> that the material analogs we have taken from the PIM model, accurately reflect packaging like products. We also assume that packaging like products are being recycled, as opposed to being screened as contamination and subsequently discarded.</w:t>
      </w:r>
    </w:p>
    <w:tbl>
      <w:tblPr>
        <w:tblStyle w:val="TableGrid"/>
        <w:tblW w:w="0" w:type="auto"/>
        <w:tblLook w:val="04A0" w:firstRow="1" w:lastRow="0" w:firstColumn="1" w:lastColumn="0" w:noHBand="0" w:noVBand="1"/>
      </w:tblPr>
      <w:tblGrid>
        <w:gridCol w:w="2775"/>
        <w:gridCol w:w="2502"/>
        <w:gridCol w:w="2003"/>
        <w:gridCol w:w="2124"/>
        <w:gridCol w:w="1656"/>
      </w:tblGrid>
      <w:tr w:rsidR="002118A5" w:rsidRPr="00857644" w:rsidTr="00A344FE">
        <w:trPr>
          <w:trHeight w:val="864"/>
        </w:trPr>
        <w:tc>
          <w:tcPr>
            <w:tcW w:w="3600" w:type="dxa"/>
            <w:shd w:val="clear" w:color="auto" w:fill="D9D9D9" w:themeFill="background1" w:themeFillShade="D9"/>
            <w:hideMark/>
          </w:tcPr>
          <w:p w:rsidR="002118A5" w:rsidRPr="00857644" w:rsidRDefault="002118A5" w:rsidP="00A344FE">
            <w:pPr>
              <w:jc w:val="both"/>
              <w:rPr>
                <w:rFonts w:ascii="Arial" w:hAnsi="Arial" w:cs="Arial"/>
                <w:b/>
                <w:bCs/>
                <w:sz w:val="20"/>
                <w:szCs w:val="20"/>
              </w:rPr>
            </w:pPr>
            <w:r w:rsidRPr="00857644">
              <w:rPr>
                <w:rFonts w:ascii="Arial" w:hAnsi="Arial" w:cs="Arial"/>
                <w:b/>
                <w:bCs/>
                <w:sz w:val="20"/>
                <w:szCs w:val="20"/>
              </w:rPr>
              <w:t>Material Category</w:t>
            </w:r>
          </w:p>
        </w:tc>
        <w:tc>
          <w:tcPr>
            <w:tcW w:w="3240" w:type="dxa"/>
            <w:shd w:val="clear" w:color="auto" w:fill="D9D9D9" w:themeFill="background1" w:themeFillShade="D9"/>
            <w:hideMark/>
          </w:tcPr>
          <w:p w:rsidR="002118A5" w:rsidRPr="00857644" w:rsidRDefault="002118A5" w:rsidP="00A344FE">
            <w:pPr>
              <w:jc w:val="both"/>
              <w:rPr>
                <w:rFonts w:ascii="Arial" w:hAnsi="Arial" w:cs="Arial"/>
                <w:b/>
                <w:bCs/>
                <w:sz w:val="20"/>
                <w:szCs w:val="20"/>
              </w:rPr>
            </w:pPr>
            <w:r w:rsidRPr="00857644">
              <w:rPr>
                <w:rFonts w:ascii="Arial" w:hAnsi="Arial" w:cs="Arial"/>
                <w:b/>
                <w:bCs/>
                <w:sz w:val="20"/>
                <w:szCs w:val="20"/>
              </w:rPr>
              <w:t>Analog for</w:t>
            </w:r>
          </w:p>
        </w:tc>
        <w:tc>
          <w:tcPr>
            <w:tcW w:w="2580" w:type="dxa"/>
            <w:shd w:val="clear" w:color="auto" w:fill="D9D9D9" w:themeFill="background1" w:themeFillShade="D9"/>
            <w:hideMark/>
          </w:tcPr>
          <w:p w:rsidR="002118A5" w:rsidRPr="00857644" w:rsidRDefault="002118A5" w:rsidP="00A344FE">
            <w:pPr>
              <w:jc w:val="both"/>
              <w:rPr>
                <w:rFonts w:ascii="Arial" w:hAnsi="Arial" w:cs="Arial"/>
                <w:b/>
                <w:bCs/>
                <w:sz w:val="20"/>
                <w:szCs w:val="20"/>
              </w:rPr>
            </w:pPr>
            <w:r w:rsidRPr="00857644">
              <w:rPr>
                <w:rFonts w:ascii="Arial" w:hAnsi="Arial" w:cs="Arial"/>
                <w:b/>
                <w:bCs/>
                <w:sz w:val="20"/>
                <w:szCs w:val="20"/>
              </w:rPr>
              <w:t xml:space="preserve">Net Cost Per </w:t>
            </w:r>
            <w:proofErr w:type="spellStart"/>
            <w:r w:rsidRPr="00857644">
              <w:rPr>
                <w:rFonts w:ascii="Arial" w:hAnsi="Arial" w:cs="Arial"/>
                <w:b/>
                <w:bCs/>
                <w:sz w:val="20"/>
                <w:szCs w:val="20"/>
              </w:rPr>
              <w:t>Tonne</w:t>
            </w:r>
            <w:proofErr w:type="spellEnd"/>
            <w:r w:rsidRPr="00857644">
              <w:rPr>
                <w:rFonts w:ascii="Arial" w:hAnsi="Arial" w:cs="Arial"/>
                <w:b/>
                <w:bCs/>
                <w:sz w:val="20"/>
                <w:szCs w:val="20"/>
              </w:rPr>
              <w:t xml:space="preserve"> (assuming recycled)</w:t>
            </w:r>
          </w:p>
        </w:tc>
        <w:tc>
          <w:tcPr>
            <w:tcW w:w="2740" w:type="dxa"/>
            <w:shd w:val="clear" w:color="auto" w:fill="D9D9D9" w:themeFill="background1" w:themeFillShade="D9"/>
            <w:hideMark/>
          </w:tcPr>
          <w:p w:rsidR="002118A5" w:rsidRPr="00857644" w:rsidRDefault="002118A5" w:rsidP="00A344FE">
            <w:pPr>
              <w:jc w:val="both"/>
              <w:rPr>
                <w:rFonts w:ascii="Arial" w:hAnsi="Arial" w:cs="Arial"/>
                <w:b/>
                <w:bCs/>
                <w:sz w:val="20"/>
                <w:szCs w:val="20"/>
              </w:rPr>
            </w:pPr>
            <w:r w:rsidRPr="00857644">
              <w:rPr>
                <w:rFonts w:ascii="Arial" w:hAnsi="Arial" w:cs="Arial"/>
                <w:b/>
                <w:bCs/>
                <w:sz w:val="20"/>
                <w:szCs w:val="20"/>
              </w:rPr>
              <w:t xml:space="preserve">Packaging like </w:t>
            </w:r>
            <w:proofErr w:type="spellStart"/>
            <w:r w:rsidRPr="00857644">
              <w:rPr>
                <w:rFonts w:ascii="Arial" w:hAnsi="Arial" w:cs="Arial"/>
                <w:b/>
                <w:bCs/>
                <w:sz w:val="20"/>
                <w:szCs w:val="20"/>
              </w:rPr>
              <w:t>Tonnes</w:t>
            </w:r>
            <w:proofErr w:type="spellEnd"/>
            <w:r w:rsidRPr="00857644">
              <w:rPr>
                <w:rFonts w:ascii="Arial" w:hAnsi="Arial" w:cs="Arial"/>
                <w:b/>
                <w:bCs/>
                <w:sz w:val="20"/>
                <w:szCs w:val="20"/>
              </w:rPr>
              <w:t xml:space="preserve"> found in Recycling Stream</w:t>
            </w:r>
          </w:p>
        </w:tc>
        <w:tc>
          <w:tcPr>
            <w:tcW w:w="2120" w:type="dxa"/>
            <w:shd w:val="clear" w:color="auto" w:fill="D9D9D9" w:themeFill="background1" w:themeFillShade="D9"/>
            <w:hideMark/>
          </w:tcPr>
          <w:p w:rsidR="002118A5" w:rsidRPr="00857644" w:rsidRDefault="002118A5" w:rsidP="00A344FE">
            <w:pPr>
              <w:jc w:val="both"/>
              <w:rPr>
                <w:rFonts w:ascii="Arial" w:hAnsi="Arial" w:cs="Arial"/>
                <w:b/>
                <w:bCs/>
                <w:sz w:val="20"/>
                <w:szCs w:val="20"/>
              </w:rPr>
            </w:pPr>
            <w:r w:rsidRPr="00857644">
              <w:rPr>
                <w:rFonts w:ascii="Arial" w:hAnsi="Arial" w:cs="Arial"/>
                <w:b/>
                <w:bCs/>
                <w:sz w:val="20"/>
                <w:szCs w:val="20"/>
              </w:rPr>
              <w:t>Costs of Managing Packaging like products</w:t>
            </w:r>
          </w:p>
        </w:tc>
      </w:tr>
      <w:tr w:rsidR="002118A5" w:rsidRPr="00857644" w:rsidTr="00A344FE">
        <w:trPr>
          <w:trHeight w:val="288"/>
        </w:trPr>
        <w:tc>
          <w:tcPr>
            <w:tcW w:w="360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Other Printed Paper</w:t>
            </w:r>
          </w:p>
        </w:tc>
        <w:tc>
          <w:tcPr>
            <w:tcW w:w="324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Unprinted Paper</w:t>
            </w:r>
          </w:p>
        </w:tc>
        <w:tc>
          <w:tcPr>
            <w:tcW w:w="258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227.25 </w:t>
            </w:r>
          </w:p>
        </w:tc>
        <w:tc>
          <w:tcPr>
            <w:tcW w:w="274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1,258.34 </w:t>
            </w:r>
            <w:proofErr w:type="spellStart"/>
            <w:r w:rsidRPr="00857644">
              <w:rPr>
                <w:rFonts w:ascii="Arial" w:hAnsi="Arial" w:cs="Arial"/>
                <w:sz w:val="20"/>
                <w:szCs w:val="20"/>
              </w:rPr>
              <w:t>Tonnes</w:t>
            </w:r>
            <w:proofErr w:type="spellEnd"/>
          </w:p>
        </w:tc>
        <w:tc>
          <w:tcPr>
            <w:tcW w:w="212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285,958.08 </w:t>
            </w:r>
          </w:p>
        </w:tc>
      </w:tr>
      <w:tr w:rsidR="002118A5" w:rsidRPr="00857644" w:rsidTr="00A344FE">
        <w:trPr>
          <w:trHeight w:val="288"/>
        </w:trPr>
        <w:tc>
          <w:tcPr>
            <w:tcW w:w="360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Plastic Film</w:t>
            </w:r>
          </w:p>
        </w:tc>
        <w:tc>
          <w:tcPr>
            <w:tcW w:w="324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Plastic Wrap, plastic bags</w:t>
            </w:r>
          </w:p>
        </w:tc>
        <w:tc>
          <w:tcPr>
            <w:tcW w:w="258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2,732.63 </w:t>
            </w:r>
          </w:p>
        </w:tc>
        <w:tc>
          <w:tcPr>
            <w:tcW w:w="274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19,561.49 </w:t>
            </w:r>
            <w:proofErr w:type="spellStart"/>
            <w:r w:rsidRPr="00857644">
              <w:rPr>
                <w:rFonts w:ascii="Arial" w:hAnsi="Arial" w:cs="Arial"/>
                <w:sz w:val="20"/>
                <w:szCs w:val="20"/>
              </w:rPr>
              <w:t>Tonnes</w:t>
            </w:r>
            <w:proofErr w:type="spellEnd"/>
          </w:p>
        </w:tc>
        <w:tc>
          <w:tcPr>
            <w:tcW w:w="212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53,454,310.43 </w:t>
            </w:r>
          </w:p>
        </w:tc>
      </w:tr>
      <w:tr w:rsidR="002118A5" w:rsidRPr="00857644" w:rsidTr="00A344FE">
        <w:trPr>
          <w:trHeight w:val="576"/>
        </w:trPr>
        <w:tc>
          <w:tcPr>
            <w:tcW w:w="360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Paper Laminate</w:t>
            </w:r>
          </w:p>
        </w:tc>
        <w:tc>
          <w:tcPr>
            <w:tcW w:w="324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Single use drink cups, fast food boxes/containers</w:t>
            </w:r>
          </w:p>
        </w:tc>
        <w:tc>
          <w:tcPr>
            <w:tcW w:w="258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1,287.21 </w:t>
            </w:r>
          </w:p>
        </w:tc>
        <w:tc>
          <w:tcPr>
            <w:tcW w:w="274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2,402.29 </w:t>
            </w:r>
            <w:proofErr w:type="spellStart"/>
            <w:r w:rsidRPr="00857644">
              <w:rPr>
                <w:rFonts w:ascii="Arial" w:hAnsi="Arial" w:cs="Arial"/>
                <w:sz w:val="20"/>
                <w:szCs w:val="20"/>
              </w:rPr>
              <w:t>Tonnes</w:t>
            </w:r>
            <w:proofErr w:type="spellEnd"/>
          </w:p>
        </w:tc>
        <w:tc>
          <w:tcPr>
            <w:tcW w:w="212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3,092,249.22 </w:t>
            </w:r>
          </w:p>
        </w:tc>
      </w:tr>
      <w:tr w:rsidR="002118A5" w:rsidRPr="00857644" w:rsidTr="00A344FE">
        <w:trPr>
          <w:trHeight w:val="864"/>
        </w:trPr>
        <w:tc>
          <w:tcPr>
            <w:tcW w:w="360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Packaging like Plastics (weighted average of laminates, Polystyrene and Other)</w:t>
            </w:r>
          </w:p>
        </w:tc>
        <w:tc>
          <w:tcPr>
            <w:tcW w:w="324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Plastic Cutlery/dishes, straws, stir sticks</w:t>
            </w:r>
          </w:p>
        </w:tc>
        <w:tc>
          <w:tcPr>
            <w:tcW w:w="258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1,712.07 </w:t>
            </w:r>
          </w:p>
        </w:tc>
        <w:tc>
          <w:tcPr>
            <w:tcW w:w="274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21,391.80 </w:t>
            </w:r>
            <w:proofErr w:type="spellStart"/>
            <w:r w:rsidRPr="00857644">
              <w:rPr>
                <w:rFonts w:ascii="Arial" w:hAnsi="Arial" w:cs="Arial"/>
                <w:sz w:val="20"/>
                <w:szCs w:val="20"/>
              </w:rPr>
              <w:t>Tonnes</w:t>
            </w:r>
            <w:proofErr w:type="spellEnd"/>
          </w:p>
        </w:tc>
        <w:tc>
          <w:tcPr>
            <w:tcW w:w="212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36,624,264.60 </w:t>
            </w:r>
          </w:p>
        </w:tc>
      </w:tr>
      <w:tr w:rsidR="002118A5" w:rsidRPr="00857644" w:rsidTr="00A344FE">
        <w:trPr>
          <w:trHeight w:val="864"/>
        </w:trPr>
        <w:tc>
          <w:tcPr>
            <w:tcW w:w="360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Other Aluminum Packaging (Gross costs, as no revenue attributable to foil/food trays)</w:t>
            </w:r>
          </w:p>
        </w:tc>
        <w:tc>
          <w:tcPr>
            <w:tcW w:w="3240" w:type="dxa"/>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Pie plates, foil, baking trays</w:t>
            </w:r>
          </w:p>
        </w:tc>
        <w:tc>
          <w:tcPr>
            <w:tcW w:w="258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934.72 </w:t>
            </w:r>
          </w:p>
        </w:tc>
        <w:tc>
          <w:tcPr>
            <w:tcW w:w="274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1,258.34 </w:t>
            </w:r>
            <w:proofErr w:type="spellStart"/>
            <w:r w:rsidRPr="00857644">
              <w:rPr>
                <w:rFonts w:ascii="Arial" w:hAnsi="Arial" w:cs="Arial"/>
                <w:sz w:val="20"/>
                <w:szCs w:val="20"/>
              </w:rPr>
              <w:t>Tonnes</w:t>
            </w:r>
            <w:proofErr w:type="spellEnd"/>
          </w:p>
        </w:tc>
        <w:tc>
          <w:tcPr>
            <w:tcW w:w="212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xml:space="preserve"> $             1,176,196.84 </w:t>
            </w:r>
          </w:p>
        </w:tc>
      </w:tr>
      <w:tr w:rsidR="002118A5" w:rsidRPr="00857644" w:rsidTr="00A344FE">
        <w:trPr>
          <w:trHeight w:val="288"/>
        </w:trPr>
        <w:tc>
          <w:tcPr>
            <w:tcW w:w="360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w:t>
            </w:r>
          </w:p>
        </w:tc>
        <w:tc>
          <w:tcPr>
            <w:tcW w:w="3240" w:type="dxa"/>
            <w:noWrap/>
            <w:hideMark/>
          </w:tcPr>
          <w:p w:rsidR="002118A5" w:rsidRPr="00857644" w:rsidRDefault="002118A5" w:rsidP="00A344FE">
            <w:pPr>
              <w:jc w:val="both"/>
              <w:rPr>
                <w:rFonts w:ascii="Arial" w:hAnsi="Arial" w:cs="Arial"/>
                <w:sz w:val="20"/>
                <w:szCs w:val="20"/>
              </w:rPr>
            </w:pPr>
            <w:r w:rsidRPr="00857644">
              <w:rPr>
                <w:rFonts w:ascii="Arial" w:hAnsi="Arial" w:cs="Arial"/>
                <w:sz w:val="20"/>
                <w:szCs w:val="20"/>
              </w:rPr>
              <w:t> </w:t>
            </w:r>
          </w:p>
        </w:tc>
        <w:tc>
          <w:tcPr>
            <w:tcW w:w="2580" w:type="dxa"/>
            <w:noWrap/>
            <w:hideMark/>
          </w:tcPr>
          <w:p w:rsidR="002118A5" w:rsidRPr="00857644" w:rsidRDefault="002118A5" w:rsidP="00A344FE">
            <w:pPr>
              <w:jc w:val="both"/>
              <w:rPr>
                <w:rFonts w:ascii="Arial" w:hAnsi="Arial" w:cs="Arial"/>
                <w:b/>
                <w:bCs/>
                <w:sz w:val="20"/>
                <w:szCs w:val="20"/>
              </w:rPr>
            </w:pPr>
            <w:r w:rsidRPr="00857644">
              <w:rPr>
                <w:rFonts w:ascii="Arial" w:hAnsi="Arial" w:cs="Arial"/>
                <w:b/>
                <w:bCs/>
                <w:sz w:val="20"/>
                <w:szCs w:val="20"/>
              </w:rPr>
              <w:t>Totals</w:t>
            </w:r>
          </w:p>
        </w:tc>
        <w:tc>
          <w:tcPr>
            <w:tcW w:w="2740" w:type="dxa"/>
            <w:hideMark/>
          </w:tcPr>
          <w:p w:rsidR="002118A5" w:rsidRPr="00857644" w:rsidRDefault="002118A5" w:rsidP="00A344FE">
            <w:pPr>
              <w:jc w:val="both"/>
              <w:rPr>
                <w:rFonts w:ascii="Arial" w:hAnsi="Arial" w:cs="Arial"/>
                <w:b/>
                <w:bCs/>
                <w:sz w:val="20"/>
                <w:szCs w:val="20"/>
              </w:rPr>
            </w:pPr>
            <w:r w:rsidRPr="00857644">
              <w:rPr>
                <w:rFonts w:ascii="Arial" w:hAnsi="Arial" w:cs="Arial"/>
                <w:b/>
                <w:bCs/>
                <w:sz w:val="20"/>
                <w:szCs w:val="20"/>
              </w:rPr>
              <w:t xml:space="preserve">45,872.26 </w:t>
            </w:r>
            <w:proofErr w:type="spellStart"/>
            <w:r w:rsidRPr="00857644">
              <w:rPr>
                <w:rFonts w:ascii="Arial" w:hAnsi="Arial" w:cs="Arial"/>
                <w:b/>
                <w:bCs/>
                <w:sz w:val="20"/>
                <w:szCs w:val="20"/>
              </w:rPr>
              <w:t>Tonnes</w:t>
            </w:r>
            <w:proofErr w:type="spellEnd"/>
          </w:p>
        </w:tc>
        <w:tc>
          <w:tcPr>
            <w:tcW w:w="2120" w:type="dxa"/>
            <w:hideMark/>
          </w:tcPr>
          <w:p w:rsidR="002118A5" w:rsidRPr="00857644" w:rsidRDefault="002118A5" w:rsidP="00A344FE">
            <w:pPr>
              <w:jc w:val="both"/>
              <w:rPr>
                <w:rFonts w:ascii="Arial" w:hAnsi="Arial" w:cs="Arial"/>
                <w:b/>
                <w:bCs/>
                <w:sz w:val="20"/>
                <w:szCs w:val="20"/>
              </w:rPr>
            </w:pPr>
            <w:r w:rsidRPr="00857644">
              <w:rPr>
                <w:rFonts w:ascii="Arial" w:hAnsi="Arial" w:cs="Arial"/>
                <w:b/>
                <w:bCs/>
                <w:sz w:val="20"/>
                <w:szCs w:val="20"/>
              </w:rPr>
              <w:t xml:space="preserve"> $           94,632,979.17 </w:t>
            </w:r>
          </w:p>
        </w:tc>
      </w:tr>
    </w:tbl>
    <w:p w:rsidR="002118A5" w:rsidRPr="00857644" w:rsidRDefault="002118A5" w:rsidP="002118A5">
      <w:pPr>
        <w:jc w:val="both"/>
        <w:rPr>
          <w:rFonts w:ascii="Arial" w:hAnsi="Arial" w:cs="Arial"/>
          <w:sz w:val="20"/>
          <w:szCs w:val="20"/>
        </w:rPr>
      </w:pPr>
    </w:p>
    <w:p w:rsidR="002118A5" w:rsidRPr="00857644" w:rsidRDefault="002118A5" w:rsidP="002118A5">
      <w:pPr>
        <w:spacing w:after="240"/>
        <w:jc w:val="both"/>
        <w:rPr>
          <w:rFonts w:ascii="Arial" w:hAnsi="Arial" w:cs="Arial"/>
          <w:color w:val="505050"/>
          <w:sz w:val="20"/>
          <w:szCs w:val="20"/>
        </w:rPr>
      </w:pPr>
    </w:p>
    <w:p w:rsidR="002118A5" w:rsidRPr="00857644" w:rsidRDefault="002118A5" w:rsidP="002118A5">
      <w:pPr>
        <w:spacing w:after="240"/>
        <w:jc w:val="both"/>
        <w:rPr>
          <w:rFonts w:ascii="Arial" w:hAnsi="Arial" w:cs="Arial"/>
          <w:color w:val="505050"/>
          <w:sz w:val="20"/>
          <w:szCs w:val="20"/>
        </w:rPr>
      </w:pPr>
    </w:p>
    <w:p w:rsidR="002118A5" w:rsidRDefault="002118A5" w:rsidP="00F97061">
      <w:pPr>
        <w:tabs>
          <w:tab w:val="left" w:pos="1740"/>
        </w:tabs>
        <w:rPr>
          <w:rFonts w:ascii="Arial" w:eastAsia="Tahoma" w:hAnsi="Arial" w:cs="Arial"/>
        </w:rPr>
      </w:pPr>
    </w:p>
    <w:p w:rsidR="002118A5" w:rsidRDefault="002118A5" w:rsidP="00F97061">
      <w:pPr>
        <w:tabs>
          <w:tab w:val="left" w:pos="1740"/>
        </w:tabs>
        <w:rPr>
          <w:rFonts w:ascii="Arial" w:eastAsia="Tahoma" w:hAnsi="Arial" w:cs="Arial"/>
        </w:rPr>
      </w:pPr>
    </w:p>
    <w:p w:rsidR="002118A5" w:rsidRPr="002118A5" w:rsidRDefault="002118A5" w:rsidP="00F97061">
      <w:pPr>
        <w:tabs>
          <w:tab w:val="left" w:pos="1740"/>
        </w:tabs>
        <w:rPr>
          <w:rFonts w:ascii="Arial" w:eastAsia="Tahoma" w:hAnsi="Arial" w:cs="Arial"/>
        </w:rPr>
      </w:pPr>
    </w:p>
    <w:sectPr w:rsidR="002118A5" w:rsidRPr="002118A5" w:rsidSect="005D6053">
      <w:headerReference w:type="even" r:id="rId31"/>
      <w:headerReference w:type="default" r:id="rId32"/>
      <w:footerReference w:type="default" r:id="rId33"/>
      <w:headerReference w:type="first" r:id="rId34"/>
      <w:footerReference w:type="first" r:id="rId35"/>
      <w:pgSz w:w="12240" w:h="15840"/>
      <w:pgMar w:top="180" w:right="540" w:bottom="1440" w:left="630" w:header="547" w:footer="41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0973" w:rsidRDefault="00010973">
      <w:r>
        <w:separator/>
      </w:r>
    </w:p>
  </w:endnote>
  <w:endnote w:type="continuationSeparator" w:id="0">
    <w:p w:rsidR="00010973" w:rsidRDefault="00010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492" w:rsidRDefault="006C6779">
    <w:pPr>
      <w:pBdr>
        <w:top w:val="nil"/>
        <w:left w:val="nil"/>
        <w:bottom w:val="nil"/>
        <w:right w:val="nil"/>
        <w:between w:val="nil"/>
      </w:pBdr>
      <w:tabs>
        <w:tab w:val="center" w:pos="4320"/>
        <w:tab w:val="right" w:pos="8640"/>
        <w:tab w:val="right" w:pos="1800"/>
        <w:tab w:val="right" w:pos="10440"/>
      </w:tabs>
      <w:spacing w:before="40"/>
      <w:jc w:val="right"/>
      <w:rPr>
        <w:rFonts w:ascii="Arial" w:eastAsia="Arial" w:hAnsi="Arial" w:cs="Arial"/>
        <w:color w:val="808080"/>
      </w:rPr>
    </w:pPr>
    <w:r>
      <w:rPr>
        <w:color w:val="000000"/>
      </w:rPr>
      <w:tab/>
    </w:r>
    <w:r>
      <w:rPr>
        <w:color w:val="000000"/>
      </w:rPr>
      <w:tab/>
    </w:r>
    <w:r>
      <w:rPr>
        <w:color w:val="000000"/>
      </w:rPr>
      <w:tab/>
    </w:r>
    <w:r>
      <w:rPr>
        <w:rFonts w:ascii="Arial" w:eastAsia="Arial" w:hAnsi="Arial" w:cs="Arial"/>
        <w:color w:val="808080"/>
      </w:rPr>
      <w:fldChar w:fldCharType="begin"/>
    </w:r>
    <w:r>
      <w:rPr>
        <w:rFonts w:ascii="Arial" w:eastAsia="Arial" w:hAnsi="Arial" w:cs="Arial"/>
        <w:color w:val="808080"/>
      </w:rPr>
      <w:instrText>PAGE</w:instrText>
    </w:r>
    <w:r>
      <w:rPr>
        <w:rFonts w:ascii="Arial" w:eastAsia="Arial" w:hAnsi="Arial" w:cs="Arial"/>
        <w:color w:val="808080"/>
      </w:rPr>
      <w:fldChar w:fldCharType="separate"/>
    </w:r>
    <w:r w:rsidR="008D393C">
      <w:rPr>
        <w:rFonts w:ascii="Arial" w:eastAsia="Arial" w:hAnsi="Arial" w:cs="Arial"/>
        <w:noProof/>
        <w:color w:val="808080"/>
      </w:rPr>
      <w:t>21</w:t>
    </w:r>
    <w:r>
      <w:rPr>
        <w:rFonts w:ascii="Arial" w:eastAsia="Arial" w:hAnsi="Arial" w:cs="Arial"/>
        <w:color w:val="808080"/>
      </w:rPr>
      <w:fldChar w:fldCharType="end"/>
    </w:r>
    <w:r>
      <w:rPr>
        <w:rFonts w:ascii="Arial" w:eastAsia="Arial" w:hAnsi="Arial" w:cs="Arial"/>
        <w:color w:val="808080"/>
      </w:rPr>
      <w:tab/>
    </w:r>
    <w:r>
      <w:rPr>
        <w:rFonts w:ascii="Arial" w:eastAsia="Arial" w:hAnsi="Arial" w:cs="Arial"/>
        <w:color w:val="808080"/>
      </w:rPr>
      <w:tab/>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492" w:rsidRDefault="006C6779">
    <w:pPr>
      <w:pBdr>
        <w:top w:val="nil"/>
        <w:left w:val="nil"/>
        <w:bottom w:val="nil"/>
        <w:right w:val="nil"/>
        <w:between w:val="nil"/>
      </w:pBdr>
      <w:tabs>
        <w:tab w:val="center" w:pos="4320"/>
        <w:tab w:val="right" w:pos="8640"/>
      </w:tabs>
      <w:rPr>
        <w:color w:val="000000"/>
      </w:rPr>
    </w:pPr>
    <w:r>
      <w:rPr>
        <w:noProof/>
        <w:color w:val="000000"/>
        <w:lang w:val="en-US" w:eastAsia="en-US"/>
      </w:rPr>
      <w:drawing>
        <wp:inline distT="0" distB="0" distL="114300" distR="114300">
          <wp:extent cx="7763510" cy="28829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63510" cy="28829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0973" w:rsidRDefault="00010973">
      <w:r>
        <w:separator/>
      </w:r>
    </w:p>
  </w:footnote>
  <w:footnote w:type="continuationSeparator" w:id="0">
    <w:p w:rsidR="00010973" w:rsidRDefault="000109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492" w:rsidRDefault="006C6779">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4E5492" w:rsidRDefault="004E5492">
    <w:pPr>
      <w:pBdr>
        <w:top w:val="nil"/>
        <w:left w:val="nil"/>
        <w:bottom w:val="nil"/>
        <w:right w:val="nil"/>
        <w:between w:val="nil"/>
      </w:pBdr>
      <w:tabs>
        <w:tab w:val="center" w:pos="4320"/>
        <w:tab w:val="right" w:pos="864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492" w:rsidRDefault="004E5492">
    <w:pPr>
      <w:pBdr>
        <w:top w:val="nil"/>
        <w:left w:val="nil"/>
        <w:bottom w:val="nil"/>
        <w:right w:val="nil"/>
        <w:between w:val="nil"/>
      </w:pBdr>
      <w:tabs>
        <w:tab w:val="center" w:pos="4320"/>
        <w:tab w:val="right" w:pos="8640"/>
        <w:tab w:val="right" w:pos="1800"/>
      </w:tabs>
      <w:spacing w:before="40"/>
      <w:ind w:right="360"/>
      <w:rPr>
        <w:color w:val="000000"/>
      </w:rPr>
    </w:pPr>
  </w:p>
  <w:p w:rsidR="004E5492" w:rsidRDefault="004E5492">
    <w:pPr>
      <w:pBdr>
        <w:top w:val="nil"/>
        <w:left w:val="nil"/>
        <w:bottom w:val="nil"/>
        <w:right w:val="nil"/>
        <w:between w:val="nil"/>
      </w:pBdr>
      <w:tabs>
        <w:tab w:val="center" w:pos="4320"/>
        <w:tab w:val="right" w:pos="8640"/>
        <w:tab w:val="right" w:pos="1800"/>
      </w:tabs>
      <w:spacing w:before="40"/>
      <w:ind w:right="360"/>
      <w:rPr>
        <w:color w:val="000000"/>
      </w:rPr>
    </w:pPr>
  </w:p>
  <w:p w:rsidR="004E5492" w:rsidRDefault="004E5492">
    <w:pPr>
      <w:pBdr>
        <w:top w:val="nil"/>
        <w:left w:val="nil"/>
        <w:bottom w:val="nil"/>
        <w:right w:val="nil"/>
        <w:between w:val="nil"/>
      </w:pBdr>
      <w:tabs>
        <w:tab w:val="center" w:pos="4320"/>
        <w:tab w:val="right" w:pos="8640"/>
        <w:tab w:val="right" w:pos="1800"/>
      </w:tabs>
      <w:spacing w:before="40"/>
      <w:ind w:right="360"/>
      <w:rPr>
        <w:color w:val="000000"/>
      </w:rPr>
    </w:pPr>
  </w:p>
  <w:p w:rsidR="004E5492" w:rsidRDefault="004E5492">
    <w:pPr>
      <w:pBdr>
        <w:top w:val="nil"/>
        <w:left w:val="nil"/>
        <w:bottom w:val="nil"/>
        <w:right w:val="nil"/>
        <w:between w:val="nil"/>
      </w:pBdr>
      <w:tabs>
        <w:tab w:val="center" w:pos="4320"/>
        <w:tab w:val="right" w:pos="8640"/>
        <w:tab w:val="right" w:pos="1800"/>
      </w:tabs>
      <w:spacing w:before="40"/>
      <w:ind w:right="360"/>
      <w:rPr>
        <w:color w:val="000000"/>
      </w:rPr>
    </w:pPr>
  </w:p>
  <w:p w:rsidR="004E5492" w:rsidRDefault="004E5492">
    <w:pPr>
      <w:pBdr>
        <w:top w:val="nil"/>
        <w:left w:val="nil"/>
        <w:bottom w:val="nil"/>
        <w:right w:val="nil"/>
        <w:between w:val="nil"/>
      </w:pBdr>
      <w:tabs>
        <w:tab w:val="center" w:pos="4320"/>
        <w:tab w:val="right" w:pos="8640"/>
        <w:tab w:val="right" w:pos="1800"/>
      </w:tabs>
      <w:spacing w:before="40"/>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5492" w:rsidRDefault="006C6779">
    <w:pPr>
      <w:pBdr>
        <w:top w:val="nil"/>
        <w:left w:val="nil"/>
        <w:bottom w:val="nil"/>
        <w:right w:val="nil"/>
        <w:between w:val="nil"/>
      </w:pBdr>
      <w:tabs>
        <w:tab w:val="center" w:pos="4320"/>
        <w:tab w:val="right" w:pos="8640"/>
      </w:tabs>
      <w:rPr>
        <w:color w:val="000000"/>
      </w:rPr>
    </w:pPr>
    <w:r>
      <w:rPr>
        <w:noProof/>
        <w:color w:val="000000"/>
        <w:lang w:val="en-US" w:eastAsia="en-US"/>
      </w:rPr>
      <w:drawing>
        <wp:inline distT="0" distB="0" distL="114300" distR="114300">
          <wp:extent cx="7093585" cy="36766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093585" cy="367665"/>
                  </a:xfrm>
                  <a:prstGeom prst="rect">
                    <a:avLst/>
                  </a:prstGeom>
                  <a:ln/>
                </pic:spPr>
              </pic:pic>
            </a:graphicData>
          </a:graphic>
        </wp:inline>
      </w:drawing>
    </w:r>
  </w:p>
  <w:p w:rsidR="004E5492" w:rsidRDefault="004E5492">
    <w:pPr>
      <w:pBdr>
        <w:top w:val="nil"/>
        <w:left w:val="nil"/>
        <w:bottom w:val="nil"/>
        <w:right w:val="nil"/>
        <w:between w:val="nil"/>
      </w:pBdr>
      <w:tabs>
        <w:tab w:val="center" w:pos="4320"/>
        <w:tab w:val="right" w:pos="8640"/>
      </w:tabs>
      <w:rPr>
        <w:color w:val="000000"/>
      </w:rPr>
    </w:pPr>
  </w:p>
  <w:p w:rsidR="004E5492" w:rsidRDefault="004E5492">
    <w:pPr>
      <w:pBdr>
        <w:top w:val="nil"/>
        <w:left w:val="nil"/>
        <w:bottom w:val="nil"/>
        <w:right w:val="nil"/>
        <w:between w:val="nil"/>
      </w:pBdr>
      <w:tabs>
        <w:tab w:val="center" w:pos="4320"/>
        <w:tab w:val="right" w:pos="8640"/>
      </w:tabs>
      <w:rPr>
        <w:color w:val="000000"/>
      </w:rPr>
    </w:pPr>
  </w:p>
  <w:p w:rsidR="004E5492" w:rsidRDefault="004E5492">
    <w:pPr>
      <w:pBdr>
        <w:top w:val="nil"/>
        <w:left w:val="nil"/>
        <w:bottom w:val="nil"/>
        <w:right w:val="nil"/>
        <w:between w:val="nil"/>
      </w:pBdr>
      <w:tabs>
        <w:tab w:val="center" w:pos="4320"/>
        <w:tab w:val="right" w:pos="8640"/>
      </w:tabs>
      <w:rPr>
        <w:color w:val="000000"/>
      </w:rPr>
    </w:pPr>
  </w:p>
  <w:p w:rsidR="004E5492" w:rsidRDefault="006C6779">
    <w:pPr>
      <w:pBdr>
        <w:top w:val="nil"/>
        <w:left w:val="nil"/>
        <w:bottom w:val="nil"/>
        <w:right w:val="nil"/>
        <w:between w:val="nil"/>
      </w:pBdr>
      <w:tabs>
        <w:tab w:val="center" w:pos="4320"/>
        <w:tab w:val="right" w:pos="8640"/>
      </w:tabs>
      <w:rPr>
        <w:color w:val="000000"/>
      </w:rPr>
    </w:pPr>
    <w:r>
      <w:rPr>
        <w:noProof/>
        <w:color w:val="000000"/>
        <w:lang w:val="en-US" w:eastAsia="en-US"/>
      </w:rPr>
      <w:drawing>
        <wp:inline distT="0" distB="0" distL="114300" distR="114300">
          <wp:extent cx="7313295" cy="530225"/>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313295" cy="530225"/>
                  </a:xfrm>
                  <a:prstGeom prst="rect">
                    <a:avLst/>
                  </a:prstGeom>
                  <a:ln/>
                </pic:spPr>
              </pic:pic>
            </a:graphicData>
          </a:graphic>
        </wp:inline>
      </w:drawing>
    </w:r>
  </w:p>
  <w:p w:rsidR="004E5492" w:rsidRDefault="004E5492">
    <w:pPr>
      <w:pBdr>
        <w:top w:val="nil"/>
        <w:left w:val="nil"/>
        <w:bottom w:val="nil"/>
        <w:right w:val="nil"/>
        <w:between w:val="nil"/>
      </w:pBdr>
      <w:tabs>
        <w:tab w:val="center" w:pos="4320"/>
        <w:tab w:val="right" w:pos="8640"/>
      </w:tabs>
      <w:rPr>
        <w:color w:val="000000"/>
      </w:rPr>
    </w:pPr>
  </w:p>
  <w:p w:rsidR="004E5492" w:rsidRDefault="004E5492">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5288"/>
    <w:multiLevelType w:val="multilevel"/>
    <w:tmpl w:val="444A1A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EA30D9"/>
    <w:multiLevelType w:val="hybridMultilevel"/>
    <w:tmpl w:val="13889D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00C83"/>
    <w:multiLevelType w:val="hybridMultilevel"/>
    <w:tmpl w:val="4022D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DF1A87"/>
    <w:multiLevelType w:val="hybridMultilevel"/>
    <w:tmpl w:val="C40A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482EB8"/>
    <w:multiLevelType w:val="multilevel"/>
    <w:tmpl w:val="181404F0"/>
    <w:lvl w:ilvl="0">
      <w:start w:val="3"/>
      <w:numFmt w:val="bullet"/>
      <w:lvlText w:val="-"/>
      <w:lvlJc w:val="left"/>
      <w:pPr>
        <w:ind w:left="1080" w:hanging="360"/>
      </w:pPr>
      <w:rPr>
        <w:rFonts w:ascii="Tahoma" w:eastAsia="Tahoma" w:hAnsi="Tahoma" w:cs="Tahoma"/>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 w15:restartNumberingAfterBreak="0">
    <w:nsid w:val="2BB2085E"/>
    <w:multiLevelType w:val="multilevel"/>
    <w:tmpl w:val="5AAC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E92C67"/>
    <w:multiLevelType w:val="hybridMultilevel"/>
    <w:tmpl w:val="4D08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601874"/>
    <w:multiLevelType w:val="hybridMultilevel"/>
    <w:tmpl w:val="50F8B9C8"/>
    <w:lvl w:ilvl="0" w:tplc="04090001">
      <w:start w:val="1"/>
      <w:numFmt w:val="bullet"/>
      <w:lvlText w:val=""/>
      <w:lvlJc w:val="left"/>
      <w:pPr>
        <w:ind w:left="4320" w:hanging="360"/>
      </w:pPr>
      <w:rPr>
        <w:rFonts w:ascii="Symbol" w:hAnsi="Symbol"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num w:numId="1">
    <w:abstractNumId w:val="4"/>
  </w:num>
  <w:num w:numId="2">
    <w:abstractNumId w:val="7"/>
  </w:num>
  <w:num w:numId="3">
    <w:abstractNumId w:val="0"/>
  </w:num>
  <w:num w:numId="4">
    <w:abstractNumId w:val="5"/>
  </w:num>
  <w:num w:numId="5">
    <w:abstractNumId w:val="3"/>
  </w:num>
  <w:num w:numId="6">
    <w:abstractNumId w:val="6"/>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492"/>
    <w:rsid w:val="00010973"/>
    <w:rsid w:val="00091843"/>
    <w:rsid w:val="002118A5"/>
    <w:rsid w:val="00251DCD"/>
    <w:rsid w:val="002F3B3F"/>
    <w:rsid w:val="003F1DC2"/>
    <w:rsid w:val="004E5492"/>
    <w:rsid w:val="004F3E2F"/>
    <w:rsid w:val="005C65A2"/>
    <w:rsid w:val="005D6053"/>
    <w:rsid w:val="00693A8A"/>
    <w:rsid w:val="006C6779"/>
    <w:rsid w:val="00847F77"/>
    <w:rsid w:val="008D393C"/>
    <w:rsid w:val="00A666E5"/>
    <w:rsid w:val="00B458B1"/>
    <w:rsid w:val="00C914C1"/>
    <w:rsid w:val="00D36ED0"/>
    <w:rsid w:val="00D86383"/>
    <w:rsid w:val="00DA77A7"/>
    <w:rsid w:val="00E1243A"/>
    <w:rsid w:val="00E25D22"/>
    <w:rsid w:val="00E45FC8"/>
    <w:rsid w:val="00EF7AA9"/>
    <w:rsid w:val="00F23F20"/>
    <w:rsid w:val="00F43DC8"/>
    <w:rsid w:val="00F9706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F5D6F"/>
  <w15:docId w15:val="{EBE21EBF-3D22-4D9C-AC61-F0E0A821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spacing w:after="60"/>
      <w:jc w:val="center"/>
    </w:pPr>
    <w:rPr>
      <w:rFonts w:ascii="Cambria" w:eastAsia="Cambria" w:hAnsi="Cambria" w:cs="Cambria"/>
    </w:rPr>
  </w:style>
  <w:style w:type="paragraph" w:styleId="Footer">
    <w:name w:val="footer"/>
    <w:basedOn w:val="Normal"/>
    <w:link w:val="FooterChar"/>
    <w:uiPriority w:val="99"/>
    <w:unhideWhenUsed/>
    <w:rsid w:val="00A666E5"/>
    <w:pPr>
      <w:tabs>
        <w:tab w:val="center" w:pos="4680"/>
        <w:tab w:val="right" w:pos="9360"/>
      </w:tabs>
    </w:pPr>
  </w:style>
  <w:style w:type="character" w:customStyle="1" w:styleId="FooterChar">
    <w:name w:val="Footer Char"/>
    <w:basedOn w:val="DefaultParagraphFont"/>
    <w:link w:val="Footer"/>
    <w:uiPriority w:val="99"/>
    <w:rsid w:val="00A666E5"/>
  </w:style>
  <w:style w:type="paragraph" w:styleId="BalloonText">
    <w:name w:val="Balloon Text"/>
    <w:basedOn w:val="Normal"/>
    <w:link w:val="BalloonTextChar"/>
    <w:uiPriority w:val="99"/>
    <w:semiHidden/>
    <w:unhideWhenUsed/>
    <w:rsid w:val="00693A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A8A"/>
    <w:rPr>
      <w:rFonts w:ascii="Segoe UI" w:hAnsi="Segoe UI" w:cs="Segoe UI"/>
      <w:sz w:val="18"/>
      <w:szCs w:val="18"/>
    </w:rPr>
  </w:style>
  <w:style w:type="paragraph" w:styleId="TOCHeading">
    <w:name w:val="TOC Heading"/>
    <w:basedOn w:val="Heading1"/>
    <w:next w:val="Normal"/>
    <w:uiPriority w:val="39"/>
    <w:unhideWhenUsed/>
    <w:qFormat/>
    <w:rsid w:val="002118A5"/>
    <w:pPr>
      <w:spacing w:before="240" w:after="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2118A5"/>
    <w:pPr>
      <w:spacing w:after="100" w:line="259" w:lineRule="auto"/>
    </w:pPr>
    <w:rPr>
      <w:rFonts w:asciiTheme="minorHAnsi" w:eastAsiaTheme="minorHAnsi" w:hAnsiTheme="minorHAnsi" w:cstheme="minorBidi"/>
      <w:sz w:val="22"/>
      <w:szCs w:val="22"/>
      <w:lang w:val="en-US" w:eastAsia="en-US"/>
    </w:rPr>
  </w:style>
  <w:style w:type="character" w:styleId="Hyperlink">
    <w:name w:val="Hyperlink"/>
    <w:basedOn w:val="DefaultParagraphFont"/>
    <w:uiPriority w:val="99"/>
    <w:unhideWhenUsed/>
    <w:rsid w:val="002118A5"/>
    <w:rPr>
      <w:color w:val="0000FF" w:themeColor="hyperlink"/>
      <w:u w:val="single"/>
    </w:rPr>
  </w:style>
  <w:style w:type="paragraph" w:styleId="NoSpacing">
    <w:name w:val="No Spacing"/>
    <w:link w:val="NoSpacingChar"/>
    <w:uiPriority w:val="1"/>
    <w:qFormat/>
    <w:rsid w:val="002118A5"/>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2118A5"/>
    <w:rPr>
      <w:rFonts w:asciiTheme="minorHAnsi" w:eastAsiaTheme="minorEastAsia" w:hAnsiTheme="minorHAnsi" w:cstheme="minorBidi"/>
      <w:sz w:val="22"/>
      <w:szCs w:val="22"/>
      <w:lang w:val="en-US" w:eastAsia="en-US"/>
    </w:rPr>
  </w:style>
  <w:style w:type="paragraph" w:styleId="ListParagraph">
    <w:name w:val="List Paragraph"/>
    <w:basedOn w:val="Normal"/>
    <w:uiPriority w:val="34"/>
    <w:qFormat/>
    <w:rsid w:val="002118A5"/>
    <w:pPr>
      <w:spacing w:after="160" w:line="259" w:lineRule="auto"/>
      <w:ind w:left="720"/>
      <w:contextualSpacing/>
    </w:pPr>
    <w:rPr>
      <w:rFonts w:asciiTheme="minorHAnsi" w:eastAsiaTheme="minorHAnsi" w:hAnsiTheme="minorHAnsi" w:cstheme="minorBidi"/>
      <w:sz w:val="22"/>
      <w:szCs w:val="22"/>
      <w:lang w:val="en-US" w:eastAsia="en-US"/>
    </w:rPr>
  </w:style>
  <w:style w:type="table" w:styleId="TableGrid">
    <w:name w:val="Table Grid"/>
    <w:basedOn w:val="TableNormal"/>
    <w:uiPriority w:val="39"/>
    <w:rsid w:val="002118A5"/>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ealth.gov.on.ca/en/public/programs/ltc/home-finder.aspx" TargetMode="External"/><Relationship Id="rId13" Type="http://schemas.openxmlformats.org/officeDocument/2006/relationships/hyperlink" Target="http://www.edu.gov.on.ca/eng/educationfacts.html" TargetMode="External"/><Relationship Id="rId18" Type="http://schemas.openxmlformats.org/officeDocument/2006/relationships/image" Target="media/image2.png"/><Relationship Id="rId26"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image" Target="media/image5.emf"/><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www.edu.gov.on.ca/eng/educationfacts.html" TargetMode="External"/><Relationship Id="rId17" Type="http://schemas.openxmlformats.org/officeDocument/2006/relationships/hyperlink" Target="https://stewardshipontario.ca/wp-content/uploads/2013/03/Sustainable-Financing-Approaches-for-Multi-Family-Buildings.pdf" TargetMode="External"/><Relationship Id="rId25" Type="http://schemas.openxmlformats.org/officeDocument/2006/relationships/image" Target="media/image9.emf"/><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12.statcan.gc.ca/census-recensement/2016/as-sa/98-200-x/2016005/98-200-x2016005-eng.cfm" TargetMode="External"/><Relationship Id="rId20" Type="http://schemas.openxmlformats.org/officeDocument/2006/relationships/image" Target="media/image4.emf"/><Relationship Id="rId29"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ata.ontario.ca/dataset/ontario-public-school-contact-information" TargetMode="External"/><Relationship Id="rId24" Type="http://schemas.openxmlformats.org/officeDocument/2006/relationships/image" Target="media/image8.emf"/><Relationship Id="rId32" Type="http://schemas.openxmlformats.org/officeDocument/2006/relationships/header" Target="header2.xml"/><Relationship Id="rId37"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hyperlink" Target="http://www.edu.gov.on.ca/eng/educationfacts.html" TargetMode="External"/><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fontTable" Target="fontTable.xml"/><Relationship Id="rId10" Type="http://schemas.openxmlformats.org/officeDocument/2006/relationships/hyperlink" Target="https://www.oltca.com/oltca/OLTCA/Public/LongTermCare/FactsFigures.aspx" TargetMode="External"/><Relationship Id="rId19" Type="http://schemas.openxmlformats.org/officeDocument/2006/relationships/image" Target="media/image3.emf"/><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ontario.ca/page/long-term-care-staffing-study" TargetMode="External"/><Relationship Id="rId14" Type="http://schemas.openxmlformats.org/officeDocument/2006/relationships/hyperlink" Target="http://www.edu.gov.on.ca/eng/educationfacts.html" TargetMode="Externa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F44BA5A02B545828C0405FA1BEF8207"/>
        <w:category>
          <w:name w:val="General"/>
          <w:gallery w:val="placeholder"/>
        </w:category>
        <w:types>
          <w:type w:val="bbPlcHdr"/>
        </w:types>
        <w:behaviors>
          <w:behavior w:val="content"/>
        </w:behaviors>
        <w:guid w:val="{777FB196-EBB7-45D4-9A50-0FDE0A9B18AB}"/>
      </w:docPartPr>
      <w:docPartBody>
        <w:p w:rsidR="00000000" w:rsidRDefault="00E96C21" w:rsidP="00E96C21">
          <w:pPr>
            <w:pStyle w:val="7F44BA5A02B545828C0405FA1BEF8207"/>
          </w:pPr>
          <w:r>
            <w:rPr>
              <w:rFonts w:asciiTheme="majorHAnsi" w:eastAsiaTheme="majorEastAsia" w:hAnsiTheme="majorHAnsi" w:cstheme="majorBidi"/>
              <w:caps/>
              <w:color w:val="5B9BD5" w:themeColor="accent1"/>
              <w:sz w:val="80"/>
              <w:szCs w:val="80"/>
            </w:rPr>
            <w:t>[Document title]</w:t>
          </w:r>
        </w:p>
      </w:docPartBody>
    </w:docPart>
    <w:docPart>
      <w:docPartPr>
        <w:name w:val="12C30C8FA7124F43916EC3425E3D7844"/>
        <w:category>
          <w:name w:val="General"/>
          <w:gallery w:val="placeholder"/>
        </w:category>
        <w:types>
          <w:type w:val="bbPlcHdr"/>
        </w:types>
        <w:behaviors>
          <w:behavior w:val="content"/>
        </w:behaviors>
        <w:guid w:val="{572E676D-5BBB-4198-A0E8-33FD239A87ED}"/>
      </w:docPartPr>
      <w:docPartBody>
        <w:p w:rsidR="00000000" w:rsidRDefault="00E96C21" w:rsidP="00E96C21">
          <w:pPr>
            <w:pStyle w:val="12C30C8FA7124F43916EC3425E3D7844"/>
          </w:pPr>
          <w:r>
            <w:rPr>
              <w:rFonts w:asciiTheme="majorHAnsi" w:eastAsiaTheme="majorEastAsia" w:hAnsiTheme="majorHAnsi" w:cstheme="majorBidi"/>
              <w:caps/>
              <w:color w:val="5B9BD5" w:themeColor="accent1"/>
              <w:sz w:val="80"/>
              <w:szCs w:val="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C21"/>
    <w:rsid w:val="00E96C21"/>
    <w:rsid w:val="00FD27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CE451F4D6544A6BE1704C79F47FEC0">
    <w:name w:val="4ACE451F4D6544A6BE1704C79F47FEC0"/>
    <w:rsid w:val="00E96C21"/>
  </w:style>
  <w:style w:type="paragraph" w:customStyle="1" w:styleId="7F44BA5A02B545828C0405FA1BEF8207">
    <w:name w:val="7F44BA5A02B545828C0405FA1BEF8207"/>
    <w:rsid w:val="00E96C21"/>
  </w:style>
  <w:style w:type="paragraph" w:customStyle="1" w:styleId="12C30C8FA7124F43916EC3425E3D7844">
    <w:name w:val="12C30C8FA7124F43916EC3425E3D7844"/>
    <w:rsid w:val="00E96C2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6458</Words>
  <Characters>36814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ESTIMATING INCREASES IN THE STEWARD OBLIGATION RESULTING FROM THE BLUE BOX TRANSITION</vt:lpstr>
    </vt:vector>
  </TitlesOfParts>
  <Company>Niagara College</Company>
  <LinksUpToDate>false</LinksUpToDate>
  <CharactersWithSpaces>43186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ESTIMATING INCREASES IN THE STEWARD OBLIGATION RESULTING FROM THE BLUE BOX TRANSITION</dc:title>
  <dc:creator>Wendy Ward</dc:creator>
  <cp:lastModifiedBy>Paul Grenier</cp:lastModifiedBy>
  <cp:revision>2</cp:revision>
  <cp:lastPrinted>2020-12-03T18:23:00Z</cp:lastPrinted>
  <dcterms:created xsi:type="dcterms:W3CDTF">2020-12-03T21:48:00Z</dcterms:created>
  <dcterms:modified xsi:type="dcterms:W3CDTF">2020-12-03T21:48:00Z</dcterms:modified>
</cp:coreProperties>
</file>