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30822" w14:textId="67A24BEE" w:rsidR="006930D6" w:rsidRPr="00C8450B" w:rsidRDefault="006930D6" w:rsidP="00837B74">
      <w:pPr>
        <w:widowControl w:val="0"/>
        <w:spacing w:after="0"/>
        <w:rPr>
          <w:rFonts w:cstheme="minorHAnsi"/>
          <w:b/>
          <w:bCs/>
        </w:rPr>
      </w:pPr>
    </w:p>
    <w:p w14:paraId="192B8C40" w14:textId="2777368A" w:rsidR="0037255C" w:rsidRPr="00C8450B" w:rsidRDefault="004266BF" w:rsidP="007B15B9">
      <w:pPr>
        <w:widowControl w:val="0"/>
        <w:spacing w:after="0"/>
        <w:rPr>
          <w:rFonts w:cstheme="minorHAnsi"/>
        </w:rPr>
      </w:pPr>
      <w:bookmarkStart w:id="0" w:name="_GoBack"/>
      <w:bookmarkEnd w:id="0"/>
      <w:r w:rsidRPr="00C8450B">
        <w:rPr>
          <w:rFonts w:cstheme="minorHAnsi"/>
        </w:rPr>
        <w:t xml:space="preserve">December </w:t>
      </w:r>
      <w:r w:rsidR="00547A7D" w:rsidRPr="00C8450B">
        <w:rPr>
          <w:rFonts w:cstheme="minorHAnsi"/>
        </w:rPr>
        <w:t>3</w:t>
      </w:r>
      <w:r w:rsidRPr="00C8450B">
        <w:rPr>
          <w:rFonts w:cstheme="minorHAnsi"/>
        </w:rPr>
        <w:t>, 2020</w:t>
      </w:r>
    </w:p>
    <w:p w14:paraId="4F78E40C" w14:textId="77777777" w:rsidR="007B15B9" w:rsidRDefault="007B15B9" w:rsidP="00837B74">
      <w:pPr>
        <w:widowControl w:val="0"/>
        <w:spacing w:after="0" w:line="240" w:lineRule="auto"/>
        <w:rPr>
          <w:rFonts w:cstheme="minorHAnsi"/>
        </w:rPr>
      </w:pPr>
    </w:p>
    <w:p w14:paraId="6AC9A849" w14:textId="02D3FA07" w:rsidR="00837B74" w:rsidRPr="00C8450B" w:rsidRDefault="004266BF" w:rsidP="00837B74">
      <w:pPr>
        <w:widowControl w:val="0"/>
        <w:spacing w:after="0" w:line="240" w:lineRule="auto"/>
        <w:rPr>
          <w:rFonts w:cstheme="minorHAnsi"/>
        </w:rPr>
      </w:pPr>
      <w:r w:rsidRPr="00C8450B">
        <w:rPr>
          <w:rFonts w:cstheme="minorHAnsi"/>
        </w:rPr>
        <w:t>Minister Jeff Yurek</w:t>
      </w:r>
    </w:p>
    <w:p w14:paraId="12598C0F" w14:textId="7525033A" w:rsidR="004266BF" w:rsidRPr="00C8450B" w:rsidRDefault="004266BF" w:rsidP="00837B74">
      <w:pPr>
        <w:widowControl w:val="0"/>
        <w:spacing w:after="0" w:line="240" w:lineRule="auto"/>
        <w:rPr>
          <w:rFonts w:cstheme="minorHAnsi"/>
        </w:rPr>
      </w:pPr>
      <w:r w:rsidRPr="00C8450B">
        <w:rPr>
          <w:rFonts w:cstheme="minorHAnsi"/>
        </w:rPr>
        <w:t>Ministry of the Environment, Conservation and Parks (MECP)</w:t>
      </w:r>
    </w:p>
    <w:p w14:paraId="27F9B89D" w14:textId="03D33A1C" w:rsidR="0037255C" w:rsidRPr="00C8450B" w:rsidRDefault="0037255C" w:rsidP="00837B74">
      <w:pPr>
        <w:widowControl w:val="0"/>
        <w:spacing w:after="0" w:line="240" w:lineRule="auto"/>
        <w:rPr>
          <w:rFonts w:cstheme="minorHAnsi"/>
        </w:rPr>
      </w:pPr>
      <w:r w:rsidRPr="00C8450B">
        <w:rPr>
          <w:rFonts w:cstheme="minorHAnsi"/>
        </w:rPr>
        <w:t>5</w:t>
      </w:r>
      <w:r w:rsidRPr="00C8450B">
        <w:rPr>
          <w:rFonts w:cstheme="minorHAnsi"/>
          <w:vertAlign w:val="superscript"/>
        </w:rPr>
        <w:t>th</w:t>
      </w:r>
      <w:r w:rsidRPr="00C8450B">
        <w:rPr>
          <w:rFonts w:cstheme="minorHAnsi"/>
        </w:rPr>
        <w:t xml:space="preserve"> Floor</w:t>
      </w:r>
    </w:p>
    <w:p w14:paraId="5968F65F" w14:textId="7FEC34E4" w:rsidR="0037255C" w:rsidRPr="00C8450B" w:rsidRDefault="0037255C" w:rsidP="00837B74">
      <w:pPr>
        <w:widowControl w:val="0"/>
        <w:spacing w:after="0" w:line="240" w:lineRule="auto"/>
        <w:rPr>
          <w:rFonts w:cstheme="minorHAnsi"/>
        </w:rPr>
      </w:pPr>
      <w:r w:rsidRPr="00C8450B">
        <w:rPr>
          <w:rFonts w:cstheme="minorHAnsi"/>
        </w:rPr>
        <w:t>777 Bay Street</w:t>
      </w:r>
    </w:p>
    <w:p w14:paraId="23B61A92" w14:textId="4B8AB8FC" w:rsidR="0037255C" w:rsidRPr="00C8450B" w:rsidRDefault="0037255C" w:rsidP="00837B74">
      <w:pPr>
        <w:widowControl w:val="0"/>
        <w:spacing w:after="0" w:line="240" w:lineRule="auto"/>
        <w:rPr>
          <w:rFonts w:cstheme="minorHAnsi"/>
        </w:rPr>
      </w:pPr>
      <w:r w:rsidRPr="00C8450B">
        <w:rPr>
          <w:rFonts w:cstheme="minorHAnsi"/>
        </w:rPr>
        <w:t>Toronto, ON M7A2J3</w:t>
      </w:r>
    </w:p>
    <w:p w14:paraId="23E77DDB" w14:textId="77777777" w:rsidR="0037255C" w:rsidRPr="00C8450B" w:rsidRDefault="0037255C" w:rsidP="00837B74">
      <w:pPr>
        <w:widowControl w:val="0"/>
        <w:spacing w:after="0" w:line="240" w:lineRule="auto"/>
        <w:rPr>
          <w:rFonts w:cstheme="minorHAnsi"/>
        </w:rPr>
      </w:pPr>
    </w:p>
    <w:p w14:paraId="445F2EBE" w14:textId="5E12BE14" w:rsidR="00837B74" w:rsidRPr="00C8450B" w:rsidRDefault="004266BF" w:rsidP="00837B74">
      <w:pPr>
        <w:widowControl w:val="0"/>
        <w:spacing w:after="0"/>
        <w:rPr>
          <w:rFonts w:cstheme="minorHAnsi"/>
        </w:rPr>
      </w:pPr>
      <w:r w:rsidRPr="00C8450B">
        <w:rPr>
          <w:rFonts w:cstheme="minorHAnsi"/>
        </w:rPr>
        <w:t>Dear Minister Yurek,</w:t>
      </w:r>
    </w:p>
    <w:p w14:paraId="1012EA33" w14:textId="77777777" w:rsidR="00837B74" w:rsidRPr="00C8450B" w:rsidRDefault="00837B74" w:rsidP="00837B74">
      <w:pPr>
        <w:widowControl w:val="0"/>
        <w:spacing w:after="0"/>
        <w:rPr>
          <w:rFonts w:cstheme="minorHAnsi"/>
        </w:rPr>
      </w:pPr>
    </w:p>
    <w:p w14:paraId="058B008C" w14:textId="2478ABAF" w:rsidR="00241A93" w:rsidRPr="00C8450B" w:rsidRDefault="00241A93" w:rsidP="00837B74">
      <w:pPr>
        <w:widowControl w:val="0"/>
        <w:spacing w:after="0"/>
        <w:rPr>
          <w:rFonts w:cstheme="minorHAnsi"/>
        </w:rPr>
      </w:pPr>
      <w:r w:rsidRPr="00C8450B">
        <w:rPr>
          <w:rFonts w:cstheme="minorHAnsi"/>
        </w:rPr>
        <w:t xml:space="preserve">Longo’s appreciates the opportunity to submit </w:t>
      </w:r>
      <w:r w:rsidR="001B0F2D" w:rsidRPr="00C8450B">
        <w:rPr>
          <w:rFonts w:cstheme="minorHAnsi"/>
        </w:rPr>
        <w:t>these comments</w:t>
      </w:r>
      <w:r w:rsidR="00DF148A" w:rsidRPr="00C8450B">
        <w:rPr>
          <w:rFonts w:cstheme="minorHAnsi"/>
        </w:rPr>
        <w:t xml:space="preserve"> on the proposed regulation under the Resour</w:t>
      </w:r>
      <w:r w:rsidR="005D520C" w:rsidRPr="00C8450B">
        <w:rPr>
          <w:rFonts w:cstheme="minorHAnsi"/>
        </w:rPr>
        <w:t xml:space="preserve">ce Recovery and Circular Economy Act. </w:t>
      </w:r>
      <w:r w:rsidRPr="00C8450B">
        <w:rPr>
          <w:rFonts w:cstheme="minorHAnsi"/>
        </w:rPr>
        <w:t xml:space="preserve">We are committed to the creation of a comprehensive Blue Box system that ensures a high level of service for consumers and Ontario. Upon reviewing the </w:t>
      </w:r>
      <w:r w:rsidR="00A51A14" w:rsidRPr="00C8450B">
        <w:rPr>
          <w:rFonts w:cstheme="minorHAnsi"/>
        </w:rPr>
        <w:t>proposed</w:t>
      </w:r>
      <w:r w:rsidRPr="00C8450B">
        <w:rPr>
          <w:rFonts w:cstheme="minorHAnsi"/>
        </w:rPr>
        <w:t xml:space="preserve"> regulation there are two points of feedback that we would like to pass on to the Ministry. </w:t>
      </w:r>
    </w:p>
    <w:p w14:paraId="1B2FFDF6" w14:textId="77777777" w:rsidR="00DF148A" w:rsidRPr="00C8450B" w:rsidRDefault="00DF148A" w:rsidP="00837B74">
      <w:pPr>
        <w:widowControl w:val="0"/>
        <w:spacing w:after="0"/>
        <w:rPr>
          <w:rFonts w:cstheme="minorHAnsi"/>
        </w:rPr>
      </w:pPr>
    </w:p>
    <w:p w14:paraId="1FFF20F8" w14:textId="5EB33DB8" w:rsidR="00547A7D" w:rsidRPr="00C8450B" w:rsidRDefault="00241A93" w:rsidP="00837B74">
      <w:pPr>
        <w:widowControl w:val="0"/>
        <w:spacing w:after="0"/>
        <w:rPr>
          <w:rFonts w:cstheme="minorHAnsi"/>
        </w:rPr>
      </w:pPr>
      <w:r w:rsidRPr="00C8450B">
        <w:rPr>
          <w:rFonts w:cstheme="minorHAnsi"/>
        </w:rPr>
        <w:t>The first point of f</w:t>
      </w:r>
      <w:r w:rsidR="006930D6" w:rsidRPr="00C8450B">
        <w:rPr>
          <w:rFonts w:cstheme="minorHAnsi"/>
        </w:rPr>
        <w:t>eedback we have is about</w:t>
      </w:r>
      <w:r w:rsidR="009211AC" w:rsidRPr="00C8450B">
        <w:rPr>
          <w:rFonts w:cstheme="minorHAnsi"/>
        </w:rPr>
        <w:t xml:space="preserve"> </w:t>
      </w:r>
      <w:r w:rsidR="005049C6" w:rsidRPr="00C8450B">
        <w:rPr>
          <w:rFonts w:cstheme="minorHAnsi"/>
        </w:rPr>
        <w:t xml:space="preserve">the criteria for negotiating the common collection system. </w:t>
      </w:r>
      <w:r w:rsidR="009211AC" w:rsidRPr="00C8450B">
        <w:rPr>
          <w:rFonts w:cstheme="minorHAnsi"/>
        </w:rPr>
        <w:t xml:space="preserve">We understand that in order to be a rule creator for the </w:t>
      </w:r>
      <w:r w:rsidR="005049C6" w:rsidRPr="00C8450B">
        <w:rPr>
          <w:rFonts w:cstheme="minorHAnsi"/>
        </w:rPr>
        <w:t>CCS</w:t>
      </w:r>
      <w:r w:rsidR="009211AC" w:rsidRPr="00C8450B">
        <w:rPr>
          <w:rFonts w:cstheme="minorHAnsi"/>
        </w:rPr>
        <w:t>, the person must be a producer or producer responsibility organization (PRO) whose blue box material tonnage makes up 10% of the total tonnage that is supplied to consumers in Ontario.</w:t>
      </w:r>
      <w:r w:rsidR="00547A7D" w:rsidRPr="00C8450B">
        <w:rPr>
          <w:rFonts w:cstheme="minorHAnsi"/>
        </w:rPr>
        <w:t xml:space="preserve"> Longo’s supports having requirements so that the system is designed by viable PROs, but our concern is the 10% requirement creates a risk that </w:t>
      </w:r>
      <w:r w:rsidR="007E479E" w:rsidRPr="00C8450B">
        <w:rPr>
          <w:rFonts w:cstheme="minorHAnsi"/>
        </w:rPr>
        <w:t xml:space="preserve">smaller producers will be excluded from the rule-making process for </w:t>
      </w:r>
      <w:r w:rsidR="00547A7D" w:rsidRPr="00C8450B">
        <w:rPr>
          <w:rFonts w:cstheme="minorHAnsi"/>
        </w:rPr>
        <w:t>CCS</w:t>
      </w:r>
      <w:r w:rsidR="007E479E" w:rsidRPr="00C8450B">
        <w:rPr>
          <w:rFonts w:cstheme="minorHAnsi"/>
        </w:rPr>
        <w:t>.</w:t>
      </w:r>
      <w:r w:rsidR="00547A7D" w:rsidRPr="00C8450B">
        <w:rPr>
          <w:rFonts w:cstheme="minorHAnsi"/>
        </w:rPr>
        <w:t xml:space="preserve"> </w:t>
      </w:r>
    </w:p>
    <w:p w14:paraId="3D6E36AB" w14:textId="4834103E" w:rsidR="00547A7D" w:rsidRPr="00C8450B" w:rsidRDefault="00547A7D" w:rsidP="00837B74">
      <w:pPr>
        <w:widowControl w:val="0"/>
        <w:spacing w:after="0"/>
        <w:rPr>
          <w:rFonts w:cstheme="minorHAnsi"/>
        </w:rPr>
      </w:pPr>
    </w:p>
    <w:p w14:paraId="375F6306" w14:textId="18765050" w:rsidR="00241A93" w:rsidRPr="00C8450B" w:rsidRDefault="00547A7D" w:rsidP="00837B74">
      <w:pPr>
        <w:widowControl w:val="0"/>
        <w:spacing w:after="0"/>
        <w:rPr>
          <w:rFonts w:cstheme="minorHAnsi"/>
        </w:rPr>
      </w:pPr>
      <w:r w:rsidRPr="00C8450B">
        <w:rPr>
          <w:rFonts w:cstheme="minorHAnsi"/>
        </w:rPr>
        <w:t>There is still a lot of uncertainty about PROs for the Blue Box system, and how many companies each PRO will service. Given that smaller producers have different needs tha</w:t>
      </w:r>
      <w:r w:rsidR="0075285B" w:rsidRPr="00C8450B">
        <w:rPr>
          <w:rFonts w:cstheme="minorHAnsi"/>
        </w:rPr>
        <w:t>n</w:t>
      </w:r>
      <w:r w:rsidRPr="00C8450B">
        <w:rPr>
          <w:rFonts w:cstheme="minorHAnsi"/>
        </w:rPr>
        <w:t xml:space="preserve"> larger producers who operate nation-wide, we may see </w:t>
      </w:r>
      <w:r w:rsidR="001C0C6F" w:rsidRPr="00C8450B">
        <w:rPr>
          <w:rFonts w:cstheme="minorHAnsi"/>
        </w:rPr>
        <w:t>them also opting for different PROs than larger producers</w:t>
      </w:r>
      <w:r w:rsidR="0075285B" w:rsidRPr="00C8450B">
        <w:rPr>
          <w:rFonts w:cstheme="minorHAnsi"/>
        </w:rPr>
        <w:t>.</w:t>
      </w:r>
      <w:r w:rsidR="001C0C6F" w:rsidRPr="00C8450B">
        <w:rPr>
          <w:rFonts w:cstheme="minorHAnsi"/>
        </w:rPr>
        <w:t xml:space="preserve"> </w:t>
      </w:r>
      <w:r w:rsidR="0075285B" w:rsidRPr="00C8450B">
        <w:rPr>
          <w:rFonts w:cstheme="minorHAnsi"/>
        </w:rPr>
        <w:t>I</w:t>
      </w:r>
      <w:r w:rsidR="001C0C6F" w:rsidRPr="00C8450B">
        <w:rPr>
          <w:rFonts w:cstheme="minorHAnsi"/>
        </w:rPr>
        <w:t xml:space="preserve">n </w:t>
      </w:r>
      <w:r w:rsidR="0075285B" w:rsidRPr="00C8450B">
        <w:rPr>
          <w:rFonts w:cstheme="minorHAnsi"/>
        </w:rPr>
        <w:t>this</w:t>
      </w:r>
      <w:r w:rsidR="001C0C6F" w:rsidRPr="00C8450B">
        <w:rPr>
          <w:rFonts w:cstheme="minorHAnsi"/>
        </w:rPr>
        <w:t xml:space="preserve"> case it will be</w:t>
      </w:r>
      <w:r w:rsidR="0075285B" w:rsidRPr="00C8450B">
        <w:rPr>
          <w:rFonts w:cstheme="minorHAnsi"/>
        </w:rPr>
        <w:t xml:space="preserve"> very difficult</w:t>
      </w:r>
      <w:r w:rsidR="001C0C6F" w:rsidRPr="00C8450B">
        <w:rPr>
          <w:rFonts w:cstheme="minorHAnsi"/>
        </w:rPr>
        <w:t xml:space="preserve"> to meet the 10% threshold to have a seat at the table. </w:t>
      </w:r>
      <w:r w:rsidR="007E479E" w:rsidRPr="00C8450B">
        <w:rPr>
          <w:rFonts w:cstheme="minorHAnsi"/>
        </w:rPr>
        <w:t xml:space="preserve">We recommend that the eligibility criteria is reduced to 5% so that smaller producers </w:t>
      </w:r>
      <w:r w:rsidR="00837B74" w:rsidRPr="00C8450B">
        <w:rPr>
          <w:rFonts w:cstheme="minorHAnsi"/>
        </w:rPr>
        <w:t>have a better opportunity to be represented</w:t>
      </w:r>
      <w:r w:rsidR="001C0C6F" w:rsidRPr="00C8450B">
        <w:rPr>
          <w:rFonts w:cstheme="minorHAnsi"/>
        </w:rPr>
        <w:t xml:space="preserve"> in rule-making for the CCS</w:t>
      </w:r>
      <w:r w:rsidR="00837B74" w:rsidRPr="00C8450B">
        <w:rPr>
          <w:rFonts w:cstheme="minorHAnsi"/>
        </w:rPr>
        <w:t>.</w:t>
      </w:r>
    </w:p>
    <w:p w14:paraId="64127914" w14:textId="77777777" w:rsidR="005049C6" w:rsidRPr="00C8450B" w:rsidRDefault="005049C6" w:rsidP="00837B74">
      <w:pPr>
        <w:widowControl w:val="0"/>
        <w:spacing w:after="0"/>
        <w:rPr>
          <w:rFonts w:cstheme="minorHAnsi"/>
        </w:rPr>
      </w:pPr>
    </w:p>
    <w:p w14:paraId="4E2BA949" w14:textId="68C2B1AD" w:rsidR="001C0C6F" w:rsidRPr="00C8450B" w:rsidRDefault="00241A93" w:rsidP="00837B74">
      <w:pPr>
        <w:widowControl w:val="0"/>
        <w:spacing w:after="0"/>
        <w:rPr>
          <w:rFonts w:cstheme="minorHAnsi"/>
        </w:rPr>
      </w:pPr>
      <w:r w:rsidRPr="00C8450B">
        <w:rPr>
          <w:rFonts w:cstheme="minorHAnsi"/>
        </w:rPr>
        <w:t xml:space="preserve">The second point of feedback we have is around deductions. </w:t>
      </w:r>
      <w:r w:rsidR="001C0C6F" w:rsidRPr="00C8450B">
        <w:rPr>
          <w:rFonts w:cstheme="minorHAnsi"/>
        </w:rPr>
        <w:t xml:space="preserve">For all categories except beverage containers, reporting will be based on the tonnage of materials supplied into the residential market. Under the current system, producers report on residential supply through the use of deduction methodologies to subtract tonnage supplied to the IC&amp;I sector. In comparison, the government’s current proposal requires producers to report total sales to RPRA. Producers are then expected to work with RPRA to get to residential supply. </w:t>
      </w:r>
    </w:p>
    <w:p w14:paraId="5161BBC0" w14:textId="77777777" w:rsidR="001C0C6F" w:rsidRPr="00C8450B" w:rsidRDefault="001C0C6F" w:rsidP="00837B74">
      <w:pPr>
        <w:widowControl w:val="0"/>
        <w:spacing w:after="0"/>
        <w:rPr>
          <w:rFonts w:cstheme="minorHAnsi"/>
        </w:rPr>
      </w:pPr>
    </w:p>
    <w:p w14:paraId="4E183E09" w14:textId="7CA6E3A2" w:rsidR="00861227" w:rsidRDefault="001C0C6F" w:rsidP="007B15B9">
      <w:pPr>
        <w:widowControl w:val="0"/>
        <w:spacing w:after="0"/>
        <w:rPr>
          <w:rFonts w:cstheme="minorHAnsi"/>
        </w:rPr>
      </w:pPr>
      <w:r w:rsidRPr="00C8450B">
        <w:rPr>
          <w:rFonts w:cstheme="minorHAnsi"/>
        </w:rPr>
        <w:t xml:space="preserve">While </w:t>
      </w:r>
      <w:r w:rsidR="00A51A14" w:rsidRPr="00C8450B">
        <w:rPr>
          <w:rFonts w:cstheme="minorHAnsi"/>
        </w:rPr>
        <w:t>we understand that the scope eligible sources in the proposed regulation has expanded, there are still many sources that would be covered by</w:t>
      </w:r>
      <w:r w:rsidR="0037255C" w:rsidRPr="00C8450B">
        <w:rPr>
          <w:rFonts w:cstheme="minorHAnsi"/>
        </w:rPr>
        <w:t xml:space="preserve"> the</w:t>
      </w:r>
      <w:r w:rsidR="00A51A14" w:rsidRPr="00C8450B">
        <w:rPr>
          <w:rFonts w:cstheme="minorHAnsi"/>
        </w:rPr>
        <w:t xml:space="preserve"> IC&amp;I</w:t>
      </w:r>
      <w:r w:rsidR="0037255C" w:rsidRPr="00C8450B">
        <w:rPr>
          <w:rFonts w:cstheme="minorHAnsi"/>
        </w:rPr>
        <w:t xml:space="preserve"> sector</w:t>
      </w:r>
      <w:r w:rsidR="00A51A14" w:rsidRPr="00C8450B">
        <w:rPr>
          <w:rFonts w:cstheme="minorHAnsi"/>
        </w:rPr>
        <w:t xml:space="preserve"> (i.e. office buildings, malls, business to business sales, etc.)</w:t>
      </w:r>
      <w:r w:rsidR="0037255C" w:rsidRPr="00C8450B">
        <w:rPr>
          <w:rFonts w:cstheme="minorHAnsi"/>
        </w:rPr>
        <w:t>, meaning that</w:t>
      </w:r>
      <w:r w:rsidRPr="00C8450B">
        <w:rPr>
          <w:rFonts w:cstheme="minorHAnsi"/>
        </w:rPr>
        <w:t xml:space="preserve"> designated</w:t>
      </w:r>
      <w:r w:rsidR="0037255C" w:rsidRPr="00C8450B">
        <w:rPr>
          <w:rFonts w:cstheme="minorHAnsi"/>
        </w:rPr>
        <w:t xml:space="preserve"> materials will end up in these streams</w:t>
      </w:r>
      <w:r w:rsidRPr="00C8450B">
        <w:rPr>
          <w:rFonts w:cstheme="minorHAnsi"/>
        </w:rPr>
        <w:t xml:space="preserve">. Therefore, Longo’s recommends codifying exclusions into the </w:t>
      </w:r>
      <w:r w:rsidRPr="00C8450B">
        <w:rPr>
          <w:rFonts w:cstheme="minorHAnsi"/>
        </w:rPr>
        <w:lastRenderedPageBreak/>
        <w:t>regulation.</w:t>
      </w:r>
    </w:p>
    <w:p w14:paraId="5B9BA365" w14:textId="77777777" w:rsidR="00DF148A" w:rsidRDefault="00DF148A" w:rsidP="00837B74">
      <w:pPr>
        <w:widowControl w:val="0"/>
        <w:spacing w:after="0"/>
        <w:rPr>
          <w:rFonts w:cstheme="minorHAnsi"/>
        </w:rPr>
      </w:pPr>
    </w:p>
    <w:p w14:paraId="7CD85000" w14:textId="77777777" w:rsidR="00861227" w:rsidRDefault="00861227" w:rsidP="00837B74">
      <w:pPr>
        <w:widowControl w:val="0"/>
        <w:spacing w:after="0"/>
        <w:rPr>
          <w:rFonts w:cstheme="minorHAnsi"/>
        </w:rPr>
      </w:pPr>
    </w:p>
    <w:p w14:paraId="118208F0" w14:textId="77777777" w:rsidR="00861227" w:rsidRDefault="00861227" w:rsidP="00837B74">
      <w:pPr>
        <w:widowControl w:val="0"/>
        <w:spacing w:after="0"/>
        <w:rPr>
          <w:rFonts w:cstheme="minorHAnsi"/>
        </w:rPr>
      </w:pPr>
    </w:p>
    <w:p w14:paraId="449D9942" w14:textId="77777777" w:rsidR="00861227" w:rsidRPr="00C8450B" w:rsidRDefault="00861227" w:rsidP="00837B74">
      <w:pPr>
        <w:widowControl w:val="0"/>
        <w:spacing w:after="0"/>
        <w:rPr>
          <w:rFonts w:cstheme="minorHAnsi"/>
        </w:rPr>
      </w:pPr>
    </w:p>
    <w:p w14:paraId="47360936" w14:textId="77777777" w:rsidR="007B15B9" w:rsidRDefault="007B15B9" w:rsidP="00B00FB6">
      <w:pPr>
        <w:widowControl w:val="0"/>
        <w:spacing w:after="0"/>
        <w:rPr>
          <w:rFonts w:cstheme="minorHAnsi"/>
        </w:rPr>
      </w:pPr>
    </w:p>
    <w:p w14:paraId="7F0C3913" w14:textId="77777777" w:rsidR="007B15B9" w:rsidRDefault="007B15B9" w:rsidP="00B00FB6">
      <w:pPr>
        <w:widowControl w:val="0"/>
        <w:spacing w:after="0"/>
        <w:rPr>
          <w:rFonts w:cstheme="minorHAnsi"/>
        </w:rPr>
      </w:pPr>
    </w:p>
    <w:p w14:paraId="5E528BE7" w14:textId="13128DEC" w:rsidR="00241A93" w:rsidRPr="00C8450B" w:rsidRDefault="0037255C" w:rsidP="00B00FB6">
      <w:pPr>
        <w:widowControl w:val="0"/>
        <w:spacing w:after="0"/>
        <w:rPr>
          <w:rFonts w:cstheme="minorHAnsi"/>
        </w:rPr>
      </w:pPr>
      <w:r w:rsidRPr="00C8450B">
        <w:rPr>
          <w:rFonts w:cstheme="minorHAnsi"/>
        </w:rPr>
        <w:t>We support the development of extended producer responsibility policies in Ontario, but want to ensure that the process is equitable</w:t>
      </w:r>
      <w:r w:rsidR="00B00FB6" w:rsidRPr="00C8450B">
        <w:rPr>
          <w:rFonts w:cstheme="minorHAnsi"/>
        </w:rPr>
        <w:t xml:space="preserve"> and involves producers of all sizes</w:t>
      </w:r>
      <w:r w:rsidRPr="00C8450B">
        <w:rPr>
          <w:rFonts w:cstheme="minorHAnsi"/>
        </w:rPr>
        <w:t xml:space="preserve">. Additionally, given </w:t>
      </w:r>
      <w:r w:rsidR="00B00FB6" w:rsidRPr="00C8450B">
        <w:rPr>
          <w:rFonts w:cstheme="minorHAnsi"/>
        </w:rPr>
        <w:t>that the costs of recycling will shift entirely to producers,</w:t>
      </w:r>
      <w:r w:rsidRPr="00C8450B">
        <w:rPr>
          <w:rFonts w:cstheme="minorHAnsi"/>
        </w:rPr>
        <w:t xml:space="preserve"> it is important that deductions are allowed so that producers on not paying fees on materials that will not enter the Blue Box system.</w:t>
      </w:r>
      <w:r w:rsidR="00B00FB6" w:rsidRPr="00C8450B">
        <w:rPr>
          <w:rFonts w:cstheme="minorHAnsi"/>
        </w:rPr>
        <w:t xml:space="preserve"> </w:t>
      </w:r>
      <w:r w:rsidR="00241A93" w:rsidRPr="00C8450B">
        <w:rPr>
          <w:rFonts w:cstheme="minorHAnsi"/>
        </w:rPr>
        <w:t xml:space="preserve">Please do not hesitate to contact me if you have any questions following our comments. </w:t>
      </w:r>
    </w:p>
    <w:p w14:paraId="0412F36A" w14:textId="77777777" w:rsidR="00DF148A" w:rsidRPr="00C8450B" w:rsidRDefault="00DF148A" w:rsidP="00837B74">
      <w:pPr>
        <w:widowControl w:val="0"/>
        <w:spacing w:after="0"/>
        <w:rPr>
          <w:rFonts w:cstheme="minorHAnsi"/>
        </w:rPr>
      </w:pPr>
    </w:p>
    <w:p w14:paraId="6746C1F6" w14:textId="0D0DE5FB" w:rsidR="00241A93" w:rsidRDefault="00241A93" w:rsidP="00837B74">
      <w:pPr>
        <w:widowControl w:val="0"/>
        <w:spacing w:after="0"/>
        <w:rPr>
          <w:rFonts w:cstheme="minorHAnsi"/>
        </w:rPr>
      </w:pPr>
      <w:r w:rsidRPr="00C8450B">
        <w:rPr>
          <w:rFonts w:cstheme="minorHAnsi"/>
        </w:rPr>
        <w:t>Thank you,</w:t>
      </w:r>
    </w:p>
    <w:p w14:paraId="693C8CE5" w14:textId="52F62EAB" w:rsidR="00993FC7" w:rsidRDefault="00993FC7" w:rsidP="00837B74">
      <w:pPr>
        <w:widowControl w:val="0"/>
        <w:spacing w:after="0"/>
        <w:rPr>
          <w:rFonts w:cstheme="minorHAnsi"/>
        </w:rPr>
      </w:pPr>
    </w:p>
    <w:p w14:paraId="6D0D4A0C" w14:textId="76ABB158" w:rsidR="00861227" w:rsidRDefault="00861227" w:rsidP="00837B74">
      <w:pPr>
        <w:widowControl w:val="0"/>
        <w:spacing w:after="0"/>
        <w:rPr>
          <w:rFonts w:cstheme="minorHAnsi"/>
        </w:rPr>
      </w:pPr>
      <w:r>
        <w:rPr>
          <w:noProof/>
          <w:lang w:val="en-CA" w:eastAsia="en-CA"/>
        </w:rPr>
        <w:drawing>
          <wp:inline distT="0" distB="0" distL="0" distR="0" wp14:anchorId="33BF61D3" wp14:editId="3D207234">
            <wp:extent cx="847725" cy="339090"/>
            <wp:effectExtent l="0" t="0" r="952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10-18_13-42-4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7725" cy="339090"/>
                    </a:xfrm>
                    <a:prstGeom prst="rect">
                      <a:avLst/>
                    </a:prstGeom>
                  </pic:spPr>
                </pic:pic>
              </a:graphicData>
            </a:graphic>
          </wp:inline>
        </w:drawing>
      </w:r>
    </w:p>
    <w:p w14:paraId="31DE9CBB" w14:textId="77777777" w:rsidR="00861227" w:rsidRDefault="00861227" w:rsidP="00837B74">
      <w:pPr>
        <w:widowControl w:val="0"/>
        <w:spacing w:after="0"/>
        <w:rPr>
          <w:rFonts w:cstheme="minorHAnsi"/>
        </w:rPr>
      </w:pPr>
    </w:p>
    <w:p w14:paraId="49692B2A" w14:textId="5B287F56" w:rsidR="00993FC7" w:rsidRDefault="00993FC7" w:rsidP="00837B74">
      <w:pPr>
        <w:widowControl w:val="0"/>
        <w:spacing w:after="0"/>
        <w:rPr>
          <w:rFonts w:cstheme="minorHAnsi"/>
        </w:rPr>
      </w:pPr>
      <w:r>
        <w:rPr>
          <w:rFonts w:cstheme="minorHAnsi"/>
        </w:rPr>
        <w:t>Pat Pessotto</w:t>
      </w:r>
    </w:p>
    <w:p w14:paraId="3BA9FE47" w14:textId="62E6205B" w:rsidR="00993FC7" w:rsidRPr="00C8450B" w:rsidRDefault="00993FC7" w:rsidP="00837B74">
      <w:pPr>
        <w:widowControl w:val="0"/>
        <w:spacing w:after="0"/>
        <w:rPr>
          <w:rFonts w:cstheme="minorHAnsi"/>
        </w:rPr>
      </w:pPr>
      <w:r>
        <w:rPr>
          <w:rFonts w:cstheme="minorHAnsi"/>
        </w:rPr>
        <w:t>EVP, Sustainability and Industry Relations</w:t>
      </w:r>
    </w:p>
    <w:sectPr w:rsidR="00993FC7" w:rsidRPr="00C8450B" w:rsidSect="007B15B9">
      <w:headerReference w:type="default" r:id="rId7"/>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596E5" w14:textId="77777777" w:rsidR="007B15B9" w:rsidRDefault="007B15B9" w:rsidP="007B15B9">
      <w:pPr>
        <w:spacing w:after="0" w:line="240" w:lineRule="auto"/>
      </w:pPr>
      <w:r>
        <w:separator/>
      </w:r>
    </w:p>
  </w:endnote>
  <w:endnote w:type="continuationSeparator" w:id="0">
    <w:p w14:paraId="56A7DA7D" w14:textId="77777777" w:rsidR="007B15B9" w:rsidRDefault="007B15B9" w:rsidP="007B1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3685C" w14:textId="77777777" w:rsidR="007B15B9" w:rsidRDefault="007B15B9" w:rsidP="007B15B9">
      <w:pPr>
        <w:spacing w:after="0" w:line="240" w:lineRule="auto"/>
      </w:pPr>
      <w:r>
        <w:separator/>
      </w:r>
    </w:p>
  </w:footnote>
  <w:footnote w:type="continuationSeparator" w:id="0">
    <w:p w14:paraId="4276548A" w14:textId="77777777" w:rsidR="007B15B9" w:rsidRDefault="007B15B9" w:rsidP="007B1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AE601" w14:textId="1A5C7286" w:rsidR="007B15B9" w:rsidRDefault="007B15B9">
    <w:pPr>
      <w:pStyle w:val="Header"/>
    </w:pPr>
    <w:r w:rsidRPr="00C8450B">
      <w:rPr>
        <w:rFonts w:cstheme="minorHAnsi"/>
        <w:b/>
        <w:bCs/>
        <w:noProof/>
        <w:lang w:val="en-CA" w:eastAsia="en-CA"/>
      </w:rPr>
      <w:drawing>
        <wp:inline distT="0" distB="0" distL="0" distR="0" wp14:anchorId="00487F58" wp14:editId="7849F907">
          <wp:extent cx="1457584" cy="50736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1937" cy="512361"/>
                  </a:xfrm>
                  <a:prstGeom prst="rect">
                    <a:avLst/>
                  </a:prstGeom>
                  <a:noFill/>
                  <a:ln>
                    <a:noFill/>
                  </a:ln>
                </pic:spPr>
              </pic:pic>
            </a:graphicData>
          </a:graphic>
        </wp:inline>
      </w:drawing>
    </w:r>
  </w:p>
  <w:p w14:paraId="0606D236" w14:textId="77777777" w:rsidR="007B15B9" w:rsidRDefault="007B15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BF"/>
    <w:rsid w:val="00050D43"/>
    <w:rsid w:val="001B0F2D"/>
    <w:rsid w:val="001C0C6F"/>
    <w:rsid w:val="00241A93"/>
    <w:rsid w:val="0037255C"/>
    <w:rsid w:val="004266BF"/>
    <w:rsid w:val="005049C6"/>
    <w:rsid w:val="00547A7D"/>
    <w:rsid w:val="005D520C"/>
    <w:rsid w:val="006930D6"/>
    <w:rsid w:val="0075285B"/>
    <w:rsid w:val="007B15B9"/>
    <w:rsid w:val="007E479E"/>
    <w:rsid w:val="00837B74"/>
    <w:rsid w:val="00861227"/>
    <w:rsid w:val="009211AC"/>
    <w:rsid w:val="00993FC7"/>
    <w:rsid w:val="00A51A14"/>
    <w:rsid w:val="00B00FB6"/>
    <w:rsid w:val="00C3499F"/>
    <w:rsid w:val="00C8450B"/>
    <w:rsid w:val="00D02AB8"/>
    <w:rsid w:val="00DD2347"/>
    <w:rsid w:val="00DF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CC2F"/>
  <w15:chartTrackingRefBased/>
  <w15:docId w15:val="{41528312-EDF7-4B7F-B9C3-EE208572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5B9"/>
  </w:style>
  <w:style w:type="paragraph" w:styleId="Footer">
    <w:name w:val="footer"/>
    <w:basedOn w:val="Normal"/>
    <w:link w:val="FooterChar"/>
    <w:uiPriority w:val="99"/>
    <w:unhideWhenUsed/>
    <w:rsid w:val="007B1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Reid</dc:creator>
  <cp:keywords/>
  <dc:description/>
  <cp:lastModifiedBy>Mary Testa</cp:lastModifiedBy>
  <cp:revision>3</cp:revision>
  <dcterms:created xsi:type="dcterms:W3CDTF">2020-12-03T21:41:00Z</dcterms:created>
  <dcterms:modified xsi:type="dcterms:W3CDTF">2020-12-03T21:43:00Z</dcterms:modified>
</cp:coreProperties>
</file>