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21CDDD52" w:rsidR="00244CD1" w:rsidRPr="00214670" w:rsidRDefault="00A14ED1"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w:t>
      </w:r>
      <w:r w:rsidR="00CB6724">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21CDDD52" w14:textId="473C4B58" w:rsidR="0040601E" w:rsidRDefault="00244CD1" w:rsidP="001A0F4B">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w:t>
      </w:r>
      <w:r w:rsidR="001A0F4B">
        <w:rPr>
          <w:rFonts w:asciiTheme="majorHAnsi" w:hAnsiTheme="majorHAnsi" w:cstheme="majorHAnsi"/>
          <w:b/>
          <w:bCs/>
          <w:spacing w:val="3"/>
          <w:sz w:val="22"/>
          <w:szCs w:val="22"/>
          <w:lang w:val="en-US"/>
        </w:rPr>
        <w:t>7</w:t>
      </w:r>
      <w:r w:rsidR="00774E98">
        <w:rPr>
          <w:rFonts w:asciiTheme="majorHAnsi" w:hAnsiTheme="majorHAnsi" w:cstheme="majorHAnsi"/>
          <w:b/>
          <w:bCs/>
          <w:spacing w:val="3"/>
          <w:sz w:val="22"/>
          <w:szCs w:val="22"/>
          <w:lang w:val="en-US"/>
        </w:rPr>
        <w:t>)</w:t>
      </w:r>
      <w:r w:rsidR="003761EA"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r w:rsidR="0040601E">
        <w:rPr>
          <w:rFonts w:asciiTheme="majorHAnsi" w:hAnsiTheme="majorHAnsi" w:cstheme="majorHAnsi"/>
          <w:b/>
          <w:bCs/>
          <w:spacing w:val="3"/>
          <w:sz w:val="22"/>
          <w:szCs w:val="22"/>
          <w:lang w:val="en-US"/>
        </w:rPr>
        <w:t xml:space="preserve"> </w:t>
      </w:r>
    </w:p>
    <w:p w14:paraId="3ECA0DE2" w14:textId="77777777" w:rsidR="001A0F4B" w:rsidRDefault="001A0F4B" w:rsidP="00B35B5B">
      <w:pPr>
        <w:pStyle w:val="Body"/>
        <w:spacing w:after="0"/>
        <w:jc w:val="both"/>
        <w:rPr>
          <w:rFonts w:asciiTheme="majorHAnsi" w:hAnsiTheme="majorHAnsi" w:cstheme="majorHAnsi"/>
          <w:sz w:val="22"/>
          <w:szCs w:val="22"/>
          <w:lang w:val="en-CA"/>
        </w:rPr>
      </w:pPr>
    </w:p>
    <w:p w14:paraId="3D1128C6" w14:textId="16686A7D" w:rsidR="00AC13FD" w:rsidRPr="00214670" w:rsidRDefault="001A0F4B"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O</w:t>
      </w:r>
      <w:r w:rsidR="00474C2B" w:rsidRPr="00214670">
        <w:rPr>
          <w:rFonts w:asciiTheme="majorHAnsi" w:hAnsiTheme="majorHAnsi" w:cstheme="majorHAnsi"/>
          <w:sz w:val="22"/>
          <w:szCs w:val="22"/>
          <w:lang w:val="en-CA"/>
        </w:rPr>
        <w:t xml:space="preserve">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00474C2B"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32C63532" w14:textId="04954261" w:rsidR="00C07575" w:rsidRDefault="00C07575">
      <w:pPr>
        <w:rPr>
          <w:rFonts w:asciiTheme="majorHAnsi" w:eastAsia="Times New Roman" w:hAnsiTheme="majorHAnsi" w:cstheme="majorHAnsi"/>
          <w:b/>
          <w:bCs/>
        </w:rPr>
      </w:pPr>
    </w:p>
    <w:p w14:paraId="36FAF78E" w14:textId="77777777" w:rsidR="00A14ED1" w:rsidRPr="00A14ED1" w:rsidRDefault="00A14ED1" w:rsidP="00A14ED1">
      <w:pPr>
        <w:numPr>
          <w:ilvl w:val="0"/>
          <w:numId w:val="28"/>
        </w:numPr>
        <w:spacing w:after="160" w:line="259" w:lineRule="auto"/>
        <w:contextualSpacing/>
        <w:rPr>
          <w:rFonts w:asciiTheme="majorHAnsi" w:eastAsia="Times New Roman" w:hAnsiTheme="majorHAnsi" w:cs="Calibri Light"/>
          <w:u w:val="single"/>
        </w:rPr>
      </w:pPr>
      <w:r w:rsidRPr="00A14ED1">
        <w:rPr>
          <w:rFonts w:asciiTheme="majorHAnsi" w:eastAsia="Times New Roman" w:hAnsiTheme="majorHAnsi" w:cs="Calibri Light"/>
          <w:b/>
          <w:bCs/>
          <w:u w:val="single"/>
        </w:rPr>
        <w:t>Carlisle Golf Club, 523 Carlisle Road, Carlisle (Hamilton)</w:t>
      </w:r>
    </w:p>
    <w:p w14:paraId="03418B9A" w14:textId="77777777" w:rsidR="001A0F4B" w:rsidRDefault="001A0F4B" w:rsidP="00A14ED1">
      <w:pPr>
        <w:jc w:val="both"/>
        <w:rPr>
          <w:rFonts w:asciiTheme="majorHAnsi" w:eastAsia="Times New Roman" w:hAnsiTheme="majorHAnsi" w:cs="Calibri Light"/>
        </w:rPr>
      </w:pPr>
    </w:p>
    <w:p w14:paraId="54F7DA7A" w14:textId="67675C01" w:rsidR="00A14ED1" w:rsidRPr="00A14ED1" w:rsidRDefault="00A14ED1" w:rsidP="00A14ED1">
      <w:pPr>
        <w:jc w:val="both"/>
        <w:rPr>
          <w:rFonts w:asciiTheme="majorHAnsi" w:eastAsia="Times New Roman" w:hAnsiTheme="majorHAnsi" w:cs="Calibri Light"/>
        </w:rPr>
      </w:pPr>
      <w:r w:rsidRPr="00A14ED1">
        <w:rPr>
          <w:rFonts w:asciiTheme="majorHAnsi" w:eastAsia="Times New Roman" w:hAnsiTheme="majorHAnsi" w:cs="Calibri Light"/>
        </w:rPr>
        <w:t xml:space="preserve">Firstly: PT LT 1, CON 9 EAST </w:t>
      </w:r>
      <w:proofErr w:type="gramStart"/>
      <w:r w:rsidRPr="00A14ED1">
        <w:rPr>
          <w:rFonts w:asciiTheme="majorHAnsi" w:eastAsia="Times New Roman" w:hAnsiTheme="majorHAnsi" w:cs="Calibri Light"/>
        </w:rPr>
        <w:t>FLAMBOROUGH ,</w:t>
      </w:r>
      <w:proofErr w:type="gramEnd"/>
      <w:r w:rsidRPr="00A14ED1">
        <w:rPr>
          <w:rFonts w:asciiTheme="majorHAnsi" w:eastAsia="Times New Roman" w:hAnsiTheme="majorHAnsi" w:cs="Calibri Light"/>
        </w:rPr>
        <w:t xml:space="preserve"> AS IN VM16441 ; PT LTS 2 &amp; 3, CON 9 EAST FLAMBOROUGH, PART 1 , 62R12398 , PT LTS 2 &amp; 3, CON 9 EAST (PIN 17523-0303 (LT))</w:t>
      </w:r>
    </w:p>
    <w:p w14:paraId="6D59564C" w14:textId="77777777" w:rsidR="00A14ED1" w:rsidRPr="00A14ED1" w:rsidRDefault="00A14ED1" w:rsidP="00A14ED1">
      <w:pPr>
        <w:jc w:val="both"/>
        <w:rPr>
          <w:rFonts w:asciiTheme="majorHAnsi" w:eastAsia="Times New Roman" w:hAnsiTheme="majorHAnsi" w:cs="Calibri Light"/>
        </w:rPr>
      </w:pPr>
      <w:r w:rsidRPr="00A14ED1">
        <w:rPr>
          <w:rFonts w:asciiTheme="majorHAnsi" w:eastAsia="Times New Roman" w:hAnsiTheme="majorHAnsi" w:cs="Calibri Light"/>
        </w:rPr>
        <w:t xml:space="preserve">Secondly: PT LT 2, CON 9 EAST </w:t>
      </w:r>
      <w:proofErr w:type="gramStart"/>
      <w:r w:rsidRPr="00A14ED1">
        <w:rPr>
          <w:rFonts w:asciiTheme="majorHAnsi" w:eastAsia="Times New Roman" w:hAnsiTheme="majorHAnsi" w:cs="Calibri Light"/>
        </w:rPr>
        <w:t>FLAMBOROUGH ,</w:t>
      </w:r>
      <w:proofErr w:type="gramEnd"/>
      <w:r w:rsidRPr="00A14ED1">
        <w:rPr>
          <w:rFonts w:asciiTheme="majorHAnsi" w:eastAsia="Times New Roman" w:hAnsiTheme="majorHAnsi" w:cs="Calibri Light"/>
        </w:rPr>
        <w:t xml:space="preserve"> PART 4 , 62R8143 ; FLAMBOROUGH CITY OF HAMILTON (17523-0301 (LT-))</w:t>
      </w:r>
    </w:p>
    <w:p w14:paraId="17508C76" w14:textId="77777777" w:rsidR="00A14ED1" w:rsidRPr="00A14ED1" w:rsidRDefault="00A14ED1" w:rsidP="00A14ED1">
      <w:pPr>
        <w:rPr>
          <w:rFonts w:asciiTheme="majorHAnsi" w:eastAsia="Times New Roman" w:hAnsiTheme="majorHAnsi" w:cs="Calibri Light"/>
        </w:rPr>
      </w:pPr>
    </w:p>
    <w:p w14:paraId="08293F3F" w14:textId="77777777" w:rsidR="00A14ED1" w:rsidRPr="00A14ED1" w:rsidRDefault="00A14ED1" w:rsidP="00A14ED1">
      <w:pPr>
        <w:jc w:val="both"/>
        <w:rPr>
          <w:rFonts w:eastAsia="Times New Roman"/>
        </w:rPr>
      </w:pPr>
      <w:r w:rsidRPr="00A14ED1">
        <w:rPr>
          <w:rFonts w:eastAsia="Times New Roman"/>
        </w:rPr>
        <w:t xml:space="preserve">The Site is located adjacent to a residential community. Development adjacent to existing urban areas with sufficient infrastructure is appropriate. </w:t>
      </w:r>
      <w:r w:rsidRPr="00A14ED1">
        <w:rPr>
          <w:rFonts w:asciiTheme="majorHAnsi" w:eastAsia="Times New Roman" w:hAnsiTheme="majorHAnsi" w:cs="Calibri Light"/>
        </w:rPr>
        <w:t xml:space="preserve">West of the Site is a Rail corridor, and community infrastructure in Carlisle such as parks, schools, and recreational facilities that may support the subject lands to be exempt from protected countryside policies. </w:t>
      </w:r>
      <w:r w:rsidRPr="00A14ED1">
        <w:rPr>
          <w:rFonts w:eastAsia="Times New Roman"/>
        </w:rPr>
        <w:t xml:space="preserve">Frontage on Carlisle Road (approximately 20 acres) was contemplated for housing development in 1997, prior to the Greenbelt Plan coming into effect. </w:t>
      </w:r>
    </w:p>
    <w:p w14:paraId="316C0617" w14:textId="77777777" w:rsidR="00A14ED1" w:rsidRPr="00A14ED1" w:rsidRDefault="00A14ED1" w:rsidP="00A14ED1">
      <w:pPr>
        <w:rPr>
          <w:rFonts w:asciiTheme="majorHAnsi" w:eastAsia="Times New Roman" w:hAnsiTheme="majorHAnsi" w:cs="Calibri Light"/>
        </w:rPr>
      </w:pPr>
      <w:r w:rsidRPr="00A14ED1">
        <w:rPr>
          <w:rFonts w:asciiTheme="majorHAnsi" w:eastAsia="Times New Roman" w:hAnsiTheme="majorHAnsi" w:cs="Calibri Light"/>
        </w:rPr>
        <w:t> </w:t>
      </w:r>
    </w:p>
    <w:p w14:paraId="179798F0" w14:textId="2DD2E2AA" w:rsidR="00A14ED1" w:rsidRDefault="00A14ED1" w:rsidP="00A14ED1">
      <w:pPr>
        <w:pStyle w:val="ListParagraph"/>
        <w:spacing w:after="0" w:line="240" w:lineRule="auto"/>
        <w:contextualSpacing w:val="0"/>
        <w:rPr>
          <w:noProof/>
        </w:rPr>
      </w:pPr>
      <w:r w:rsidRPr="00A14ED1">
        <w:rPr>
          <w:rFonts w:ascii="Calibri" w:eastAsia="Times New Roman" w:hAnsi="Calibri" w:cs="Calibri"/>
          <w:noProof/>
        </w:rPr>
        <w:lastRenderedPageBreak/>
        <w:drawing>
          <wp:inline distT="0" distB="0" distL="0" distR="0" wp14:anchorId="23F9889F" wp14:editId="5587FF57">
            <wp:extent cx="5913120" cy="3314700"/>
            <wp:effectExtent l="0" t="0" r="0" b="0"/>
            <wp:docPr id="1" name="Picture 1"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120" cy="3314700"/>
                    </a:xfrm>
                    <a:prstGeom prst="rect">
                      <a:avLst/>
                    </a:prstGeom>
                    <a:noFill/>
                    <a:ln>
                      <a:noFill/>
                    </a:ln>
                  </pic:spPr>
                </pic:pic>
              </a:graphicData>
            </a:graphic>
          </wp:inline>
        </w:drawing>
      </w:r>
    </w:p>
    <w:p w14:paraId="0E4E656F" w14:textId="77777777" w:rsidR="00A14ED1" w:rsidRPr="00A14ED1" w:rsidRDefault="00A14ED1" w:rsidP="00A14ED1">
      <w:pPr>
        <w:pStyle w:val="ListParagraph"/>
        <w:spacing w:after="0" w:line="240" w:lineRule="auto"/>
        <w:contextualSpacing w:val="0"/>
        <w:rPr>
          <w:noProof/>
        </w:rPr>
      </w:pPr>
    </w:p>
    <w:p w14:paraId="495E9408" w14:textId="2CB42FB9" w:rsidR="00E60C5B" w:rsidRPr="005A07EB" w:rsidRDefault="00E64F88" w:rsidP="00A14ED1">
      <w:pPr>
        <w:pStyle w:val="ListParagraph"/>
        <w:numPr>
          <w:ilvl w:val="0"/>
          <w:numId w:val="28"/>
        </w:numPr>
        <w:spacing w:after="0" w:line="240" w:lineRule="auto"/>
        <w:contextualSpacing w:val="0"/>
        <w:rPr>
          <w:noProof/>
        </w:rPr>
      </w:pPr>
      <w:r w:rsidRPr="005A07EB">
        <w:rPr>
          <w:rFonts w:asciiTheme="majorHAnsi" w:eastAsia="Times New Roman" w:hAnsiTheme="majorHAnsi" w:cstheme="majorHAnsi"/>
          <w:b/>
          <w:bCs/>
          <w:u w:val="single"/>
        </w:rPr>
        <w:t>Century Pines Golf Club, 592 Westover Road, Hamilton</w:t>
      </w:r>
      <w:r w:rsidR="00E60C5B" w:rsidRPr="005A07EB">
        <w:rPr>
          <w:rFonts w:asciiTheme="majorHAnsi" w:eastAsia="Times New Roman" w:hAnsiTheme="majorHAnsi" w:cstheme="majorHAnsi"/>
          <w:b/>
          <w:bCs/>
          <w:u w:val="single"/>
        </w:rPr>
        <w:t xml:space="preserve"> </w:t>
      </w:r>
    </w:p>
    <w:p w14:paraId="54B00E95" w14:textId="77777777" w:rsidR="005A07EB" w:rsidRDefault="005A07EB" w:rsidP="005A07EB">
      <w:pPr>
        <w:pStyle w:val="ListParagraph"/>
        <w:spacing w:after="0" w:line="240" w:lineRule="auto"/>
        <w:contextualSpacing w:val="0"/>
        <w:rPr>
          <w:noProof/>
        </w:rPr>
      </w:pPr>
    </w:p>
    <w:p w14:paraId="248EBED3" w14:textId="2C057D78" w:rsidR="00AA1BC4" w:rsidRPr="003362BD" w:rsidRDefault="00AA1BC4" w:rsidP="00E60C5B">
      <w:pPr>
        <w:rPr>
          <w:rFonts w:asciiTheme="majorHAnsi" w:eastAsia="Times New Roman" w:hAnsiTheme="majorHAnsi" w:cstheme="majorHAnsi"/>
        </w:rPr>
      </w:pPr>
      <w:r w:rsidRPr="003362BD">
        <w:rPr>
          <w:rFonts w:asciiTheme="majorHAnsi" w:eastAsia="Times New Roman" w:hAnsiTheme="majorHAnsi" w:cstheme="majorHAnsi"/>
        </w:rPr>
        <w:t>PT LT 31 CON 3 BEVERLY AS IN VM176588 LYING N OF SODOM RD EXCEPT: CD276677, PT 1 ON 62R8545 &amp; PT 1 ON 62R15581; SAVE AND EXCEPT (PIN 17550-0176 (LT))</w:t>
      </w:r>
    </w:p>
    <w:p w14:paraId="1C2A4E36" w14:textId="77777777" w:rsidR="004A4B71" w:rsidRPr="00214670" w:rsidRDefault="004A4B71" w:rsidP="004A4B71">
      <w:pPr>
        <w:pStyle w:val="ListParagraph"/>
        <w:spacing w:after="0" w:line="240" w:lineRule="auto"/>
        <w:ind w:left="1440"/>
        <w:contextualSpacing w:val="0"/>
        <w:rPr>
          <w:rFonts w:asciiTheme="majorHAnsi" w:hAnsiTheme="majorHAnsi" w:cstheme="majorHAnsi"/>
        </w:rPr>
      </w:pPr>
    </w:p>
    <w:p w14:paraId="344DB1CA" w14:textId="1304BD21" w:rsidR="005A07EB" w:rsidRDefault="005A07EB" w:rsidP="005A07EB">
      <w:pPr>
        <w:rPr>
          <w:rFonts w:eastAsia="Times New Roman"/>
        </w:rPr>
      </w:pPr>
      <w:r>
        <w:rPr>
          <w:rFonts w:eastAsia="Times New Roman"/>
        </w:rPr>
        <w:t>The subject lands are located adjacent to a highway junction, with access to Highways 5, 8, and 52. Servicing and infrastructure is available by the Site.</w:t>
      </w:r>
      <w:r w:rsidR="002A7A94">
        <w:rPr>
          <w:rFonts w:eastAsia="Times New Roman"/>
        </w:rPr>
        <w:t xml:space="preserve"> Public and private services are located within proximity to the Site. To maximize the best use of the land, the lands should </w:t>
      </w:r>
      <w:proofErr w:type="gramStart"/>
      <w:r w:rsidR="002A7A94">
        <w:rPr>
          <w:rFonts w:eastAsia="Times New Roman"/>
        </w:rPr>
        <w:t>be considered to be</w:t>
      </w:r>
      <w:proofErr w:type="gramEnd"/>
      <w:r w:rsidR="002A7A94">
        <w:rPr>
          <w:rFonts w:eastAsia="Times New Roman"/>
        </w:rPr>
        <w:t xml:space="preserve"> removed from the Country</w:t>
      </w:r>
      <w:r w:rsidR="003D675B">
        <w:rPr>
          <w:rFonts w:eastAsia="Times New Roman"/>
        </w:rPr>
        <w:t>s</w:t>
      </w:r>
      <w:r w:rsidR="002A7A94">
        <w:rPr>
          <w:rFonts w:eastAsia="Times New Roman"/>
        </w:rPr>
        <w:t xml:space="preserve">ide Regulated Area. </w:t>
      </w:r>
    </w:p>
    <w:p w14:paraId="50EAD016" w14:textId="156A0F03" w:rsidR="00CF44E9" w:rsidRDefault="003B4AFB" w:rsidP="00CF44E9">
      <w:pPr>
        <w:rPr>
          <w:rFonts w:asciiTheme="majorHAnsi" w:eastAsia="Times New Roman" w:hAnsiTheme="majorHAnsi" w:cstheme="majorHAnsi"/>
          <w:b/>
          <w:bCs/>
        </w:rPr>
      </w:pPr>
      <w:r>
        <w:rPr>
          <w:noProof/>
        </w:rPr>
        <w:lastRenderedPageBreak/>
        <w:drawing>
          <wp:inline distT="0" distB="0" distL="0" distR="0" wp14:anchorId="719B211D" wp14:editId="07C05493">
            <wp:extent cx="5608320" cy="3145692"/>
            <wp:effectExtent l="0" t="0" r="0" b="0"/>
            <wp:docPr id="14" name="Picture 1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city&#10;&#10;Description automatically generated with low confidence"/>
                    <pic:cNvPicPr/>
                  </pic:nvPicPr>
                  <pic:blipFill>
                    <a:blip r:embed="rId9"/>
                    <a:stretch>
                      <a:fillRect/>
                    </a:stretch>
                  </pic:blipFill>
                  <pic:spPr>
                    <a:xfrm>
                      <a:off x="0" y="0"/>
                      <a:ext cx="5608320" cy="3145692"/>
                    </a:xfrm>
                    <a:prstGeom prst="rect">
                      <a:avLst/>
                    </a:prstGeom>
                  </pic:spPr>
                </pic:pic>
              </a:graphicData>
            </a:graphic>
          </wp:inline>
        </w:drawing>
      </w:r>
    </w:p>
    <w:p w14:paraId="20CEA40F" w14:textId="32788F3E" w:rsidR="002A5EB2" w:rsidRDefault="002A5EB2" w:rsidP="00CF44E9">
      <w:pPr>
        <w:rPr>
          <w:rFonts w:asciiTheme="majorHAnsi" w:eastAsia="Times New Roman" w:hAnsiTheme="majorHAnsi" w:cstheme="majorHAnsi"/>
          <w:b/>
          <w:bCs/>
        </w:rPr>
      </w:pPr>
    </w:p>
    <w:p w14:paraId="17E26B76" w14:textId="77777777" w:rsidR="002A5EB2" w:rsidRPr="002A5EB2" w:rsidRDefault="002A5EB2" w:rsidP="002A5EB2">
      <w:pPr>
        <w:numPr>
          <w:ilvl w:val="0"/>
          <w:numId w:val="29"/>
        </w:numPr>
        <w:jc w:val="both"/>
        <w:rPr>
          <w:rFonts w:asciiTheme="majorHAnsi" w:eastAsia="Times New Roman" w:hAnsiTheme="majorHAnsi" w:cs="Calibri Light"/>
          <w:color w:val="000000"/>
          <w:spacing w:val="-3"/>
          <w:u w:val="single"/>
          <w:lang w:val="en-US"/>
        </w:rPr>
      </w:pPr>
      <w:r w:rsidRPr="002A5EB2">
        <w:rPr>
          <w:rFonts w:asciiTheme="majorHAnsi" w:eastAsia="Arial Unicode MS" w:hAnsiTheme="majorHAnsi" w:cs="Calibri Light"/>
          <w:b/>
          <w:bCs/>
          <w:color w:val="000000"/>
          <w:spacing w:val="-3"/>
          <w:u w:val="single"/>
        </w:rPr>
        <w:t>311</w:t>
      </w:r>
      <w:r w:rsidRPr="002A5EB2">
        <w:rPr>
          <w:rFonts w:asciiTheme="majorHAnsi" w:eastAsia="Times New Roman" w:hAnsiTheme="majorHAnsi" w:cs="Calibri Light"/>
          <w:b/>
          <w:bCs/>
          <w:color w:val="000000"/>
          <w:spacing w:val="-3"/>
          <w:u w:val="single"/>
        </w:rPr>
        <w:t xml:space="preserve"> Butter Road E, Hamilton, ON   </w:t>
      </w:r>
    </w:p>
    <w:p w14:paraId="64415340" w14:textId="77777777" w:rsidR="002A5EB2" w:rsidRPr="002A5EB2" w:rsidRDefault="002A5EB2" w:rsidP="002A5EB2">
      <w:pPr>
        <w:jc w:val="both"/>
        <w:rPr>
          <w:rFonts w:asciiTheme="majorHAnsi" w:eastAsia="Times New Roman" w:hAnsiTheme="majorHAnsi" w:cs="Calibri Light"/>
          <w:b/>
          <w:bCs/>
        </w:rPr>
      </w:pPr>
    </w:p>
    <w:p w14:paraId="39239FBC" w14:textId="77777777" w:rsidR="002A5EB2" w:rsidRPr="002A5EB2" w:rsidRDefault="002A5EB2" w:rsidP="002A5EB2">
      <w:pPr>
        <w:jc w:val="both"/>
        <w:rPr>
          <w:rFonts w:asciiTheme="majorHAnsi" w:eastAsia="Times New Roman" w:hAnsiTheme="majorHAnsi" w:cs="Calibri Light"/>
        </w:rPr>
      </w:pPr>
      <w:r w:rsidRPr="002A5EB2">
        <w:rPr>
          <w:rFonts w:asciiTheme="majorHAnsi" w:eastAsia="Times New Roman" w:hAnsiTheme="majorHAnsi" w:cs="Calibri Light"/>
        </w:rPr>
        <w:t xml:space="preserve">PT LT 45 CON 5 ANC, AS IN CD472275, SAVE &amp; EX PTS 1, 2 &amp; 3 ON WE99032, AND SAVE &amp; EX PT LT 45 CON 5 ANC BEING LANDS LYING TO WEST OF PT 2 </w:t>
      </w:r>
      <w:proofErr w:type="gramStart"/>
      <w:r w:rsidRPr="002A5EB2">
        <w:rPr>
          <w:rFonts w:asciiTheme="majorHAnsi" w:eastAsia="Times New Roman" w:hAnsiTheme="majorHAnsi" w:cs="Calibri Light"/>
        </w:rPr>
        <w:t>ON(</w:t>
      </w:r>
      <w:proofErr w:type="gramEnd"/>
      <w:r w:rsidRPr="002A5EB2">
        <w:rPr>
          <w:rFonts w:asciiTheme="majorHAnsi" w:eastAsia="Times New Roman" w:hAnsiTheme="majorHAnsi" w:cs="Calibri Light"/>
        </w:rPr>
        <w:t>PIN 17399-0281 (LT))</w:t>
      </w:r>
    </w:p>
    <w:p w14:paraId="26B3AED7" w14:textId="77777777" w:rsidR="002A5EB2" w:rsidRPr="002A5EB2" w:rsidRDefault="002A5EB2" w:rsidP="002A5EB2">
      <w:pPr>
        <w:ind w:left="1440"/>
        <w:rPr>
          <w:rFonts w:asciiTheme="majorHAnsi" w:eastAsia="Times New Roman" w:hAnsiTheme="majorHAnsi" w:cs="Calibri Light"/>
          <w:color w:val="000000"/>
        </w:rPr>
      </w:pPr>
    </w:p>
    <w:p w14:paraId="564722C7" w14:textId="77777777" w:rsidR="002A5EB2" w:rsidRPr="002A5EB2" w:rsidRDefault="002A5EB2" w:rsidP="002A5EB2">
      <w:pPr>
        <w:jc w:val="both"/>
        <w:rPr>
          <w:rFonts w:eastAsia="Times New Roman"/>
        </w:rPr>
      </w:pPr>
      <w:r w:rsidRPr="002A5EB2">
        <w:rPr>
          <w:rFonts w:eastAsia="Times New Roman"/>
        </w:rPr>
        <w:t xml:space="preserve">In accordance with </w:t>
      </w:r>
      <w:proofErr w:type="spellStart"/>
      <w:r w:rsidRPr="002A5EB2">
        <w:rPr>
          <w:rFonts w:eastAsia="Times New Roman"/>
        </w:rPr>
        <w:t>Kaneff’s</w:t>
      </w:r>
      <w:proofErr w:type="spellEnd"/>
      <w:r w:rsidRPr="002A5EB2">
        <w:rPr>
          <w:rFonts w:eastAsia="Times New Roman"/>
        </w:rPr>
        <w:t xml:space="preserve"> letter dated March 27, </w:t>
      </w:r>
      <w:proofErr w:type="gramStart"/>
      <w:r w:rsidRPr="002A5EB2">
        <w:rPr>
          <w:rFonts w:eastAsia="Times New Roman"/>
        </w:rPr>
        <w:t>2020</w:t>
      </w:r>
      <w:proofErr w:type="gramEnd"/>
      <w:r w:rsidRPr="002A5EB2">
        <w:rPr>
          <w:rFonts w:eastAsia="Times New Roman"/>
        </w:rPr>
        <w:t xml:space="preserve"> to Minister Clark, part of Site is located within the Greenbelt and should be considered to be removed. Surrounding parcels of the Site are not regulated by the Greenbelt Plan. The subject lands could support and grow Hamilton International Airport's economic potential. </w:t>
      </w:r>
    </w:p>
    <w:p w14:paraId="730A8A1C" w14:textId="385A3076" w:rsidR="002A5EB2" w:rsidRPr="002A5EB2" w:rsidRDefault="002A5EB2" w:rsidP="002A5EB2">
      <w:pPr>
        <w:rPr>
          <w:rFonts w:asciiTheme="majorHAnsi" w:eastAsia="Times New Roman" w:hAnsiTheme="majorHAnsi" w:cs="Calibri Light"/>
        </w:rPr>
      </w:pPr>
      <w:r w:rsidRPr="002A5EB2">
        <w:rPr>
          <w:rFonts w:eastAsia="Times New Roman"/>
          <w:noProof/>
        </w:rPr>
        <w:lastRenderedPageBreak/>
        <w:drawing>
          <wp:inline distT="0" distB="0" distL="0" distR="0" wp14:anchorId="59FB4712" wp14:editId="3E378A9B">
            <wp:extent cx="5410200" cy="3040616"/>
            <wp:effectExtent l="0" t="0" r="0" b="7620"/>
            <wp:docPr id="2" name="Picture 2"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0" cy="3040616"/>
                    </a:xfrm>
                    <a:prstGeom prst="rect">
                      <a:avLst/>
                    </a:prstGeom>
                    <a:noFill/>
                    <a:ln>
                      <a:noFill/>
                    </a:ln>
                  </pic:spPr>
                </pic:pic>
              </a:graphicData>
            </a:graphic>
          </wp:inline>
        </w:drawing>
      </w:r>
    </w:p>
    <w:p w14:paraId="561C156A" w14:textId="77777777" w:rsidR="002A5EB2" w:rsidRPr="0040601E" w:rsidRDefault="002A5EB2" w:rsidP="00CF44E9">
      <w:pPr>
        <w:rPr>
          <w:rFonts w:asciiTheme="majorHAnsi" w:eastAsia="Times New Roman" w:hAnsiTheme="majorHAnsi" w:cstheme="majorHAnsi"/>
          <w:b/>
          <w:bCs/>
        </w:rPr>
      </w:pPr>
    </w:p>
    <w:sectPr w:rsidR="002A5EB2" w:rsidRPr="0040601E" w:rsidSect="00054D04">
      <w:headerReference w:type="default" r:id="rId11"/>
      <w:footerReference w:type="default" r:id="rId12"/>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7FA3B2-7EFF-47DE-833F-9FFD732F68CC}"/>
    <w:embedBold r:id="rId2" w:fontKey="{215A5D20-5AAB-4632-8F03-A1AA09B8E463}"/>
  </w:font>
  <w:font w:name="Nunito Sans Light">
    <w:panose1 w:val="00000400000000000000"/>
    <w:charset w:val="00"/>
    <w:family w:val="auto"/>
    <w:pitch w:val="variable"/>
    <w:sig w:usb0="20000007" w:usb1="00000001" w:usb2="00000000" w:usb3="00000000" w:csb0="00000193" w:csb1="00000000"/>
    <w:embedRegular r:id="rId3" w:fontKey="{1D2CF085-93F8-4800-B718-9495BD133575}"/>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CA1FBC21-308F-47E3-83FF-3540659733C4}"/>
    <w:embedBold r:id="rId5" w:fontKey="{2CD05242-07A8-48F8-8FD5-241BAD7C5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001FD7"/>
    <w:multiLevelType w:val="hybridMultilevel"/>
    <w:tmpl w:val="3E1C11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0F4B"/>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5EB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14ED1"/>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6</cp:revision>
  <cp:lastPrinted>2022-03-23T18:29:00Z</cp:lastPrinted>
  <dcterms:created xsi:type="dcterms:W3CDTF">2022-12-04T15:45:00Z</dcterms:created>
  <dcterms:modified xsi:type="dcterms:W3CDTF">2022-12-05T03:42:00Z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