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58A49" w14:textId="77777777" w:rsidR="00EB688D" w:rsidRPr="00EB688D" w:rsidRDefault="00B93EF2" w:rsidP="00EB688D">
      <w:pPr>
        <w:pStyle w:val="Heading1"/>
        <w:shd w:val="clear" w:color="auto" w:fill="FFFFFF"/>
        <w:spacing w:before="0"/>
        <w:rPr>
          <w:rFonts w:ascii="Helvetica" w:eastAsia="Times New Roman" w:hAnsi="Helvetica" w:cs="Helvetica"/>
          <w:b/>
          <w:bCs/>
          <w:color w:val="1A1A1A"/>
          <w:kern w:val="36"/>
          <w:sz w:val="48"/>
          <w:szCs w:val="48"/>
        </w:rPr>
      </w:pPr>
      <w:r>
        <w:rPr>
          <w:rFonts w:ascii="Helvetica" w:eastAsia="Times New Roman" w:hAnsi="Helvetica" w:cs="Helvetica"/>
          <w:b/>
          <w:bCs/>
          <w:color w:val="1A1A1A"/>
          <w:sz w:val="27"/>
          <w:szCs w:val="27"/>
        </w:rPr>
        <w:t xml:space="preserve">From </w:t>
      </w:r>
      <w:r w:rsidR="00EB688D" w:rsidRPr="00EB688D">
        <w:rPr>
          <w:rFonts w:ascii="Helvetica" w:eastAsia="Times New Roman" w:hAnsi="Helvetica" w:cs="Helvetica"/>
          <w:b/>
          <w:bCs/>
          <w:color w:val="1A1A1A"/>
          <w:kern w:val="36"/>
          <w:sz w:val="48"/>
          <w:szCs w:val="48"/>
        </w:rPr>
        <w:t>A Place to Grow: Growth plan for the Greater Golden Horseshoe</w:t>
      </w:r>
    </w:p>
    <w:p w14:paraId="79F44E04" w14:textId="71AB6101" w:rsidR="003D0A5F" w:rsidRPr="003D0A5F" w:rsidRDefault="003D0A5F" w:rsidP="003D0A5F">
      <w:pPr>
        <w:shd w:val="clear" w:color="auto" w:fill="FFFFFF"/>
        <w:spacing w:before="100" w:beforeAutospacing="1" w:after="100" w:afterAutospacing="1" w:line="630" w:lineRule="atLeast"/>
        <w:outlineLvl w:val="2"/>
        <w:rPr>
          <w:rFonts w:ascii="Helvetica" w:eastAsia="Times New Roman" w:hAnsi="Helvetica" w:cs="Helvetica"/>
          <w:b/>
          <w:bCs/>
          <w:color w:val="1A1A1A"/>
          <w:sz w:val="27"/>
          <w:szCs w:val="27"/>
        </w:rPr>
      </w:pPr>
      <w:r w:rsidRPr="003D0A5F">
        <w:rPr>
          <w:rFonts w:ascii="Helvetica" w:eastAsia="Times New Roman" w:hAnsi="Helvetica" w:cs="Helvetica"/>
          <w:b/>
          <w:bCs/>
          <w:color w:val="1A1A1A"/>
          <w:sz w:val="27"/>
          <w:szCs w:val="27"/>
        </w:rPr>
        <w:t>Vision for the GGH</w:t>
      </w:r>
    </w:p>
    <w:p w14:paraId="2C61E6E4" w14:textId="77777777" w:rsidR="003D0A5F" w:rsidRPr="003D0A5F" w:rsidRDefault="003D0A5F" w:rsidP="003D0A5F">
      <w:pPr>
        <w:shd w:val="clear" w:color="auto" w:fill="FFFFFF"/>
        <w:spacing w:before="100" w:beforeAutospacing="1" w:after="100" w:afterAutospacing="1" w:line="240" w:lineRule="auto"/>
        <w:rPr>
          <w:rFonts w:ascii="Helvetica" w:eastAsia="Times New Roman" w:hAnsi="Helvetica" w:cs="Helvetica"/>
          <w:color w:val="1A1A1A"/>
          <w:sz w:val="24"/>
          <w:szCs w:val="24"/>
        </w:rPr>
      </w:pPr>
      <w:r w:rsidRPr="003D0A5F">
        <w:rPr>
          <w:rFonts w:ascii="Helvetica" w:eastAsia="Times New Roman" w:hAnsi="Helvetica" w:cs="Helvetica"/>
          <w:color w:val="1A1A1A"/>
          <w:sz w:val="24"/>
          <w:szCs w:val="24"/>
        </w:rPr>
        <w:t>More than anything, the </w:t>
      </w:r>
      <w:r w:rsidRPr="003D0A5F">
        <w:rPr>
          <w:rFonts w:ascii="Helvetica" w:eastAsia="Times New Roman" w:hAnsi="Helvetica" w:cs="Helvetica"/>
          <w:i/>
          <w:iCs/>
          <w:color w:val="1A1A1A"/>
          <w:sz w:val="24"/>
          <w:szCs w:val="24"/>
        </w:rPr>
        <w:t>Greater Golden Horseshoe (GGH)</w:t>
      </w:r>
      <w:r w:rsidRPr="003D0A5F">
        <w:rPr>
          <w:rFonts w:ascii="Helvetica" w:eastAsia="Times New Roman" w:hAnsi="Helvetica" w:cs="Helvetica"/>
          <w:color w:val="1A1A1A"/>
          <w:sz w:val="24"/>
          <w:szCs w:val="24"/>
        </w:rPr>
        <w:t> will continue to be a great place to live, work and play. Its communities will be supported by a strong economy and an approach that puts people first. This approach protects the Greenbelt and will ensure a cleaner environment is passed on to future generations. A Place to Grow will support the achievement of </w:t>
      </w:r>
      <w:r w:rsidRPr="003D0A5F">
        <w:rPr>
          <w:rFonts w:ascii="Helvetica" w:eastAsia="Times New Roman" w:hAnsi="Helvetica" w:cs="Helvetica"/>
          <w:i/>
          <w:iCs/>
          <w:color w:val="1A1A1A"/>
          <w:sz w:val="24"/>
          <w:szCs w:val="24"/>
        </w:rPr>
        <w:t>complete communities</w:t>
      </w:r>
      <w:r w:rsidRPr="003D0A5F">
        <w:rPr>
          <w:rFonts w:ascii="Helvetica" w:eastAsia="Times New Roman" w:hAnsi="Helvetica" w:cs="Helvetica"/>
          <w:color w:val="1A1A1A"/>
          <w:sz w:val="24"/>
          <w:szCs w:val="24"/>
        </w:rPr>
        <w:t> with access to transit networks, protected employment zones and an increase in the amount and variety of housing available.</w:t>
      </w:r>
    </w:p>
    <w:p w14:paraId="1D65C254" w14:textId="2A632600" w:rsidR="00DC2BFD" w:rsidRDefault="00EA3FB8">
      <w:pPr>
        <w:rPr>
          <w:rFonts w:ascii="Helvetica" w:hAnsi="Helvetica" w:cs="Helvetica"/>
          <w:color w:val="1A1A1A"/>
          <w:shd w:val="clear" w:color="auto" w:fill="FFFFFF"/>
        </w:rPr>
      </w:pPr>
      <w:r>
        <w:rPr>
          <w:rFonts w:ascii="Helvetica" w:hAnsi="Helvetica" w:cs="Helvetica"/>
          <w:color w:val="1A1A1A"/>
          <w:shd w:val="clear" w:color="auto" w:fill="FFFFFF"/>
        </w:rPr>
        <w:t>A healthy natural environment with clean air, land, and water will characterize the </w:t>
      </w:r>
      <w:r>
        <w:rPr>
          <w:rStyle w:val="HTMLCite"/>
          <w:rFonts w:ascii="Helvetica" w:hAnsi="Helvetica" w:cs="Helvetica"/>
          <w:color w:val="1A1A1A"/>
          <w:shd w:val="clear" w:color="auto" w:fill="FFFFFF"/>
        </w:rPr>
        <w:t>GGH</w:t>
      </w:r>
      <w:r>
        <w:rPr>
          <w:rFonts w:ascii="Helvetica" w:hAnsi="Helvetica" w:cs="Helvetica"/>
          <w:color w:val="1A1A1A"/>
          <w:shd w:val="clear" w:color="auto" w:fill="FFFFFF"/>
        </w:rPr>
        <w:t>. The Greenbelt, including significant natural features, such as the Oak Ridges Moraine and the Niagara Escarpment, will continue to be enhanced and protected in perpetuity. The </w:t>
      </w:r>
      <w:r>
        <w:rPr>
          <w:rStyle w:val="HTMLCite"/>
          <w:rFonts w:ascii="Helvetica" w:hAnsi="Helvetica" w:cs="Helvetica"/>
          <w:color w:val="1A1A1A"/>
          <w:shd w:val="clear" w:color="auto" w:fill="FFFFFF"/>
        </w:rPr>
        <w:t>GGH's </w:t>
      </w:r>
      <w:r>
        <w:rPr>
          <w:rFonts w:ascii="Helvetica" w:hAnsi="Helvetica" w:cs="Helvetica"/>
          <w:color w:val="1A1A1A"/>
          <w:shd w:val="clear" w:color="auto" w:fill="FFFFFF"/>
        </w:rPr>
        <w:t>rivers and streams, forests and natural areas will be accessible for residents to enjoy their beauty. Our </w:t>
      </w:r>
      <w:r>
        <w:rPr>
          <w:rStyle w:val="HTMLCite"/>
          <w:rFonts w:ascii="Helvetica" w:hAnsi="Helvetica" w:cs="Helvetica"/>
          <w:color w:val="1A1A1A"/>
          <w:shd w:val="clear" w:color="auto" w:fill="FFFFFF"/>
        </w:rPr>
        <w:t>cultural heritage</w:t>
      </w:r>
      <w:r>
        <w:rPr>
          <w:rFonts w:ascii="Helvetica" w:hAnsi="Helvetica" w:cs="Helvetica"/>
          <w:color w:val="1A1A1A"/>
          <w:shd w:val="clear" w:color="auto" w:fill="FFFFFF"/>
        </w:rPr>
        <w:t> resources and open spaces in our cities, towns, and countryside will provide people with a sense of place.</w:t>
      </w:r>
    </w:p>
    <w:p w14:paraId="38B59209" w14:textId="28B03A6A" w:rsidR="00EB688D" w:rsidRDefault="00EB688D">
      <w:pPr>
        <w:rPr>
          <w:rFonts w:ascii="Helvetica" w:hAnsi="Helvetica" w:cs="Helvetica"/>
          <w:color w:val="1A1A1A"/>
          <w:shd w:val="clear" w:color="auto" w:fill="FFFFFF"/>
        </w:rPr>
      </w:pPr>
    </w:p>
    <w:p w14:paraId="5E5E6F9F" w14:textId="77777777" w:rsidR="00EB688D" w:rsidRDefault="00EB688D" w:rsidP="00EB688D">
      <w:pPr>
        <w:pStyle w:val="NormalWeb"/>
        <w:shd w:val="clear" w:color="auto" w:fill="FFFFFF"/>
        <w:rPr>
          <w:rFonts w:ascii="Helvetica" w:hAnsi="Helvetica" w:cs="Helvetica"/>
          <w:color w:val="1A1A1A"/>
        </w:rPr>
      </w:pPr>
      <w:r>
        <w:rPr>
          <w:rFonts w:ascii="Helvetica" w:hAnsi="Helvetica" w:cs="Helvetica"/>
          <w:color w:val="1A1A1A"/>
        </w:rPr>
        <w:t>Since the introduction of the Growth Plan for the Greater Golden Horseshoe in 2006, the region has seen a shift to more compact development patterns, a greater variety of housing options, more mixed-use development in </w:t>
      </w:r>
      <w:r>
        <w:rPr>
          <w:rStyle w:val="HTMLCite"/>
          <w:rFonts w:ascii="Helvetica" w:hAnsi="Helvetica" w:cs="Helvetica"/>
          <w:color w:val="1A1A1A"/>
        </w:rPr>
        <w:t>urban growth centres</w:t>
      </w:r>
      <w:r>
        <w:rPr>
          <w:rFonts w:ascii="Helvetica" w:hAnsi="Helvetica" w:cs="Helvetica"/>
          <w:color w:val="1A1A1A"/>
        </w:rPr>
        <w:t> and other </w:t>
      </w:r>
      <w:r>
        <w:rPr>
          <w:rStyle w:val="HTMLCite"/>
          <w:rFonts w:ascii="Helvetica" w:hAnsi="Helvetica" w:cs="Helvetica"/>
          <w:color w:val="1A1A1A"/>
        </w:rPr>
        <w:t>strategic growth areas</w:t>
      </w:r>
      <w:r>
        <w:rPr>
          <w:rFonts w:ascii="Helvetica" w:hAnsi="Helvetica" w:cs="Helvetica"/>
          <w:color w:val="1A1A1A"/>
        </w:rPr>
        <w:t>, and greater integration of transit and land use planning.</w:t>
      </w:r>
    </w:p>
    <w:p w14:paraId="67ED1E45" w14:textId="77777777" w:rsidR="00EB688D" w:rsidRDefault="00EB688D" w:rsidP="00EB688D">
      <w:pPr>
        <w:pStyle w:val="NormalWeb"/>
        <w:shd w:val="clear" w:color="auto" w:fill="FFFFFF"/>
        <w:rPr>
          <w:rFonts w:ascii="Helvetica" w:hAnsi="Helvetica" w:cs="Helvetica"/>
          <w:color w:val="1A1A1A"/>
        </w:rPr>
      </w:pPr>
      <w:r>
        <w:rPr>
          <w:rFonts w:ascii="Helvetica" w:hAnsi="Helvetica" w:cs="Helvetica"/>
          <w:color w:val="1A1A1A"/>
        </w:rPr>
        <w:t>Despite these early successes, there is still more work to do. Now is the time to build on the progress that has been made towards the achievement of </w:t>
      </w:r>
      <w:r>
        <w:rPr>
          <w:rStyle w:val="HTMLCite"/>
          <w:rFonts w:ascii="Helvetica" w:hAnsi="Helvetica" w:cs="Helvetica"/>
          <w:color w:val="1A1A1A"/>
        </w:rPr>
        <w:t>complete communities</w:t>
      </w:r>
      <w:r>
        <w:rPr>
          <w:rFonts w:ascii="Helvetica" w:hAnsi="Helvetica" w:cs="Helvetica"/>
          <w:color w:val="1A1A1A"/>
        </w:rPr>
        <w:t> that are compact, </w:t>
      </w:r>
      <w:r>
        <w:rPr>
          <w:rStyle w:val="HTMLCite"/>
          <w:rFonts w:ascii="Helvetica" w:hAnsi="Helvetica" w:cs="Helvetica"/>
          <w:color w:val="1A1A1A"/>
        </w:rPr>
        <w:t>transit-supportive</w:t>
      </w:r>
      <w:r>
        <w:rPr>
          <w:rFonts w:ascii="Helvetica" w:hAnsi="Helvetica" w:cs="Helvetica"/>
          <w:color w:val="1A1A1A"/>
        </w:rPr>
        <w:t>, and make effective use of investments in </w:t>
      </w:r>
      <w:r>
        <w:rPr>
          <w:rStyle w:val="HTMLCite"/>
          <w:rFonts w:ascii="Helvetica" w:hAnsi="Helvetica" w:cs="Helvetica"/>
          <w:color w:val="1A1A1A"/>
        </w:rPr>
        <w:t>infrastructure</w:t>
      </w:r>
      <w:r>
        <w:rPr>
          <w:rFonts w:ascii="Helvetica" w:hAnsi="Helvetica" w:cs="Helvetica"/>
          <w:color w:val="1A1A1A"/>
        </w:rPr>
        <w:t> and </w:t>
      </w:r>
      <w:r>
        <w:rPr>
          <w:rStyle w:val="HTMLCite"/>
          <w:rFonts w:ascii="Helvetica" w:hAnsi="Helvetica" w:cs="Helvetica"/>
          <w:color w:val="1A1A1A"/>
        </w:rPr>
        <w:t>public service facilities</w:t>
      </w:r>
      <w:r>
        <w:rPr>
          <w:rFonts w:ascii="Helvetica" w:hAnsi="Helvetica" w:cs="Helvetica"/>
          <w:color w:val="1A1A1A"/>
        </w:rPr>
        <w:t>. At the same time, A Place to Grow will continue to ensure protection of our agricultural and natural areas and support climate change mitigation and adaptation as Ontario moves towards the goal of environmentally sustainable communities.</w:t>
      </w:r>
    </w:p>
    <w:p w14:paraId="0BBDB181" w14:textId="16D03D97" w:rsidR="00EB688D" w:rsidRDefault="00EB688D"/>
    <w:p w14:paraId="220B764B" w14:textId="77777777" w:rsidR="00EB688D" w:rsidRPr="00EB688D" w:rsidRDefault="00EB688D" w:rsidP="00EB688D">
      <w:pPr>
        <w:shd w:val="clear" w:color="auto" w:fill="FFFFFF"/>
        <w:spacing w:before="100" w:beforeAutospacing="1" w:after="100" w:afterAutospacing="1" w:line="240" w:lineRule="auto"/>
        <w:outlineLvl w:val="2"/>
        <w:rPr>
          <w:rFonts w:ascii="Helvetica" w:eastAsia="Times New Roman" w:hAnsi="Helvetica" w:cs="Helvetica"/>
          <w:b/>
          <w:bCs/>
          <w:color w:val="1A1A1A"/>
          <w:sz w:val="27"/>
          <w:szCs w:val="27"/>
        </w:rPr>
      </w:pPr>
      <w:r w:rsidRPr="00EB688D">
        <w:rPr>
          <w:rFonts w:ascii="Helvetica" w:eastAsia="Times New Roman" w:hAnsi="Helvetica" w:cs="Helvetica"/>
          <w:b/>
          <w:bCs/>
          <w:color w:val="1A1A1A"/>
          <w:sz w:val="27"/>
          <w:szCs w:val="27"/>
        </w:rPr>
        <w:t>1.2.1 Guiding principles</w:t>
      </w:r>
    </w:p>
    <w:p w14:paraId="53CB9277" w14:textId="77777777" w:rsidR="00EB688D" w:rsidRPr="00EB688D" w:rsidRDefault="00EB688D" w:rsidP="00EB688D">
      <w:pPr>
        <w:numPr>
          <w:ilvl w:val="0"/>
          <w:numId w:val="1"/>
        </w:numPr>
        <w:shd w:val="clear" w:color="auto" w:fill="FFFFFF"/>
        <w:spacing w:before="100" w:beforeAutospacing="1" w:after="100" w:afterAutospacing="1" w:line="240" w:lineRule="auto"/>
        <w:rPr>
          <w:rFonts w:ascii="Helvetica" w:eastAsia="Times New Roman" w:hAnsi="Helvetica" w:cs="Helvetica"/>
          <w:color w:val="1A1A1A"/>
          <w:sz w:val="24"/>
          <w:szCs w:val="24"/>
        </w:rPr>
      </w:pPr>
      <w:r w:rsidRPr="00EB688D">
        <w:rPr>
          <w:rFonts w:ascii="Helvetica" w:eastAsia="Times New Roman" w:hAnsi="Helvetica" w:cs="Helvetica"/>
          <w:color w:val="1A1A1A"/>
          <w:sz w:val="24"/>
          <w:szCs w:val="24"/>
        </w:rPr>
        <w:t>Prioritize </w:t>
      </w:r>
      <w:r w:rsidRPr="00EB688D">
        <w:rPr>
          <w:rFonts w:ascii="Helvetica" w:eastAsia="Times New Roman" w:hAnsi="Helvetica" w:cs="Helvetica"/>
          <w:i/>
          <w:iCs/>
          <w:color w:val="1A1A1A"/>
          <w:sz w:val="24"/>
          <w:szCs w:val="24"/>
        </w:rPr>
        <w:t>intensification</w:t>
      </w:r>
      <w:r w:rsidRPr="00EB688D">
        <w:rPr>
          <w:rFonts w:ascii="Helvetica" w:eastAsia="Times New Roman" w:hAnsi="Helvetica" w:cs="Helvetica"/>
          <w:color w:val="1A1A1A"/>
          <w:sz w:val="24"/>
          <w:szCs w:val="24"/>
        </w:rPr>
        <w:t> and higher densities in </w:t>
      </w:r>
      <w:r w:rsidRPr="00EB688D">
        <w:rPr>
          <w:rFonts w:ascii="Helvetica" w:eastAsia="Times New Roman" w:hAnsi="Helvetica" w:cs="Helvetica"/>
          <w:i/>
          <w:iCs/>
          <w:color w:val="1A1A1A"/>
          <w:sz w:val="24"/>
          <w:szCs w:val="24"/>
        </w:rPr>
        <w:t>strategic growth areas</w:t>
      </w:r>
      <w:r w:rsidRPr="00EB688D">
        <w:rPr>
          <w:rFonts w:ascii="Helvetica" w:eastAsia="Times New Roman" w:hAnsi="Helvetica" w:cs="Helvetica"/>
          <w:color w:val="1A1A1A"/>
          <w:sz w:val="24"/>
          <w:szCs w:val="24"/>
        </w:rPr>
        <w:t> to make efficient use of land and </w:t>
      </w:r>
      <w:r w:rsidRPr="00EB688D">
        <w:rPr>
          <w:rFonts w:ascii="Helvetica" w:eastAsia="Times New Roman" w:hAnsi="Helvetica" w:cs="Helvetica"/>
          <w:i/>
          <w:iCs/>
          <w:color w:val="1A1A1A"/>
          <w:sz w:val="24"/>
          <w:szCs w:val="24"/>
        </w:rPr>
        <w:t>infrastructure </w:t>
      </w:r>
      <w:r w:rsidRPr="00EB688D">
        <w:rPr>
          <w:rFonts w:ascii="Helvetica" w:eastAsia="Times New Roman" w:hAnsi="Helvetica" w:cs="Helvetica"/>
          <w:color w:val="1A1A1A"/>
          <w:sz w:val="24"/>
          <w:szCs w:val="24"/>
        </w:rPr>
        <w:t>and support transit viability.</w:t>
      </w:r>
    </w:p>
    <w:p w14:paraId="6CD1CEC0" w14:textId="77777777" w:rsidR="00EB688D" w:rsidRPr="00EB688D" w:rsidRDefault="00EB688D" w:rsidP="00EB688D">
      <w:pPr>
        <w:numPr>
          <w:ilvl w:val="0"/>
          <w:numId w:val="1"/>
        </w:numPr>
        <w:shd w:val="clear" w:color="auto" w:fill="FFFFFF"/>
        <w:spacing w:before="100" w:beforeAutospacing="1" w:after="100" w:afterAutospacing="1" w:line="240" w:lineRule="auto"/>
        <w:rPr>
          <w:rFonts w:ascii="Helvetica" w:eastAsia="Times New Roman" w:hAnsi="Helvetica" w:cs="Helvetica"/>
          <w:color w:val="1A1A1A"/>
          <w:sz w:val="24"/>
          <w:szCs w:val="24"/>
        </w:rPr>
      </w:pPr>
      <w:r w:rsidRPr="00EB688D">
        <w:rPr>
          <w:rFonts w:ascii="Helvetica" w:eastAsia="Times New Roman" w:hAnsi="Helvetica" w:cs="Helvetica"/>
          <w:color w:val="1A1A1A"/>
          <w:sz w:val="24"/>
          <w:szCs w:val="24"/>
        </w:rPr>
        <w:t>Support a range and mix of housing options, including additional residential units and </w:t>
      </w:r>
      <w:r w:rsidRPr="00EB688D">
        <w:rPr>
          <w:rFonts w:ascii="Helvetica" w:eastAsia="Times New Roman" w:hAnsi="Helvetica" w:cs="Helvetica"/>
          <w:i/>
          <w:iCs/>
          <w:color w:val="1A1A1A"/>
          <w:sz w:val="24"/>
          <w:szCs w:val="24"/>
        </w:rPr>
        <w:t>affordable</w:t>
      </w:r>
      <w:r w:rsidRPr="00EB688D">
        <w:rPr>
          <w:rFonts w:ascii="Helvetica" w:eastAsia="Times New Roman" w:hAnsi="Helvetica" w:cs="Helvetica"/>
          <w:color w:val="1A1A1A"/>
          <w:sz w:val="24"/>
          <w:szCs w:val="24"/>
        </w:rPr>
        <w:t> housing, to serve all sizes, incomes, and ages of households.</w:t>
      </w:r>
    </w:p>
    <w:p w14:paraId="5C2E6C97" w14:textId="77777777" w:rsidR="00EB688D" w:rsidRPr="00EB688D" w:rsidRDefault="00EB688D" w:rsidP="00EB688D">
      <w:pPr>
        <w:numPr>
          <w:ilvl w:val="0"/>
          <w:numId w:val="1"/>
        </w:numPr>
        <w:shd w:val="clear" w:color="auto" w:fill="FFFFFF"/>
        <w:spacing w:before="100" w:beforeAutospacing="1" w:after="100" w:afterAutospacing="1" w:line="240" w:lineRule="auto"/>
        <w:rPr>
          <w:rFonts w:ascii="Helvetica" w:eastAsia="Times New Roman" w:hAnsi="Helvetica" w:cs="Helvetica"/>
          <w:color w:val="1A1A1A"/>
          <w:sz w:val="24"/>
          <w:szCs w:val="24"/>
        </w:rPr>
      </w:pPr>
      <w:r w:rsidRPr="00EB688D">
        <w:rPr>
          <w:rFonts w:ascii="Helvetica" w:eastAsia="Times New Roman" w:hAnsi="Helvetica" w:cs="Helvetica"/>
          <w:color w:val="1A1A1A"/>
          <w:sz w:val="24"/>
          <w:szCs w:val="24"/>
        </w:rPr>
        <w:lastRenderedPageBreak/>
        <w:br/>
        <w:t>Protect and enhance natural heritage, hydrologic, and landform systems, features, and functions.</w:t>
      </w:r>
    </w:p>
    <w:p w14:paraId="6B077C91" w14:textId="77777777" w:rsidR="00EB688D" w:rsidRPr="00EB688D" w:rsidRDefault="00EB688D" w:rsidP="00EB688D">
      <w:pPr>
        <w:pStyle w:val="ListParagraph"/>
        <w:numPr>
          <w:ilvl w:val="0"/>
          <w:numId w:val="1"/>
        </w:numPr>
        <w:shd w:val="clear" w:color="auto" w:fill="FFFFFF"/>
        <w:spacing w:before="100" w:beforeAutospacing="1" w:after="100" w:afterAutospacing="1" w:line="240" w:lineRule="auto"/>
        <w:outlineLvl w:val="2"/>
        <w:rPr>
          <w:rFonts w:ascii="Helvetica" w:eastAsia="Times New Roman" w:hAnsi="Helvetica" w:cs="Helvetica"/>
          <w:b/>
          <w:bCs/>
          <w:color w:val="1A1A1A"/>
          <w:sz w:val="27"/>
          <w:szCs w:val="27"/>
        </w:rPr>
      </w:pPr>
      <w:r w:rsidRPr="00EB688D">
        <w:rPr>
          <w:rFonts w:ascii="Helvetica" w:eastAsia="Times New Roman" w:hAnsi="Helvetica" w:cs="Helvetica"/>
          <w:b/>
          <w:bCs/>
          <w:color w:val="1A1A1A"/>
          <w:sz w:val="27"/>
          <w:szCs w:val="27"/>
        </w:rPr>
        <w:t>1.2.3 How to read this Plan</w:t>
      </w:r>
    </w:p>
    <w:p w14:paraId="1942BEB7" w14:textId="4393D48A" w:rsidR="00EB688D" w:rsidRDefault="00EB688D" w:rsidP="00EB688D">
      <w:pPr>
        <w:pStyle w:val="ListParagraph"/>
        <w:numPr>
          <w:ilvl w:val="0"/>
          <w:numId w:val="1"/>
        </w:numPr>
        <w:shd w:val="clear" w:color="auto" w:fill="FFFFFF"/>
        <w:spacing w:before="100" w:beforeAutospacing="1" w:after="100" w:afterAutospacing="1" w:line="240" w:lineRule="auto"/>
        <w:rPr>
          <w:rFonts w:ascii="Helvetica" w:eastAsia="Times New Roman" w:hAnsi="Helvetica" w:cs="Helvetica"/>
          <w:color w:val="1A1A1A"/>
          <w:sz w:val="24"/>
          <w:szCs w:val="24"/>
        </w:rPr>
      </w:pPr>
      <w:r w:rsidRPr="00EB688D">
        <w:rPr>
          <w:rFonts w:ascii="Helvetica" w:eastAsia="Times New Roman" w:hAnsi="Helvetica" w:cs="Helvetica"/>
          <w:color w:val="1A1A1A"/>
          <w:sz w:val="24"/>
          <w:szCs w:val="24"/>
        </w:rPr>
        <w:t>This Plan informs decision-making regarding growth management and environmental protection in the </w:t>
      </w:r>
      <w:r w:rsidRPr="00EB688D">
        <w:rPr>
          <w:rFonts w:ascii="Helvetica" w:eastAsia="Times New Roman" w:hAnsi="Helvetica" w:cs="Helvetica"/>
          <w:i/>
          <w:iCs/>
          <w:color w:val="1A1A1A"/>
          <w:sz w:val="24"/>
          <w:szCs w:val="24"/>
        </w:rPr>
        <w:t>GGH</w:t>
      </w:r>
      <w:r w:rsidRPr="00EB688D">
        <w:rPr>
          <w:rFonts w:ascii="Helvetica" w:eastAsia="Times New Roman" w:hAnsi="Helvetica" w:cs="Helvetica"/>
          <w:color w:val="1A1A1A"/>
          <w:sz w:val="24"/>
          <w:szCs w:val="24"/>
        </w:rPr>
        <w:t>.</w:t>
      </w:r>
    </w:p>
    <w:p w14:paraId="6CC059AD" w14:textId="77777777" w:rsidR="00EB688D" w:rsidRPr="00EB688D" w:rsidRDefault="00EB688D" w:rsidP="00EB688D">
      <w:pPr>
        <w:shd w:val="clear" w:color="auto" w:fill="FFFFFF"/>
        <w:spacing w:before="100" w:beforeAutospacing="1" w:after="100" w:afterAutospacing="1" w:line="240" w:lineRule="auto"/>
        <w:outlineLvl w:val="3"/>
        <w:rPr>
          <w:rFonts w:ascii="Helvetica" w:eastAsia="Times New Roman" w:hAnsi="Helvetica" w:cs="Helvetica"/>
          <w:b/>
          <w:bCs/>
          <w:color w:val="1A1A1A"/>
          <w:sz w:val="24"/>
          <w:szCs w:val="24"/>
        </w:rPr>
      </w:pPr>
      <w:r w:rsidRPr="00EB688D">
        <w:rPr>
          <w:rFonts w:ascii="Helvetica" w:eastAsia="Times New Roman" w:hAnsi="Helvetica" w:cs="Helvetica"/>
          <w:b/>
          <w:bCs/>
          <w:color w:val="1A1A1A"/>
          <w:sz w:val="24"/>
          <w:szCs w:val="24"/>
        </w:rPr>
        <w:t>Relationship with other Provincial Plans</w:t>
      </w:r>
    </w:p>
    <w:p w14:paraId="4DD78D37" w14:textId="030724C7" w:rsidR="00EB688D" w:rsidRDefault="00EB688D">
      <w:pPr>
        <w:rPr>
          <w:rFonts w:ascii="Helvetica" w:hAnsi="Helvetica" w:cs="Helvetica"/>
          <w:color w:val="1A1A1A"/>
          <w:shd w:val="clear" w:color="auto" w:fill="FFFFFF"/>
        </w:rPr>
      </w:pPr>
      <w:r>
        <w:rPr>
          <w:rFonts w:ascii="Helvetica" w:hAnsi="Helvetica" w:cs="Helvetica"/>
          <w:color w:val="1A1A1A"/>
          <w:shd w:val="clear" w:color="auto" w:fill="FFFFFF"/>
        </w:rPr>
        <w:t>As provided in the </w:t>
      </w:r>
      <w:hyperlink r:id="rId5" w:history="1">
        <w:r>
          <w:rPr>
            <w:rStyle w:val="Hyperlink"/>
            <w:rFonts w:ascii="Helvetica" w:hAnsi="Helvetica" w:cs="Helvetica"/>
            <w:i/>
            <w:iCs/>
            <w:color w:val="0066CC"/>
            <w:shd w:val="clear" w:color="auto" w:fill="FFFFFF"/>
          </w:rPr>
          <w:t>Places to Grow Act, 2005</w:t>
        </w:r>
      </w:hyperlink>
      <w:r>
        <w:rPr>
          <w:rFonts w:ascii="Helvetica" w:hAnsi="Helvetica" w:cs="Helvetica"/>
          <w:color w:val="1A1A1A"/>
          <w:shd w:val="clear" w:color="auto" w:fill="FFFFFF"/>
        </w:rPr>
        <w:t>, where there is a conflict between the Greenbelt, Oak Ridges Moraine Conservation, or Niagara Escarpment Plans and this Plan regarding the natural environment or human health, the direction that provides more protection to the natural environment or human health prevails. Detailed conflict provisions are set out in the Places to Grow Act, 2005.</w:t>
      </w:r>
    </w:p>
    <w:p w14:paraId="441A86BD" w14:textId="48AFCD17" w:rsidR="00EB688D" w:rsidRDefault="00EB688D">
      <w:pPr>
        <w:rPr>
          <w:rFonts w:ascii="Helvetica" w:hAnsi="Helvetica" w:cs="Helvetica"/>
          <w:color w:val="1A1A1A"/>
          <w:shd w:val="clear" w:color="auto" w:fill="FFFFFF"/>
        </w:rPr>
      </w:pPr>
    </w:p>
    <w:p w14:paraId="1B5BC054" w14:textId="77777777" w:rsidR="00EB688D" w:rsidRDefault="00EB688D"/>
    <w:sectPr w:rsidR="00EB6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D79FA"/>
    <w:multiLevelType w:val="multilevel"/>
    <w:tmpl w:val="615A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896627"/>
    <w:multiLevelType w:val="multilevel"/>
    <w:tmpl w:val="4058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44276A"/>
    <w:multiLevelType w:val="multilevel"/>
    <w:tmpl w:val="A328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6527097">
    <w:abstractNumId w:val="0"/>
  </w:num>
  <w:num w:numId="2" w16cid:durableId="60100588">
    <w:abstractNumId w:val="2"/>
  </w:num>
  <w:num w:numId="3" w16cid:durableId="531501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BFD"/>
    <w:rsid w:val="003D0A5F"/>
    <w:rsid w:val="00715A79"/>
    <w:rsid w:val="00B93EF2"/>
    <w:rsid w:val="00DC2BFD"/>
    <w:rsid w:val="00EA3FB8"/>
    <w:rsid w:val="00EB6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DD5"/>
  <w15:chartTrackingRefBased/>
  <w15:docId w15:val="{A0A07047-5C36-40F3-98C9-3D148706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8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EB68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B688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EA3FB8"/>
    <w:rPr>
      <w:i/>
      <w:iCs/>
    </w:rPr>
  </w:style>
  <w:style w:type="paragraph" w:styleId="NormalWeb">
    <w:name w:val="Normal (Web)"/>
    <w:basedOn w:val="Normal"/>
    <w:uiPriority w:val="99"/>
    <w:semiHidden/>
    <w:unhideWhenUsed/>
    <w:rsid w:val="00EB6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B688D"/>
    <w:rPr>
      <w:rFonts w:ascii="Times New Roman" w:eastAsia="Times New Roman" w:hAnsi="Times New Roman" w:cs="Times New Roman"/>
      <w:b/>
      <w:bCs/>
      <w:sz w:val="27"/>
      <w:szCs w:val="27"/>
    </w:rPr>
  </w:style>
  <w:style w:type="paragraph" w:styleId="ListParagraph">
    <w:name w:val="List Paragraph"/>
    <w:basedOn w:val="Normal"/>
    <w:uiPriority w:val="34"/>
    <w:qFormat/>
    <w:rsid w:val="00EB688D"/>
    <w:pPr>
      <w:ind w:left="720"/>
      <w:contextualSpacing/>
    </w:pPr>
  </w:style>
  <w:style w:type="character" w:styleId="Hyperlink">
    <w:name w:val="Hyperlink"/>
    <w:basedOn w:val="DefaultParagraphFont"/>
    <w:uiPriority w:val="99"/>
    <w:semiHidden/>
    <w:unhideWhenUsed/>
    <w:rsid w:val="00EB688D"/>
    <w:rPr>
      <w:color w:val="0000FF"/>
      <w:u w:val="single"/>
    </w:rPr>
  </w:style>
  <w:style w:type="character" w:customStyle="1" w:styleId="Heading4Char">
    <w:name w:val="Heading 4 Char"/>
    <w:basedOn w:val="DefaultParagraphFont"/>
    <w:link w:val="Heading4"/>
    <w:uiPriority w:val="9"/>
    <w:semiHidden/>
    <w:rsid w:val="00EB688D"/>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EB688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71355">
      <w:bodyDiv w:val="1"/>
      <w:marLeft w:val="0"/>
      <w:marRight w:val="0"/>
      <w:marTop w:val="0"/>
      <w:marBottom w:val="0"/>
      <w:divBdr>
        <w:top w:val="none" w:sz="0" w:space="0" w:color="auto"/>
        <w:left w:val="none" w:sz="0" w:space="0" w:color="auto"/>
        <w:bottom w:val="none" w:sz="0" w:space="0" w:color="auto"/>
        <w:right w:val="none" w:sz="0" w:space="0" w:color="auto"/>
      </w:divBdr>
    </w:div>
    <w:div w:id="611788137">
      <w:bodyDiv w:val="1"/>
      <w:marLeft w:val="0"/>
      <w:marRight w:val="0"/>
      <w:marTop w:val="0"/>
      <w:marBottom w:val="0"/>
      <w:divBdr>
        <w:top w:val="none" w:sz="0" w:space="0" w:color="auto"/>
        <w:left w:val="none" w:sz="0" w:space="0" w:color="auto"/>
        <w:bottom w:val="none" w:sz="0" w:space="0" w:color="auto"/>
        <w:right w:val="none" w:sz="0" w:space="0" w:color="auto"/>
      </w:divBdr>
    </w:div>
    <w:div w:id="965618433">
      <w:bodyDiv w:val="1"/>
      <w:marLeft w:val="0"/>
      <w:marRight w:val="0"/>
      <w:marTop w:val="0"/>
      <w:marBottom w:val="0"/>
      <w:divBdr>
        <w:top w:val="none" w:sz="0" w:space="0" w:color="auto"/>
        <w:left w:val="none" w:sz="0" w:space="0" w:color="auto"/>
        <w:bottom w:val="none" w:sz="0" w:space="0" w:color="auto"/>
        <w:right w:val="none" w:sz="0" w:space="0" w:color="auto"/>
      </w:divBdr>
    </w:div>
    <w:div w:id="1298103766">
      <w:bodyDiv w:val="1"/>
      <w:marLeft w:val="0"/>
      <w:marRight w:val="0"/>
      <w:marTop w:val="0"/>
      <w:marBottom w:val="0"/>
      <w:divBdr>
        <w:top w:val="none" w:sz="0" w:space="0" w:color="auto"/>
        <w:left w:val="none" w:sz="0" w:space="0" w:color="auto"/>
        <w:bottom w:val="none" w:sz="0" w:space="0" w:color="auto"/>
        <w:right w:val="none" w:sz="0" w:space="0" w:color="auto"/>
      </w:divBdr>
    </w:div>
    <w:div w:id="1465274954">
      <w:bodyDiv w:val="1"/>
      <w:marLeft w:val="0"/>
      <w:marRight w:val="0"/>
      <w:marTop w:val="0"/>
      <w:marBottom w:val="0"/>
      <w:divBdr>
        <w:top w:val="none" w:sz="0" w:space="0" w:color="auto"/>
        <w:left w:val="none" w:sz="0" w:space="0" w:color="auto"/>
        <w:bottom w:val="none" w:sz="0" w:space="0" w:color="auto"/>
        <w:right w:val="none" w:sz="0" w:space="0" w:color="auto"/>
      </w:divBdr>
    </w:div>
    <w:div w:id="1637418712">
      <w:bodyDiv w:val="1"/>
      <w:marLeft w:val="0"/>
      <w:marRight w:val="0"/>
      <w:marTop w:val="0"/>
      <w:marBottom w:val="0"/>
      <w:divBdr>
        <w:top w:val="none" w:sz="0" w:space="0" w:color="auto"/>
        <w:left w:val="none" w:sz="0" w:space="0" w:color="auto"/>
        <w:bottom w:val="none" w:sz="0" w:space="0" w:color="auto"/>
        <w:right w:val="none" w:sz="0" w:space="0" w:color="auto"/>
      </w:divBdr>
    </w:div>
    <w:div w:id="1902983355">
      <w:bodyDiv w:val="1"/>
      <w:marLeft w:val="0"/>
      <w:marRight w:val="0"/>
      <w:marTop w:val="0"/>
      <w:marBottom w:val="0"/>
      <w:divBdr>
        <w:top w:val="none" w:sz="0" w:space="0" w:color="auto"/>
        <w:left w:val="none" w:sz="0" w:space="0" w:color="auto"/>
        <w:bottom w:val="none" w:sz="0" w:space="0" w:color="auto"/>
        <w:right w:val="none" w:sz="0" w:space="0" w:color="auto"/>
      </w:divBdr>
    </w:div>
    <w:div w:id="1908295237">
      <w:bodyDiv w:val="1"/>
      <w:marLeft w:val="0"/>
      <w:marRight w:val="0"/>
      <w:marTop w:val="0"/>
      <w:marBottom w:val="0"/>
      <w:divBdr>
        <w:top w:val="none" w:sz="0" w:space="0" w:color="auto"/>
        <w:left w:val="none" w:sz="0" w:space="0" w:color="auto"/>
        <w:bottom w:val="none" w:sz="0" w:space="0" w:color="auto"/>
        <w:right w:val="none" w:sz="0" w:space="0" w:color="auto"/>
      </w:divBdr>
    </w:div>
    <w:div w:id="20368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ntario.ca/laws/statute/05p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Mackenzie</dc:creator>
  <cp:keywords/>
  <dc:description/>
  <cp:lastModifiedBy>Sandra Mackenzie</cp:lastModifiedBy>
  <cp:revision>3</cp:revision>
  <dcterms:created xsi:type="dcterms:W3CDTF">2022-12-05T03:11:00Z</dcterms:created>
  <dcterms:modified xsi:type="dcterms:W3CDTF">2022-12-05T03:22:00Z</dcterms:modified>
</cp:coreProperties>
</file>