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1E5CCE" w14:textId="4B99FADE" w:rsidR="00C35C40" w:rsidRPr="00C35C40" w:rsidRDefault="00C35C40" w:rsidP="00C35C40">
      <w:pPr>
        <w:jc w:val="center"/>
      </w:pPr>
      <w:r w:rsidRPr="00C35C40">
        <w:rPr>
          <w:rStyle w:val="field-wrapper"/>
          <w:rFonts w:cstheme="minorHAnsi"/>
          <w:b/>
          <w:bCs/>
          <w:color w:val="000000" w:themeColor="text1"/>
          <w:sz w:val="32"/>
          <w:szCs w:val="32"/>
        </w:rPr>
        <w:t>Amendments to the Mining Act: Recovery of Minerals and Decision-making Authorities</w:t>
      </w:r>
    </w:p>
    <w:p w14:paraId="746CABEC" w14:textId="01DB0D4D" w:rsidR="00B11CFB" w:rsidRDefault="00B11CFB" w:rsidP="00202212">
      <w:pPr>
        <w:spacing w:line="600" w:lineRule="auto"/>
        <w:jc w:val="center"/>
        <w:rPr>
          <w:rFonts w:cstheme="minorHAnsi"/>
          <w:sz w:val="32"/>
          <w:szCs w:val="32"/>
        </w:rPr>
      </w:pPr>
    </w:p>
    <w:p w14:paraId="5B639F04" w14:textId="214360AB" w:rsidR="00202212" w:rsidRDefault="00865077" w:rsidP="00202212">
      <w:pPr>
        <w:jc w:val="center"/>
        <w:rPr>
          <w:rFonts w:eastAsia="Times New Roman" w:cstheme="minorHAnsi"/>
          <w:sz w:val="32"/>
          <w:szCs w:val="32"/>
        </w:rPr>
      </w:pPr>
      <w:r w:rsidRPr="00202212">
        <w:rPr>
          <w:rFonts w:cstheme="minorHAnsi"/>
          <w:sz w:val="32"/>
          <w:szCs w:val="32"/>
        </w:rPr>
        <w:t>ERO #</w:t>
      </w:r>
      <w:r w:rsidRPr="00202212">
        <w:rPr>
          <w:rFonts w:eastAsia="Times New Roman" w:cstheme="minorHAnsi"/>
          <w:sz w:val="32"/>
          <w:szCs w:val="32"/>
        </w:rPr>
        <w:t>019-6717</w:t>
      </w:r>
    </w:p>
    <w:p w14:paraId="30E0504C" w14:textId="2875403A" w:rsidR="00FC67F8" w:rsidRDefault="00FC67F8" w:rsidP="00202212">
      <w:pPr>
        <w:jc w:val="center"/>
        <w:rPr>
          <w:rFonts w:eastAsia="Times New Roman" w:cstheme="minorHAnsi"/>
          <w:sz w:val="32"/>
          <w:szCs w:val="32"/>
        </w:rPr>
      </w:pPr>
    </w:p>
    <w:p w14:paraId="352DAD47" w14:textId="1A50F4A1" w:rsidR="00FC67F8" w:rsidRPr="00FC67F8" w:rsidRDefault="00FC67F8" w:rsidP="00202212">
      <w:pPr>
        <w:jc w:val="center"/>
        <w:rPr>
          <w:rFonts w:eastAsia="Times New Roman" w:cstheme="minorHAnsi"/>
          <w:sz w:val="32"/>
          <w:szCs w:val="32"/>
        </w:rPr>
      </w:pPr>
      <w:r>
        <w:rPr>
          <w:rFonts w:eastAsia="Times New Roman" w:cstheme="minorHAnsi"/>
          <w:sz w:val="32"/>
          <w:szCs w:val="32"/>
        </w:rPr>
        <w:t xml:space="preserve">From </w:t>
      </w:r>
    </w:p>
    <w:p w14:paraId="5C6E2F81" w14:textId="77777777" w:rsidR="00202212" w:rsidRPr="00202212" w:rsidRDefault="00202212" w:rsidP="00202212">
      <w:pPr>
        <w:jc w:val="center"/>
        <w:rPr>
          <w:rFonts w:cstheme="minorHAnsi"/>
          <w:sz w:val="32"/>
          <w:szCs w:val="32"/>
        </w:rPr>
      </w:pPr>
    </w:p>
    <w:p w14:paraId="475981EF" w14:textId="1E57D377" w:rsidR="00202212" w:rsidRDefault="00202212" w:rsidP="00FC67F8">
      <w:pPr>
        <w:jc w:val="center"/>
        <w:rPr>
          <w:rFonts w:cstheme="minorHAnsi"/>
          <w:sz w:val="32"/>
          <w:szCs w:val="32"/>
        </w:rPr>
      </w:pPr>
      <w:r w:rsidRPr="00202212">
        <w:rPr>
          <w:rFonts w:cstheme="minorHAnsi"/>
          <w:sz w:val="32"/>
          <w:szCs w:val="32"/>
        </w:rPr>
        <w:t>Ontarians for a Just Accountable Mineral Strategy</w:t>
      </w:r>
    </w:p>
    <w:p w14:paraId="2A583088" w14:textId="1DAC5F7C" w:rsidR="00C35C40" w:rsidRDefault="00C35C40" w:rsidP="00FC67F8">
      <w:pPr>
        <w:jc w:val="center"/>
        <w:rPr>
          <w:rFonts w:cstheme="minorHAnsi"/>
          <w:sz w:val="32"/>
          <w:szCs w:val="32"/>
        </w:rPr>
      </w:pPr>
      <w:r>
        <w:rPr>
          <w:rFonts w:cstheme="minorHAnsi"/>
          <w:sz w:val="32"/>
          <w:szCs w:val="32"/>
        </w:rPr>
        <w:t>April 12, 2023</w:t>
      </w:r>
    </w:p>
    <w:p w14:paraId="2DD83378" w14:textId="77777777" w:rsidR="00FC67F8" w:rsidRDefault="00FC67F8" w:rsidP="00202212">
      <w:pPr>
        <w:jc w:val="right"/>
        <w:rPr>
          <w:rFonts w:cstheme="minorHAnsi"/>
          <w:sz w:val="32"/>
          <w:szCs w:val="32"/>
        </w:rPr>
      </w:pPr>
    </w:p>
    <w:p w14:paraId="2E6AAD22" w14:textId="77777777" w:rsidR="00FC67F8" w:rsidRDefault="00FC67F8" w:rsidP="00202212">
      <w:pPr>
        <w:jc w:val="right"/>
        <w:rPr>
          <w:rFonts w:cstheme="minorHAnsi"/>
          <w:sz w:val="32"/>
          <w:szCs w:val="32"/>
        </w:rPr>
      </w:pPr>
    </w:p>
    <w:p w14:paraId="5E006B00" w14:textId="77777777" w:rsidR="00FC67F8" w:rsidRDefault="00FC67F8" w:rsidP="00202212">
      <w:pPr>
        <w:jc w:val="right"/>
        <w:rPr>
          <w:rFonts w:cstheme="minorHAnsi"/>
          <w:sz w:val="32"/>
          <w:szCs w:val="32"/>
        </w:rPr>
      </w:pPr>
    </w:p>
    <w:p w14:paraId="4D3AD56B" w14:textId="77777777" w:rsidR="00FC67F8" w:rsidRDefault="00FC67F8" w:rsidP="00202212">
      <w:pPr>
        <w:jc w:val="right"/>
        <w:rPr>
          <w:rFonts w:cstheme="minorHAnsi"/>
          <w:sz w:val="32"/>
          <w:szCs w:val="32"/>
        </w:rPr>
      </w:pPr>
    </w:p>
    <w:p w14:paraId="1EF1023E" w14:textId="77777777" w:rsidR="00FC67F8" w:rsidRDefault="00FC67F8" w:rsidP="00202212">
      <w:pPr>
        <w:jc w:val="right"/>
        <w:rPr>
          <w:rFonts w:cstheme="minorHAnsi"/>
          <w:sz w:val="32"/>
          <w:szCs w:val="32"/>
        </w:rPr>
      </w:pPr>
    </w:p>
    <w:p w14:paraId="726EF040" w14:textId="77777777" w:rsidR="00FC67F8" w:rsidRDefault="00FC67F8" w:rsidP="00202212">
      <w:pPr>
        <w:jc w:val="right"/>
        <w:rPr>
          <w:rFonts w:cstheme="minorHAnsi"/>
          <w:sz w:val="32"/>
          <w:szCs w:val="32"/>
        </w:rPr>
      </w:pPr>
    </w:p>
    <w:p w14:paraId="18F6EDB5" w14:textId="77777777" w:rsidR="00FC67F8" w:rsidRDefault="00FC67F8" w:rsidP="00202212">
      <w:pPr>
        <w:jc w:val="right"/>
        <w:rPr>
          <w:rFonts w:cstheme="minorHAnsi"/>
          <w:sz w:val="32"/>
          <w:szCs w:val="32"/>
        </w:rPr>
      </w:pPr>
    </w:p>
    <w:p w14:paraId="26D33591" w14:textId="2503AC55" w:rsidR="00865077" w:rsidRPr="00202212" w:rsidRDefault="00865077" w:rsidP="00202212">
      <w:pPr>
        <w:jc w:val="right"/>
        <w:rPr>
          <w:rFonts w:cstheme="minorHAnsi"/>
          <w:sz w:val="32"/>
          <w:szCs w:val="32"/>
        </w:rPr>
      </w:pPr>
      <w:r>
        <w:rPr>
          <w:rFonts w:cstheme="minorHAnsi"/>
          <w:sz w:val="32"/>
          <w:szCs w:val="32"/>
        </w:rPr>
        <w:t>OJAMS.ca</w:t>
      </w:r>
    </w:p>
    <w:p w14:paraId="045ADC07" w14:textId="1F1D4E7F" w:rsidR="00202212" w:rsidRPr="00202212" w:rsidRDefault="00202212" w:rsidP="00202212">
      <w:pPr>
        <w:jc w:val="right"/>
        <w:rPr>
          <w:rFonts w:cstheme="minorHAnsi"/>
          <w:sz w:val="32"/>
          <w:szCs w:val="32"/>
        </w:rPr>
      </w:pPr>
      <w:r w:rsidRPr="00202212">
        <w:rPr>
          <w:rFonts w:cstheme="minorHAnsi"/>
          <w:sz w:val="32"/>
          <w:szCs w:val="32"/>
        </w:rPr>
        <w:t xml:space="preserve">c/o Joan </w:t>
      </w:r>
      <w:proofErr w:type="spellStart"/>
      <w:r w:rsidRPr="00202212">
        <w:rPr>
          <w:rFonts w:cstheme="minorHAnsi"/>
          <w:sz w:val="32"/>
          <w:szCs w:val="32"/>
        </w:rPr>
        <w:t>Kuyek</w:t>
      </w:r>
      <w:proofErr w:type="spellEnd"/>
      <w:r w:rsidRPr="00202212">
        <w:rPr>
          <w:rFonts w:cstheme="minorHAnsi"/>
          <w:sz w:val="32"/>
          <w:szCs w:val="32"/>
        </w:rPr>
        <w:t>, DSW</w:t>
      </w:r>
    </w:p>
    <w:p w14:paraId="24BB328B" w14:textId="1B3EAF7F" w:rsidR="00202212" w:rsidRPr="00202212" w:rsidRDefault="00C35C40" w:rsidP="006913CF">
      <w:pPr>
        <w:jc w:val="right"/>
        <w:rPr>
          <w:rFonts w:cstheme="minorHAnsi"/>
          <w:sz w:val="32"/>
          <w:szCs w:val="32"/>
        </w:rPr>
      </w:pPr>
      <w:r>
        <w:rPr>
          <w:sz w:val="32"/>
          <w:szCs w:val="32"/>
        </w:rPr>
        <w:t>joankuyek@sympatico.ca</w:t>
      </w:r>
      <w:r w:rsidR="00202212" w:rsidRPr="00202212">
        <w:rPr>
          <w:rFonts w:cstheme="minorHAnsi"/>
          <w:sz w:val="32"/>
          <w:szCs w:val="32"/>
        </w:rPr>
        <w:br w:type="page"/>
      </w:r>
    </w:p>
    <w:p w14:paraId="2D3BB7D8" w14:textId="3430E9D4" w:rsidR="00B11CFB" w:rsidRPr="00202212" w:rsidRDefault="00B11CFB" w:rsidP="00202212">
      <w:pPr>
        <w:rPr>
          <w:rFonts w:cstheme="minorHAnsi"/>
        </w:rPr>
      </w:pPr>
      <w:r w:rsidRPr="00202212">
        <w:rPr>
          <w:rFonts w:cstheme="minorHAnsi"/>
        </w:rPr>
        <w:lastRenderedPageBreak/>
        <w:t>Thank you for this opportunity to comment on the proposed amendments to Ontario’s Mining Act</w:t>
      </w:r>
      <w:r w:rsidR="00C35C40">
        <w:rPr>
          <w:rFonts w:cstheme="minorHAnsi"/>
        </w:rPr>
        <w:t>: Recovery of Minerals and Changes in Decision-Making Authority.</w:t>
      </w:r>
    </w:p>
    <w:p w14:paraId="18714A9D" w14:textId="77777777" w:rsidR="00202212" w:rsidRPr="00202212" w:rsidRDefault="00202212" w:rsidP="00202212">
      <w:pPr>
        <w:rPr>
          <w:rFonts w:cstheme="minorHAnsi"/>
        </w:rPr>
      </w:pPr>
    </w:p>
    <w:p w14:paraId="52710ED4" w14:textId="746D1952" w:rsidR="00202212" w:rsidRPr="00202212" w:rsidRDefault="00202212" w:rsidP="00202212">
      <w:pPr>
        <w:rPr>
          <w:rFonts w:cstheme="minorHAnsi"/>
        </w:rPr>
      </w:pPr>
      <w:r w:rsidRPr="00202212">
        <w:rPr>
          <w:rFonts w:cstheme="minorHAnsi"/>
        </w:rPr>
        <w:t>In existence since 2015, Ontarians for a Just Accountable Mining Strategy (OJAMS) is a network of people from diverse communities and interests in Ontario that want to see a mineral strategy that</w:t>
      </w:r>
    </w:p>
    <w:p w14:paraId="5652AC16" w14:textId="77777777" w:rsidR="00202212" w:rsidRPr="00202212" w:rsidRDefault="00202212" w:rsidP="00202212">
      <w:pPr>
        <w:pStyle w:val="ListParagraph"/>
        <w:numPr>
          <w:ilvl w:val="0"/>
          <w:numId w:val="13"/>
        </w:numPr>
        <w:rPr>
          <w:rFonts w:cstheme="minorHAnsi"/>
        </w:rPr>
      </w:pPr>
      <w:r w:rsidRPr="00202212">
        <w:rPr>
          <w:rFonts w:cstheme="minorHAnsi"/>
        </w:rPr>
        <w:t>Sustains the environment and the resources for future generations,</w:t>
      </w:r>
    </w:p>
    <w:p w14:paraId="3CA0B65D" w14:textId="77777777" w:rsidR="00202212" w:rsidRPr="00202212" w:rsidRDefault="00202212" w:rsidP="00202212">
      <w:pPr>
        <w:pStyle w:val="ListParagraph"/>
        <w:numPr>
          <w:ilvl w:val="0"/>
          <w:numId w:val="13"/>
        </w:numPr>
        <w:rPr>
          <w:rFonts w:cstheme="minorHAnsi"/>
        </w:rPr>
      </w:pPr>
      <w:r w:rsidRPr="00202212">
        <w:rPr>
          <w:rFonts w:cstheme="minorHAnsi"/>
        </w:rPr>
        <w:t>Protects the public from the risks associated with mining, smelting and refining,</w:t>
      </w:r>
    </w:p>
    <w:p w14:paraId="7C80D69D" w14:textId="77777777" w:rsidR="00202212" w:rsidRPr="00202212" w:rsidRDefault="00202212" w:rsidP="00202212">
      <w:pPr>
        <w:pStyle w:val="ListParagraph"/>
        <w:numPr>
          <w:ilvl w:val="0"/>
          <w:numId w:val="13"/>
        </w:numPr>
        <w:rPr>
          <w:rFonts w:cstheme="minorHAnsi"/>
        </w:rPr>
      </w:pPr>
      <w:r w:rsidRPr="00202212">
        <w:rPr>
          <w:rFonts w:cstheme="minorHAnsi"/>
        </w:rPr>
        <w:t>Heals the damage already caused by the industry</w:t>
      </w:r>
    </w:p>
    <w:p w14:paraId="75B63427" w14:textId="77777777" w:rsidR="00202212" w:rsidRPr="00202212" w:rsidRDefault="00202212" w:rsidP="00202212">
      <w:pPr>
        <w:pStyle w:val="ListParagraph"/>
        <w:numPr>
          <w:ilvl w:val="0"/>
          <w:numId w:val="13"/>
        </w:numPr>
        <w:rPr>
          <w:rFonts w:cstheme="minorHAnsi"/>
        </w:rPr>
      </w:pPr>
      <w:r w:rsidRPr="00202212">
        <w:rPr>
          <w:rFonts w:cstheme="minorHAnsi"/>
        </w:rPr>
        <w:t>Captures a fair share of the revenues generated by the industry for Ontarians and First Nations, and</w:t>
      </w:r>
    </w:p>
    <w:p w14:paraId="69FBA464" w14:textId="77777777" w:rsidR="00202212" w:rsidRPr="00202212" w:rsidRDefault="00202212" w:rsidP="00202212">
      <w:pPr>
        <w:pStyle w:val="ListParagraph"/>
        <w:numPr>
          <w:ilvl w:val="0"/>
          <w:numId w:val="13"/>
        </w:numPr>
        <w:rPr>
          <w:rFonts w:cstheme="minorHAnsi"/>
        </w:rPr>
      </w:pPr>
      <w:r w:rsidRPr="00202212">
        <w:rPr>
          <w:rFonts w:cstheme="minorHAnsi"/>
        </w:rPr>
        <w:t>Respects the rights of First Nations to free, prior, informed consent to development on their lands</w:t>
      </w:r>
    </w:p>
    <w:p w14:paraId="64EBE32E" w14:textId="77777777" w:rsidR="00202212" w:rsidRPr="00202212" w:rsidRDefault="00202212" w:rsidP="00202212">
      <w:pPr>
        <w:rPr>
          <w:rFonts w:eastAsia="Times New Roman" w:cstheme="minorHAnsi"/>
        </w:rPr>
      </w:pPr>
    </w:p>
    <w:p w14:paraId="1B2B0A66" w14:textId="26DB1D31" w:rsidR="00202212" w:rsidRPr="00C35C40" w:rsidRDefault="00C35C40" w:rsidP="00202212">
      <w:r>
        <w:rPr>
          <w:rStyle w:val="field-wrapper"/>
        </w:rPr>
        <w:t xml:space="preserve">ERO Posting 19-6717: </w:t>
      </w:r>
      <w:r w:rsidRPr="00C35C40">
        <w:rPr>
          <w:rStyle w:val="field-wrapper"/>
          <w:u w:val="single"/>
        </w:rPr>
        <w:t>Amendments to the Mining Act: Recovery of Minerals and Decision-making Authorities</w:t>
      </w:r>
      <w:r>
        <w:rPr>
          <w:rStyle w:val="field-wrapper"/>
        </w:rPr>
        <w:t xml:space="preserve"> considerably increases the risk to communities and the environment from </w:t>
      </w:r>
      <w:proofErr w:type="gramStart"/>
      <w:r>
        <w:rPr>
          <w:rStyle w:val="field-wrapper"/>
        </w:rPr>
        <w:t>mine</w:t>
      </w:r>
      <w:proofErr w:type="gramEnd"/>
      <w:r>
        <w:rPr>
          <w:rStyle w:val="field-wrapper"/>
        </w:rPr>
        <w:t xml:space="preserve"> wastes; </w:t>
      </w:r>
      <w:r>
        <w:rPr>
          <w:rStyle w:val="field-wrapper"/>
        </w:rPr>
        <w:t xml:space="preserve">provides unacceptable discretion to the Minister </w:t>
      </w:r>
      <w:r>
        <w:rPr>
          <w:rStyle w:val="field-wrapper"/>
        </w:rPr>
        <w:t xml:space="preserve">to determine if experimental waste recovery projects can go ahead and under what conditions and reduces the </w:t>
      </w:r>
      <w:proofErr w:type="spellStart"/>
      <w:r>
        <w:rPr>
          <w:rStyle w:val="field-wrapper"/>
        </w:rPr>
        <w:t>voversight</w:t>
      </w:r>
      <w:proofErr w:type="spellEnd"/>
      <w:r>
        <w:rPr>
          <w:rStyle w:val="field-wrapper"/>
        </w:rPr>
        <w:t xml:space="preserve"> on exploration projects. </w:t>
      </w:r>
    </w:p>
    <w:p w14:paraId="43D6D9A2" w14:textId="3EFB9E51" w:rsidR="006913CF" w:rsidRDefault="006913CF" w:rsidP="00202212">
      <w:pPr>
        <w:rPr>
          <w:rFonts w:eastAsia="Times New Roman" w:cstheme="minorHAnsi"/>
        </w:rPr>
      </w:pPr>
    </w:p>
    <w:p w14:paraId="317EB3FE" w14:textId="4466D0EC" w:rsidR="00202212" w:rsidRPr="00202212" w:rsidRDefault="00C35C40" w:rsidP="00202212">
      <w:pPr>
        <w:rPr>
          <w:rFonts w:eastAsia="Times New Roman" w:cstheme="minorHAnsi"/>
        </w:rPr>
      </w:pPr>
      <w:r>
        <w:rPr>
          <w:rFonts w:eastAsia="Times New Roman" w:cstheme="minorHAnsi"/>
        </w:rPr>
        <w:t xml:space="preserve">Most significantly, neither the Recovery Act nor these proposed amendments have had opportunities for consultation and accommodation with First Nations as required under the United Declaration on the Rights on Indigenous Peoples (UNDRIP). </w:t>
      </w:r>
      <w:r w:rsidR="004E0152">
        <w:rPr>
          <w:rFonts w:eastAsia="Times New Roman" w:cstheme="minorHAnsi"/>
        </w:rPr>
        <w:t>T</w:t>
      </w:r>
      <w:r w:rsidR="00202212" w:rsidRPr="00202212">
        <w:rPr>
          <w:rFonts w:eastAsia="Times New Roman" w:cstheme="minorHAnsi"/>
        </w:rPr>
        <w:t>hese amendments, if passed, would increase conflict with Indigenous Peoples in Ontario, increase financial risk to taxpayers from the mineral industry, and will enable further destruction of the environment on which we all depend.</w:t>
      </w:r>
      <w:r w:rsidR="000A4F48">
        <w:rPr>
          <w:rFonts w:eastAsia="Times New Roman" w:cstheme="minorHAnsi"/>
        </w:rPr>
        <w:softHyphen/>
      </w:r>
    </w:p>
    <w:p w14:paraId="6C15AE9C" w14:textId="77777777" w:rsidR="00202212" w:rsidRPr="00202212" w:rsidRDefault="00202212" w:rsidP="00202212">
      <w:pPr>
        <w:rPr>
          <w:rFonts w:cstheme="minorHAnsi"/>
        </w:rPr>
      </w:pPr>
    </w:p>
    <w:p w14:paraId="2867B9CD" w14:textId="1682896F" w:rsidR="00202212" w:rsidRDefault="00202212" w:rsidP="00202212">
      <w:r>
        <w:lastRenderedPageBreak/>
        <w:t xml:space="preserve">Mine closure matters more than the mine itself. Until this latest push for “critical minerals”, the industry itself talked about the need to “mine for closure”. All mines expand beyond their original footprint, affecting a larger and larger area. </w:t>
      </w:r>
    </w:p>
    <w:p w14:paraId="42FA9820" w14:textId="77777777" w:rsidR="00202212" w:rsidRDefault="00202212" w:rsidP="00202212"/>
    <w:p w14:paraId="44BF6262" w14:textId="3769D643" w:rsidR="00202212" w:rsidRDefault="00202212" w:rsidP="00202212">
      <w:r>
        <w:t>Mining is a waste management industry with short-term benefits and long-term consequences. It is not sustainable</w:t>
      </w:r>
      <w:r w:rsidR="004E0152">
        <w:t>, by definition</w:t>
      </w:r>
      <w:r>
        <w:t>: it depletes the very resource it depends upon. More than 99% of the rock it digs up and pulverizes becomes waste, often acid-generating and toxic. Most of the tailings are held behind dams made of waste rock in ponds that have to be managed in perpetuity. If the mine is an underground operation, some of the waste can be returned underground as past</w:t>
      </w:r>
      <w:r w:rsidR="004E0152">
        <w:t>e</w:t>
      </w:r>
      <w:r>
        <w:t xml:space="preserve"> backfill, but not all. With open pit mines, the enormous pits themselves are hazards, as they take decades to fill with water, which can also be toxic. As the hunger for metals increases, underground mines become open pits, with their concomitant environmental problems. </w:t>
      </w:r>
    </w:p>
    <w:p w14:paraId="724D8AB9" w14:textId="23CFD8DD" w:rsidR="00C35C40" w:rsidRDefault="00C35C40" w:rsidP="00202212"/>
    <w:p w14:paraId="77BF6149" w14:textId="2F569736" w:rsidR="00C35C40" w:rsidRDefault="00C35C40" w:rsidP="00202212">
      <w:r>
        <w:t xml:space="preserve">Many proposals for the recovery of metals from mine tailings are still experimental, and warrant careful environmental assessment and oversight before being scaled up and put into commercial production. </w:t>
      </w:r>
    </w:p>
    <w:p w14:paraId="399ACF48" w14:textId="77777777" w:rsidR="000A4F48" w:rsidRDefault="000A4F48" w:rsidP="00202212">
      <w:pPr>
        <w:rPr>
          <w:rFonts w:eastAsia="Times New Roman" w:cstheme="minorHAnsi"/>
        </w:rPr>
      </w:pPr>
    </w:p>
    <w:p w14:paraId="54121AC2" w14:textId="4AABBDBD" w:rsidR="00202212" w:rsidRDefault="000A4F48" w:rsidP="00202212">
      <w:r w:rsidRPr="00202212">
        <w:rPr>
          <w:rFonts w:eastAsia="Times New Roman" w:cstheme="minorHAnsi"/>
        </w:rPr>
        <w:t xml:space="preserve">While Ontarians for a Just Accountable Strategy supports the re-mining of mine wastes to produce the metals we need, we do not support the changes to the Act and Regulations as proposed by the government.  </w:t>
      </w:r>
    </w:p>
    <w:sdt>
      <w:sdtPr>
        <w:id w:val="-1237241637"/>
        <w:docPartObj>
          <w:docPartGallery w:val="Table of Contents"/>
          <w:docPartUnique/>
        </w:docPartObj>
      </w:sdtPr>
      <w:sdtEndPr>
        <w:rPr>
          <w:rFonts w:asciiTheme="minorHAnsi" w:eastAsiaTheme="minorHAnsi" w:hAnsiTheme="minorHAnsi" w:cstheme="minorBidi"/>
          <w:noProof/>
          <w:color w:val="auto"/>
          <w:sz w:val="24"/>
          <w:szCs w:val="24"/>
          <w:lang w:val="en-CA"/>
        </w:rPr>
      </w:sdtEndPr>
      <w:sdtContent>
        <w:p w14:paraId="6DE7B827" w14:textId="7E1DDFD5" w:rsidR="00C35C40" w:rsidRDefault="00C35C40">
          <w:pPr>
            <w:pStyle w:val="TOCHeading"/>
          </w:pPr>
          <w:r>
            <w:t>Table of Contents</w:t>
          </w:r>
        </w:p>
        <w:p w14:paraId="6730D523" w14:textId="570E93F5" w:rsidR="00C35C40" w:rsidRDefault="00C35C40">
          <w:pPr>
            <w:pStyle w:val="TOC2"/>
            <w:tabs>
              <w:tab w:val="left" w:pos="410"/>
              <w:tab w:val="right" w:leader="dot" w:pos="9350"/>
            </w:tabs>
            <w:rPr>
              <w:rFonts w:eastAsiaTheme="minorEastAsia" w:cstheme="minorBidi"/>
              <w:b w:val="0"/>
              <w:bCs w:val="0"/>
              <w:smallCaps w:val="0"/>
              <w:noProof/>
              <w:sz w:val="24"/>
              <w:szCs w:val="24"/>
            </w:rPr>
          </w:pPr>
          <w:r>
            <w:rPr>
              <w:caps/>
              <w:u w:val="single"/>
            </w:rPr>
            <w:fldChar w:fldCharType="begin"/>
          </w:r>
          <w:r>
            <w:rPr>
              <w:caps/>
              <w:u w:val="single"/>
            </w:rPr>
            <w:instrText xml:space="preserve"> TOC \o "1-3" \h \z \u </w:instrText>
          </w:r>
          <w:r>
            <w:rPr>
              <w:caps/>
              <w:u w:val="single"/>
            </w:rPr>
            <w:fldChar w:fldCharType="separate"/>
          </w:r>
          <w:hyperlink w:anchor="_Toc132206205" w:history="1">
            <w:r w:rsidRPr="009C4BFB">
              <w:rPr>
                <w:rStyle w:val="Hyperlink"/>
                <w:rFonts w:eastAsia="Times New Roman"/>
                <w:noProof/>
              </w:rPr>
              <w:t>1.</w:t>
            </w:r>
            <w:r>
              <w:rPr>
                <w:rFonts w:eastAsiaTheme="minorEastAsia" w:cstheme="minorBidi"/>
                <w:b w:val="0"/>
                <w:bCs w:val="0"/>
                <w:smallCaps w:val="0"/>
                <w:noProof/>
                <w:sz w:val="24"/>
                <w:szCs w:val="24"/>
              </w:rPr>
              <w:tab/>
            </w:r>
            <w:r w:rsidRPr="009C4BFB">
              <w:rPr>
                <w:rStyle w:val="Hyperlink"/>
                <w:rFonts w:eastAsia="Times New Roman"/>
                <w:noProof/>
              </w:rPr>
              <w:t>Lack of consultation with First Nations about the proposed amendments.</w:t>
            </w:r>
            <w:r>
              <w:rPr>
                <w:noProof/>
                <w:webHidden/>
              </w:rPr>
              <w:tab/>
            </w:r>
            <w:r>
              <w:rPr>
                <w:noProof/>
                <w:webHidden/>
              </w:rPr>
              <w:fldChar w:fldCharType="begin"/>
            </w:r>
            <w:r>
              <w:rPr>
                <w:noProof/>
                <w:webHidden/>
              </w:rPr>
              <w:instrText xml:space="preserve"> PAGEREF _Toc132206205 \h </w:instrText>
            </w:r>
            <w:r>
              <w:rPr>
                <w:noProof/>
                <w:webHidden/>
              </w:rPr>
            </w:r>
            <w:r>
              <w:rPr>
                <w:noProof/>
                <w:webHidden/>
              </w:rPr>
              <w:fldChar w:fldCharType="separate"/>
            </w:r>
            <w:r>
              <w:rPr>
                <w:noProof/>
                <w:webHidden/>
              </w:rPr>
              <w:t>4</w:t>
            </w:r>
            <w:r>
              <w:rPr>
                <w:noProof/>
                <w:webHidden/>
              </w:rPr>
              <w:fldChar w:fldCharType="end"/>
            </w:r>
          </w:hyperlink>
        </w:p>
        <w:p w14:paraId="576D956E" w14:textId="4E270431" w:rsidR="00C35C40" w:rsidRDefault="00C35C40">
          <w:pPr>
            <w:pStyle w:val="TOC2"/>
            <w:tabs>
              <w:tab w:val="left" w:pos="410"/>
              <w:tab w:val="right" w:leader="dot" w:pos="9350"/>
            </w:tabs>
            <w:rPr>
              <w:rFonts w:eastAsiaTheme="minorEastAsia" w:cstheme="minorBidi"/>
              <w:b w:val="0"/>
              <w:bCs w:val="0"/>
              <w:smallCaps w:val="0"/>
              <w:noProof/>
              <w:sz w:val="24"/>
              <w:szCs w:val="24"/>
            </w:rPr>
          </w:pPr>
          <w:hyperlink w:anchor="_Toc132206206" w:history="1">
            <w:r w:rsidRPr="009C4BFB">
              <w:rPr>
                <w:rStyle w:val="Hyperlink"/>
                <w:noProof/>
              </w:rPr>
              <w:t>2.</w:t>
            </w:r>
            <w:r>
              <w:rPr>
                <w:rFonts w:eastAsiaTheme="minorEastAsia" w:cstheme="minorBidi"/>
                <w:b w:val="0"/>
                <w:bCs w:val="0"/>
                <w:smallCaps w:val="0"/>
                <w:noProof/>
                <w:sz w:val="24"/>
                <w:szCs w:val="24"/>
              </w:rPr>
              <w:tab/>
            </w:r>
            <w:r w:rsidRPr="009C4BFB">
              <w:rPr>
                <w:rStyle w:val="Hyperlink"/>
                <w:noProof/>
              </w:rPr>
              <w:t>Change in statutory decision-making authority</w:t>
            </w:r>
            <w:r>
              <w:rPr>
                <w:noProof/>
                <w:webHidden/>
              </w:rPr>
              <w:tab/>
            </w:r>
            <w:r>
              <w:rPr>
                <w:noProof/>
                <w:webHidden/>
              </w:rPr>
              <w:fldChar w:fldCharType="begin"/>
            </w:r>
            <w:r>
              <w:rPr>
                <w:noProof/>
                <w:webHidden/>
              </w:rPr>
              <w:instrText xml:space="preserve"> PAGEREF _Toc132206206 \h </w:instrText>
            </w:r>
            <w:r>
              <w:rPr>
                <w:noProof/>
                <w:webHidden/>
              </w:rPr>
            </w:r>
            <w:r>
              <w:rPr>
                <w:noProof/>
                <w:webHidden/>
              </w:rPr>
              <w:fldChar w:fldCharType="separate"/>
            </w:r>
            <w:r>
              <w:rPr>
                <w:noProof/>
                <w:webHidden/>
              </w:rPr>
              <w:t>4</w:t>
            </w:r>
            <w:r>
              <w:rPr>
                <w:noProof/>
                <w:webHidden/>
              </w:rPr>
              <w:fldChar w:fldCharType="end"/>
            </w:r>
          </w:hyperlink>
        </w:p>
        <w:p w14:paraId="220A7527" w14:textId="47336171" w:rsidR="00C35C40" w:rsidRDefault="00C35C40">
          <w:pPr>
            <w:pStyle w:val="TOC2"/>
            <w:tabs>
              <w:tab w:val="left" w:pos="410"/>
              <w:tab w:val="right" w:leader="dot" w:pos="9350"/>
            </w:tabs>
            <w:rPr>
              <w:rFonts w:eastAsiaTheme="minorEastAsia" w:cstheme="minorBidi"/>
              <w:b w:val="0"/>
              <w:bCs w:val="0"/>
              <w:smallCaps w:val="0"/>
              <w:noProof/>
              <w:sz w:val="24"/>
              <w:szCs w:val="24"/>
            </w:rPr>
          </w:pPr>
          <w:hyperlink w:anchor="_Toc132206207" w:history="1">
            <w:r w:rsidRPr="009C4BFB">
              <w:rPr>
                <w:rStyle w:val="Hyperlink"/>
                <w:noProof/>
              </w:rPr>
              <w:t>3.</w:t>
            </w:r>
            <w:r>
              <w:rPr>
                <w:rFonts w:eastAsiaTheme="minorEastAsia" w:cstheme="minorBidi"/>
                <w:b w:val="0"/>
                <w:bCs w:val="0"/>
                <w:smallCaps w:val="0"/>
                <w:noProof/>
                <w:sz w:val="24"/>
                <w:szCs w:val="24"/>
              </w:rPr>
              <w:tab/>
            </w:r>
            <w:r w:rsidRPr="009C4BFB">
              <w:rPr>
                <w:rStyle w:val="Hyperlink"/>
                <w:noProof/>
              </w:rPr>
              <w:t>Change in standard required for reclamation</w:t>
            </w:r>
            <w:r>
              <w:rPr>
                <w:noProof/>
                <w:webHidden/>
              </w:rPr>
              <w:tab/>
            </w:r>
            <w:r>
              <w:rPr>
                <w:noProof/>
                <w:webHidden/>
              </w:rPr>
              <w:fldChar w:fldCharType="begin"/>
            </w:r>
            <w:r>
              <w:rPr>
                <w:noProof/>
                <w:webHidden/>
              </w:rPr>
              <w:instrText xml:space="preserve"> PAGEREF _Toc132206207 \h </w:instrText>
            </w:r>
            <w:r>
              <w:rPr>
                <w:noProof/>
                <w:webHidden/>
              </w:rPr>
            </w:r>
            <w:r>
              <w:rPr>
                <w:noProof/>
                <w:webHidden/>
              </w:rPr>
              <w:fldChar w:fldCharType="separate"/>
            </w:r>
            <w:r>
              <w:rPr>
                <w:noProof/>
                <w:webHidden/>
              </w:rPr>
              <w:t>5</w:t>
            </w:r>
            <w:r>
              <w:rPr>
                <w:noProof/>
                <w:webHidden/>
              </w:rPr>
              <w:fldChar w:fldCharType="end"/>
            </w:r>
          </w:hyperlink>
        </w:p>
        <w:p w14:paraId="063D2AFE" w14:textId="5D06D919" w:rsidR="00C35C40" w:rsidRDefault="00C35C40">
          <w:pPr>
            <w:pStyle w:val="TOC2"/>
            <w:tabs>
              <w:tab w:val="left" w:pos="410"/>
              <w:tab w:val="right" w:leader="dot" w:pos="9350"/>
            </w:tabs>
            <w:rPr>
              <w:rFonts w:eastAsiaTheme="minorEastAsia" w:cstheme="minorBidi"/>
              <w:b w:val="0"/>
              <w:bCs w:val="0"/>
              <w:smallCaps w:val="0"/>
              <w:noProof/>
              <w:sz w:val="24"/>
              <w:szCs w:val="24"/>
            </w:rPr>
          </w:pPr>
          <w:hyperlink w:anchor="_Toc132206208" w:history="1">
            <w:r w:rsidRPr="009C4BFB">
              <w:rPr>
                <w:rStyle w:val="Hyperlink"/>
                <w:noProof/>
              </w:rPr>
              <w:t>4.</w:t>
            </w:r>
            <w:r>
              <w:rPr>
                <w:rFonts w:eastAsiaTheme="minorEastAsia" w:cstheme="minorBidi"/>
                <w:b w:val="0"/>
                <w:bCs w:val="0"/>
                <w:smallCaps w:val="0"/>
                <w:noProof/>
                <w:sz w:val="24"/>
                <w:szCs w:val="24"/>
              </w:rPr>
              <w:tab/>
            </w:r>
            <w:r w:rsidRPr="009C4BFB">
              <w:rPr>
                <w:rStyle w:val="Hyperlink"/>
                <w:noProof/>
              </w:rPr>
              <w:t>Changes to closure plan requirements</w:t>
            </w:r>
            <w:r>
              <w:rPr>
                <w:noProof/>
                <w:webHidden/>
              </w:rPr>
              <w:tab/>
            </w:r>
            <w:r>
              <w:rPr>
                <w:noProof/>
                <w:webHidden/>
              </w:rPr>
              <w:fldChar w:fldCharType="begin"/>
            </w:r>
            <w:r>
              <w:rPr>
                <w:noProof/>
                <w:webHidden/>
              </w:rPr>
              <w:instrText xml:space="preserve"> PAGEREF _Toc132206208 \h </w:instrText>
            </w:r>
            <w:r>
              <w:rPr>
                <w:noProof/>
                <w:webHidden/>
              </w:rPr>
            </w:r>
            <w:r>
              <w:rPr>
                <w:noProof/>
                <w:webHidden/>
              </w:rPr>
              <w:fldChar w:fldCharType="separate"/>
            </w:r>
            <w:r>
              <w:rPr>
                <w:noProof/>
                <w:webHidden/>
              </w:rPr>
              <w:t>6</w:t>
            </w:r>
            <w:r>
              <w:rPr>
                <w:noProof/>
                <w:webHidden/>
              </w:rPr>
              <w:fldChar w:fldCharType="end"/>
            </w:r>
          </w:hyperlink>
        </w:p>
        <w:p w14:paraId="73A7133C" w14:textId="439C9F27" w:rsidR="00C35C40" w:rsidRDefault="00C35C40">
          <w:pPr>
            <w:pStyle w:val="TOC2"/>
            <w:tabs>
              <w:tab w:val="left" w:pos="410"/>
              <w:tab w:val="right" w:leader="dot" w:pos="9350"/>
            </w:tabs>
            <w:rPr>
              <w:rFonts w:eastAsiaTheme="minorEastAsia" w:cstheme="minorBidi"/>
              <w:b w:val="0"/>
              <w:bCs w:val="0"/>
              <w:smallCaps w:val="0"/>
              <w:noProof/>
              <w:sz w:val="24"/>
              <w:szCs w:val="24"/>
            </w:rPr>
          </w:pPr>
          <w:hyperlink w:anchor="_Toc132206209" w:history="1">
            <w:r w:rsidRPr="009C4BFB">
              <w:rPr>
                <w:rStyle w:val="Hyperlink"/>
                <w:noProof/>
              </w:rPr>
              <w:t>5.</w:t>
            </w:r>
            <w:r>
              <w:rPr>
                <w:rFonts w:eastAsiaTheme="minorEastAsia" w:cstheme="minorBidi"/>
                <w:b w:val="0"/>
                <w:bCs w:val="0"/>
                <w:smallCaps w:val="0"/>
                <w:noProof/>
                <w:sz w:val="24"/>
                <w:szCs w:val="24"/>
              </w:rPr>
              <w:tab/>
            </w:r>
            <w:r w:rsidRPr="009C4BFB">
              <w:rPr>
                <w:rStyle w:val="Hyperlink"/>
                <w:noProof/>
              </w:rPr>
              <w:t>Lay the necessary groundwork for anticipated regulatory amendments to Part VII (Rehabilitation) of the Act</w:t>
            </w:r>
            <w:r>
              <w:rPr>
                <w:noProof/>
                <w:webHidden/>
              </w:rPr>
              <w:tab/>
            </w:r>
            <w:r>
              <w:rPr>
                <w:noProof/>
                <w:webHidden/>
              </w:rPr>
              <w:fldChar w:fldCharType="begin"/>
            </w:r>
            <w:r>
              <w:rPr>
                <w:noProof/>
                <w:webHidden/>
              </w:rPr>
              <w:instrText xml:space="preserve"> PAGEREF _Toc132206209 \h </w:instrText>
            </w:r>
            <w:r>
              <w:rPr>
                <w:noProof/>
                <w:webHidden/>
              </w:rPr>
            </w:r>
            <w:r>
              <w:rPr>
                <w:noProof/>
                <w:webHidden/>
              </w:rPr>
              <w:fldChar w:fldCharType="separate"/>
            </w:r>
            <w:r>
              <w:rPr>
                <w:noProof/>
                <w:webHidden/>
              </w:rPr>
              <w:t>7</w:t>
            </w:r>
            <w:r>
              <w:rPr>
                <w:noProof/>
                <w:webHidden/>
              </w:rPr>
              <w:fldChar w:fldCharType="end"/>
            </w:r>
          </w:hyperlink>
        </w:p>
        <w:p w14:paraId="6B99D124" w14:textId="7BEB6DFD" w:rsidR="00C35C40" w:rsidRDefault="00C35C40">
          <w:pPr>
            <w:pStyle w:val="TOC2"/>
            <w:tabs>
              <w:tab w:val="left" w:pos="410"/>
              <w:tab w:val="right" w:leader="dot" w:pos="9350"/>
            </w:tabs>
            <w:rPr>
              <w:rFonts w:eastAsiaTheme="minorEastAsia" w:cstheme="minorBidi"/>
              <w:b w:val="0"/>
              <w:bCs w:val="0"/>
              <w:smallCaps w:val="0"/>
              <w:noProof/>
              <w:sz w:val="24"/>
              <w:szCs w:val="24"/>
            </w:rPr>
          </w:pPr>
          <w:hyperlink w:anchor="_Toc132206210" w:history="1">
            <w:r w:rsidRPr="009C4BFB">
              <w:rPr>
                <w:rStyle w:val="Hyperlink"/>
                <w:noProof/>
              </w:rPr>
              <w:t>6.</w:t>
            </w:r>
            <w:r>
              <w:rPr>
                <w:rFonts w:eastAsiaTheme="minorEastAsia" w:cstheme="minorBidi"/>
                <w:b w:val="0"/>
                <w:bCs w:val="0"/>
                <w:smallCaps w:val="0"/>
                <w:noProof/>
                <w:sz w:val="24"/>
                <w:szCs w:val="24"/>
              </w:rPr>
              <w:tab/>
            </w:r>
            <w:r w:rsidRPr="009C4BFB">
              <w:rPr>
                <w:rStyle w:val="Hyperlink"/>
                <w:noProof/>
              </w:rPr>
              <w:t>Replace ministry technical review of the closure plan with review by qualified persons.</w:t>
            </w:r>
            <w:r>
              <w:rPr>
                <w:noProof/>
                <w:webHidden/>
              </w:rPr>
              <w:tab/>
            </w:r>
            <w:r>
              <w:rPr>
                <w:noProof/>
                <w:webHidden/>
              </w:rPr>
              <w:fldChar w:fldCharType="begin"/>
            </w:r>
            <w:r>
              <w:rPr>
                <w:noProof/>
                <w:webHidden/>
              </w:rPr>
              <w:instrText xml:space="preserve"> PAGEREF _Toc132206210 \h </w:instrText>
            </w:r>
            <w:r>
              <w:rPr>
                <w:noProof/>
                <w:webHidden/>
              </w:rPr>
            </w:r>
            <w:r>
              <w:rPr>
                <w:noProof/>
                <w:webHidden/>
              </w:rPr>
              <w:fldChar w:fldCharType="separate"/>
            </w:r>
            <w:r>
              <w:rPr>
                <w:noProof/>
                <w:webHidden/>
              </w:rPr>
              <w:t>7</w:t>
            </w:r>
            <w:r>
              <w:rPr>
                <w:noProof/>
                <w:webHidden/>
              </w:rPr>
              <w:fldChar w:fldCharType="end"/>
            </w:r>
          </w:hyperlink>
        </w:p>
        <w:p w14:paraId="06F94519" w14:textId="11891452" w:rsidR="00C35C40" w:rsidRDefault="00C35C40">
          <w:pPr>
            <w:pStyle w:val="TOC2"/>
            <w:tabs>
              <w:tab w:val="left" w:pos="410"/>
              <w:tab w:val="right" w:leader="dot" w:pos="9350"/>
            </w:tabs>
            <w:rPr>
              <w:rFonts w:eastAsiaTheme="minorEastAsia" w:cstheme="minorBidi"/>
              <w:b w:val="0"/>
              <w:bCs w:val="0"/>
              <w:smallCaps w:val="0"/>
              <w:noProof/>
              <w:sz w:val="24"/>
              <w:szCs w:val="24"/>
            </w:rPr>
          </w:pPr>
          <w:hyperlink w:anchor="_Toc132206211" w:history="1">
            <w:r w:rsidRPr="009C4BFB">
              <w:rPr>
                <w:rStyle w:val="Hyperlink"/>
                <w:rFonts w:eastAsia="Times New Roman"/>
                <w:noProof/>
              </w:rPr>
              <w:t>7.</w:t>
            </w:r>
            <w:r>
              <w:rPr>
                <w:rFonts w:eastAsiaTheme="minorEastAsia" w:cstheme="minorBidi"/>
                <w:b w:val="0"/>
                <w:bCs w:val="0"/>
                <w:smallCaps w:val="0"/>
                <w:noProof/>
                <w:sz w:val="24"/>
                <w:szCs w:val="24"/>
              </w:rPr>
              <w:tab/>
            </w:r>
            <w:r w:rsidRPr="009C4BFB">
              <w:rPr>
                <w:rStyle w:val="Hyperlink"/>
                <w:noProof/>
              </w:rPr>
              <w:t>Allow financial assurance requirements to be amended without a closure plan amendment; codify the practice of phased financial assurance; allow pledge of assets as a security</w:t>
            </w:r>
            <w:r w:rsidRPr="009C4BFB">
              <w:rPr>
                <w:rStyle w:val="Hyperlink"/>
                <w:rFonts w:eastAsia="Times New Roman"/>
                <w:noProof/>
              </w:rPr>
              <w:t>.</w:t>
            </w:r>
            <w:r>
              <w:rPr>
                <w:noProof/>
                <w:webHidden/>
              </w:rPr>
              <w:tab/>
            </w:r>
            <w:r>
              <w:rPr>
                <w:noProof/>
                <w:webHidden/>
              </w:rPr>
              <w:fldChar w:fldCharType="begin"/>
            </w:r>
            <w:r>
              <w:rPr>
                <w:noProof/>
                <w:webHidden/>
              </w:rPr>
              <w:instrText xml:space="preserve"> PAGEREF _Toc132206211 \h </w:instrText>
            </w:r>
            <w:r>
              <w:rPr>
                <w:noProof/>
                <w:webHidden/>
              </w:rPr>
            </w:r>
            <w:r>
              <w:rPr>
                <w:noProof/>
                <w:webHidden/>
              </w:rPr>
              <w:fldChar w:fldCharType="separate"/>
            </w:r>
            <w:r>
              <w:rPr>
                <w:noProof/>
                <w:webHidden/>
              </w:rPr>
              <w:t>8</w:t>
            </w:r>
            <w:r>
              <w:rPr>
                <w:noProof/>
                <w:webHidden/>
              </w:rPr>
              <w:fldChar w:fldCharType="end"/>
            </w:r>
          </w:hyperlink>
        </w:p>
        <w:p w14:paraId="23DC7CAB" w14:textId="5D87F817" w:rsidR="00C35C40" w:rsidRDefault="00C35C40">
          <w:pPr>
            <w:pStyle w:val="TOC2"/>
            <w:tabs>
              <w:tab w:val="left" w:pos="410"/>
              <w:tab w:val="right" w:leader="dot" w:pos="9350"/>
            </w:tabs>
            <w:rPr>
              <w:rFonts w:eastAsiaTheme="minorEastAsia" w:cstheme="minorBidi"/>
              <w:b w:val="0"/>
              <w:bCs w:val="0"/>
              <w:smallCaps w:val="0"/>
              <w:noProof/>
              <w:sz w:val="24"/>
              <w:szCs w:val="24"/>
            </w:rPr>
          </w:pPr>
          <w:hyperlink w:anchor="_Toc132206212" w:history="1">
            <w:r w:rsidRPr="009C4BFB">
              <w:rPr>
                <w:rStyle w:val="Hyperlink"/>
                <w:noProof/>
              </w:rPr>
              <w:t>8.</w:t>
            </w:r>
            <w:r>
              <w:rPr>
                <w:rFonts w:eastAsiaTheme="minorEastAsia" w:cstheme="minorBidi"/>
                <w:b w:val="0"/>
                <w:bCs w:val="0"/>
                <w:smallCaps w:val="0"/>
                <w:noProof/>
                <w:sz w:val="24"/>
                <w:szCs w:val="24"/>
              </w:rPr>
              <w:tab/>
            </w:r>
            <w:r w:rsidRPr="009C4BFB">
              <w:rPr>
                <w:rStyle w:val="Hyperlink"/>
                <w:noProof/>
              </w:rPr>
              <w:t>Allow the Minister to defer or amend required elements of the closure plan, upon request of a proponent</w:t>
            </w:r>
            <w:r>
              <w:rPr>
                <w:noProof/>
                <w:webHidden/>
              </w:rPr>
              <w:tab/>
            </w:r>
            <w:r>
              <w:rPr>
                <w:noProof/>
                <w:webHidden/>
              </w:rPr>
              <w:fldChar w:fldCharType="begin"/>
            </w:r>
            <w:r>
              <w:rPr>
                <w:noProof/>
                <w:webHidden/>
              </w:rPr>
              <w:instrText xml:space="preserve"> PAGEREF _Toc132206212 \h </w:instrText>
            </w:r>
            <w:r>
              <w:rPr>
                <w:noProof/>
                <w:webHidden/>
              </w:rPr>
            </w:r>
            <w:r>
              <w:rPr>
                <w:noProof/>
                <w:webHidden/>
              </w:rPr>
              <w:fldChar w:fldCharType="separate"/>
            </w:r>
            <w:r>
              <w:rPr>
                <w:noProof/>
                <w:webHidden/>
              </w:rPr>
              <w:t>9</w:t>
            </w:r>
            <w:r>
              <w:rPr>
                <w:noProof/>
                <w:webHidden/>
              </w:rPr>
              <w:fldChar w:fldCharType="end"/>
            </w:r>
          </w:hyperlink>
        </w:p>
        <w:p w14:paraId="5CA76285" w14:textId="4F36B8E1" w:rsidR="00C35C40" w:rsidRDefault="00C35C40">
          <w:pPr>
            <w:pStyle w:val="TOC2"/>
            <w:tabs>
              <w:tab w:val="left" w:pos="410"/>
              <w:tab w:val="right" w:leader="dot" w:pos="9350"/>
            </w:tabs>
            <w:rPr>
              <w:rFonts w:eastAsiaTheme="minorEastAsia" w:cstheme="minorBidi"/>
              <w:b w:val="0"/>
              <w:bCs w:val="0"/>
              <w:smallCaps w:val="0"/>
              <w:noProof/>
              <w:sz w:val="24"/>
              <w:szCs w:val="24"/>
            </w:rPr>
          </w:pPr>
          <w:hyperlink w:anchor="_Toc132206213" w:history="1">
            <w:r w:rsidRPr="009C4BFB">
              <w:rPr>
                <w:rStyle w:val="Hyperlink"/>
                <w:noProof/>
              </w:rPr>
              <w:t>9.</w:t>
            </w:r>
            <w:r>
              <w:rPr>
                <w:rFonts w:eastAsiaTheme="minorEastAsia" w:cstheme="minorBidi"/>
                <w:b w:val="0"/>
                <w:bCs w:val="0"/>
                <w:smallCaps w:val="0"/>
                <w:noProof/>
                <w:sz w:val="24"/>
                <w:szCs w:val="24"/>
              </w:rPr>
              <w:tab/>
            </w:r>
            <w:r w:rsidRPr="009C4BFB">
              <w:rPr>
                <w:rStyle w:val="Hyperlink"/>
                <w:noProof/>
              </w:rPr>
              <w:t>Change the definition of “rehabilitate” and “protective measures” to allow “alternate uses” post-closure (Section 139)</w:t>
            </w:r>
            <w:r>
              <w:rPr>
                <w:noProof/>
                <w:webHidden/>
              </w:rPr>
              <w:tab/>
            </w:r>
            <w:r>
              <w:rPr>
                <w:noProof/>
                <w:webHidden/>
              </w:rPr>
              <w:fldChar w:fldCharType="begin"/>
            </w:r>
            <w:r>
              <w:rPr>
                <w:noProof/>
                <w:webHidden/>
              </w:rPr>
              <w:instrText xml:space="preserve"> PAGEREF _Toc132206213 \h </w:instrText>
            </w:r>
            <w:r>
              <w:rPr>
                <w:noProof/>
                <w:webHidden/>
              </w:rPr>
            </w:r>
            <w:r>
              <w:rPr>
                <w:noProof/>
                <w:webHidden/>
              </w:rPr>
              <w:fldChar w:fldCharType="separate"/>
            </w:r>
            <w:r>
              <w:rPr>
                <w:noProof/>
                <w:webHidden/>
              </w:rPr>
              <w:t>9</w:t>
            </w:r>
            <w:r>
              <w:rPr>
                <w:noProof/>
                <w:webHidden/>
              </w:rPr>
              <w:fldChar w:fldCharType="end"/>
            </w:r>
          </w:hyperlink>
        </w:p>
        <w:p w14:paraId="1C7B5D36" w14:textId="2C84168D" w:rsidR="00C35C40" w:rsidRDefault="00C35C40">
          <w:pPr>
            <w:pStyle w:val="TOC2"/>
            <w:tabs>
              <w:tab w:val="right" w:leader="dot" w:pos="9350"/>
            </w:tabs>
            <w:rPr>
              <w:rFonts w:eastAsiaTheme="minorEastAsia" w:cstheme="minorBidi"/>
              <w:b w:val="0"/>
              <w:bCs w:val="0"/>
              <w:smallCaps w:val="0"/>
              <w:noProof/>
              <w:sz w:val="24"/>
              <w:szCs w:val="24"/>
            </w:rPr>
          </w:pPr>
          <w:hyperlink w:anchor="_Toc132206214" w:history="1">
            <w:r w:rsidRPr="009C4BFB">
              <w:rPr>
                <w:rStyle w:val="Hyperlink"/>
                <w:noProof/>
              </w:rPr>
              <w:t>Conclusion</w:t>
            </w:r>
            <w:r>
              <w:rPr>
                <w:noProof/>
                <w:webHidden/>
              </w:rPr>
              <w:tab/>
            </w:r>
            <w:r>
              <w:rPr>
                <w:noProof/>
                <w:webHidden/>
              </w:rPr>
              <w:fldChar w:fldCharType="begin"/>
            </w:r>
            <w:r>
              <w:rPr>
                <w:noProof/>
                <w:webHidden/>
              </w:rPr>
              <w:instrText xml:space="preserve"> PAGEREF _Toc132206214 \h </w:instrText>
            </w:r>
            <w:r>
              <w:rPr>
                <w:noProof/>
                <w:webHidden/>
              </w:rPr>
            </w:r>
            <w:r>
              <w:rPr>
                <w:noProof/>
                <w:webHidden/>
              </w:rPr>
              <w:fldChar w:fldCharType="separate"/>
            </w:r>
            <w:r>
              <w:rPr>
                <w:noProof/>
                <w:webHidden/>
              </w:rPr>
              <w:t>10</w:t>
            </w:r>
            <w:r>
              <w:rPr>
                <w:noProof/>
                <w:webHidden/>
              </w:rPr>
              <w:fldChar w:fldCharType="end"/>
            </w:r>
          </w:hyperlink>
        </w:p>
        <w:p w14:paraId="6D909A1D" w14:textId="43B3B2BD" w:rsidR="00C35C40" w:rsidRDefault="00C35C40">
          <w:r>
            <w:rPr>
              <w:rFonts w:cstheme="minorHAnsi"/>
              <w:caps/>
              <w:sz w:val="22"/>
              <w:szCs w:val="22"/>
              <w:u w:val="single"/>
            </w:rPr>
            <w:fldChar w:fldCharType="end"/>
          </w:r>
        </w:p>
      </w:sdtContent>
    </w:sdt>
    <w:p w14:paraId="140DE563" w14:textId="33A39B27" w:rsidR="00202212" w:rsidRPr="00BB0C12" w:rsidRDefault="00202212" w:rsidP="00202212">
      <w:pPr>
        <w:rPr>
          <w:color w:val="000000" w:themeColor="text1"/>
        </w:rPr>
      </w:pPr>
      <w:r w:rsidRPr="00BB0C12">
        <w:rPr>
          <w:color w:val="000000" w:themeColor="text1"/>
        </w:rPr>
        <w:t>Let’s look at the issues with these proposed amendments:</w:t>
      </w:r>
    </w:p>
    <w:p w14:paraId="0323085F" w14:textId="77777777" w:rsidR="00202212" w:rsidRPr="00BB0C12" w:rsidRDefault="00202212" w:rsidP="00202212">
      <w:pPr>
        <w:rPr>
          <w:color w:val="000000" w:themeColor="text1"/>
        </w:rPr>
      </w:pPr>
    </w:p>
    <w:p w14:paraId="4EAB823A" w14:textId="618F8880" w:rsidR="00202212" w:rsidRPr="00BB0C12" w:rsidRDefault="00202212" w:rsidP="00C35C40">
      <w:pPr>
        <w:pStyle w:val="Heading2"/>
        <w:numPr>
          <w:ilvl w:val="0"/>
          <w:numId w:val="17"/>
        </w:numPr>
        <w:rPr>
          <w:rFonts w:eastAsia="Times New Roman"/>
        </w:rPr>
      </w:pPr>
      <w:bookmarkStart w:id="0" w:name="_Toc132206205"/>
      <w:r w:rsidRPr="00BB0C12">
        <w:rPr>
          <w:rFonts w:eastAsia="Times New Roman"/>
        </w:rPr>
        <w:t xml:space="preserve">Lack of </w:t>
      </w:r>
      <w:r w:rsidR="000A4F48" w:rsidRPr="00BB0C12">
        <w:rPr>
          <w:rFonts w:eastAsia="Times New Roman"/>
        </w:rPr>
        <w:t xml:space="preserve">consultation </w:t>
      </w:r>
      <w:r w:rsidRPr="00BB0C12">
        <w:rPr>
          <w:rFonts w:eastAsia="Times New Roman"/>
        </w:rPr>
        <w:t>with First Nations about the proposed amendments.</w:t>
      </w:r>
      <w:bookmarkEnd w:id="0"/>
      <w:r w:rsidRPr="00BB0C12">
        <w:rPr>
          <w:rFonts w:eastAsia="Times New Roman"/>
        </w:rPr>
        <w:t xml:space="preserve"> </w:t>
      </w:r>
    </w:p>
    <w:p w14:paraId="617739EB" w14:textId="77777777" w:rsidR="00202212" w:rsidRPr="00BB0C12" w:rsidRDefault="00202212" w:rsidP="00202212">
      <w:pPr>
        <w:rPr>
          <w:color w:val="000000" w:themeColor="text1"/>
        </w:rPr>
      </w:pPr>
    </w:p>
    <w:p w14:paraId="6BCF64D6" w14:textId="5CAE5F48" w:rsidR="00202212" w:rsidRPr="00BB0C12" w:rsidRDefault="00202212" w:rsidP="00202212">
      <w:pPr>
        <w:rPr>
          <w:color w:val="000000" w:themeColor="text1"/>
        </w:rPr>
      </w:pPr>
      <w:r w:rsidRPr="00BB0C12">
        <w:rPr>
          <w:color w:val="000000" w:themeColor="text1"/>
        </w:rPr>
        <w:t xml:space="preserve">The amendments are already being opposed by </w:t>
      </w:r>
      <w:r w:rsidR="000A4F48" w:rsidRPr="00BB0C12">
        <w:rPr>
          <w:color w:val="000000" w:themeColor="text1"/>
        </w:rPr>
        <w:t xml:space="preserve">many </w:t>
      </w:r>
      <w:r w:rsidRPr="00BB0C12">
        <w:rPr>
          <w:color w:val="000000" w:themeColor="text1"/>
        </w:rPr>
        <w:t>First Nations in northern Ontario. Attawapiskat</w:t>
      </w:r>
      <w:r w:rsidR="00865077">
        <w:rPr>
          <w:color w:val="000000" w:themeColor="text1"/>
        </w:rPr>
        <w:t xml:space="preserve">, </w:t>
      </w:r>
      <w:proofErr w:type="spellStart"/>
      <w:r w:rsidR="00865077">
        <w:rPr>
          <w:color w:val="000000" w:themeColor="text1"/>
        </w:rPr>
        <w:t>Ginoogaming</w:t>
      </w:r>
      <w:proofErr w:type="spellEnd"/>
      <w:r w:rsidR="00865077">
        <w:rPr>
          <w:color w:val="000000" w:themeColor="text1"/>
        </w:rPr>
        <w:t xml:space="preserve">, Constance Lake and </w:t>
      </w:r>
      <w:proofErr w:type="spellStart"/>
      <w:r w:rsidR="00865077">
        <w:rPr>
          <w:color w:val="000000" w:themeColor="text1"/>
        </w:rPr>
        <w:t>Aroland</w:t>
      </w:r>
      <w:proofErr w:type="spellEnd"/>
      <w:r w:rsidRPr="00BB0C12">
        <w:rPr>
          <w:color w:val="000000" w:themeColor="text1"/>
        </w:rPr>
        <w:t xml:space="preserve"> </w:t>
      </w:r>
      <w:r w:rsidR="00865077">
        <w:rPr>
          <w:color w:val="000000" w:themeColor="text1"/>
        </w:rPr>
        <w:t xml:space="preserve">First Nations </w:t>
      </w:r>
      <w:r w:rsidRPr="00BB0C12">
        <w:rPr>
          <w:color w:val="000000" w:themeColor="text1"/>
        </w:rPr>
        <w:t>are challenging the process in the courts. Five northwestern Ontario First Nations</w:t>
      </w:r>
      <w:r w:rsidR="0029068A">
        <w:rPr>
          <w:color w:val="000000" w:themeColor="text1"/>
        </w:rPr>
        <w:t xml:space="preserve"> (</w:t>
      </w:r>
      <w:proofErr w:type="spellStart"/>
      <w:r w:rsidR="0029068A">
        <w:rPr>
          <w:color w:val="000000" w:themeColor="text1"/>
        </w:rPr>
        <w:t>Kitchenuhmaykoosib</w:t>
      </w:r>
      <w:proofErr w:type="spellEnd"/>
      <w:r w:rsidR="0029068A">
        <w:rPr>
          <w:color w:val="000000" w:themeColor="text1"/>
        </w:rPr>
        <w:t xml:space="preserve">, Grassy Narrows, </w:t>
      </w:r>
      <w:proofErr w:type="spellStart"/>
      <w:r w:rsidR="0029068A">
        <w:rPr>
          <w:color w:val="000000" w:themeColor="text1"/>
        </w:rPr>
        <w:t>Neskantaga</w:t>
      </w:r>
      <w:proofErr w:type="spellEnd"/>
      <w:r w:rsidR="0029068A">
        <w:rPr>
          <w:color w:val="000000" w:themeColor="text1"/>
        </w:rPr>
        <w:t xml:space="preserve">, </w:t>
      </w:r>
      <w:proofErr w:type="spellStart"/>
      <w:r w:rsidR="0029068A">
        <w:rPr>
          <w:color w:val="000000" w:themeColor="text1"/>
        </w:rPr>
        <w:t>Wapakeka</w:t>
      </w:r>
      <w:proofErr w:type="spellEnd"/>
      <w:r w:rsidR="0029068A">
        <w:rPr>
          <w:color w:val="000000" w:themeColor="text1"/>
        </w:rPr>
        <w:t xml:space="preserve"> and </w:t>
      </w:r>
      <w:proofErr w:type="spellStart"/>
      <w:r w:rsidR="0029068A">
        <w:rPr>
          <w:color w:val="000000" w:themeColor="text1"/>
        </w:rPr>
        <w:t>Muckrat</w:t>
      </w:r>
      <w:proofErr w:type="spellEnd"/>
      <w:r w:rsidR="0029068A">
        <w:rPr>
          <w:color w:val="000000" w:themeColor="text1"/>
        </w:rPr>
        <w:t xml:space="preserve"> Dam)</w:t>
      </w:r>
      <w:r w:rsidRPr="00BB0C12">
        <w:rPr>
          <w:color w:val="000000" w:themeColor="text1"/>
        </w:rPr>
        <w:t xml:space="preserve"> are challenging the free entry provisions in the current Mining Act. </w:t>
      </w:r>
      <w:r w:rsidR="00865077">
        <w:rPr>
          <w:color w:val="000000" w:themeColor="text1"/>
        </w:rPr>
        <w:t xml:space="preserve">In 2021, Attawapiskat, </w:t>
      </w:r>
      <w:proofErr w:type="spellStart"/>
      <w:r w:rsidR="00865077">
        <w:rPr>
          <w:color w:val="000000" w:themeColor="text1"/>
        </w:rPr>
        <w:t>Neskantaga</w:t>
      </w:r>
      <w:proofErr w:type="spellEnd"/>
      <w:r w:rsidR="00865077">
        <w:rPr>
          <w:color w:val="000000" w:themeColor="text1"/>
        </w:rPr>
        <w:t xml:space="preserve"> and Fort Albany signed a moratorium on new developments in the Ring of Fire deposit. </w:t>
      </w:r>
      <w:r w:rsidRPr="00BB0C12">
        <w:rPr>
          <w:color w:val="000000" w:themeColor="text1"/>
        </w:rPr>
        <w:t>The government</w:t>
      </w:r>
      <w:r w:rsidR="006913CF" w:rsidRPr="00BB0C12">
        <w:rPr>
          <w:color w:val="000000" w:themeColor="text1"/>
        </w:rPr>
        <w:t xml:space="preserve"> decision to delegate</w:t>
      </w:r>
      <w:r w:rsidRPr="00BB0C12">
        <w:rPr>
          <w:color w:val="000000" w:themeColor="text1"/>
        </w:rPr>
        <w:t xml:space="preserve"> consultation</w:t>
      </w:r>
      <w:r w:rsidR="000A4F48" w:rsidRPr="00BB0C12">
        <w:rPr>
          <w:color w:val="000000" w:themeColor="text1"/>
        </w:rPr>
        <w:t xml:space="preserve"> for the Ring of Fire access roads</w:t>
      </w:r>
      <w:r w:rsidRPr="00BB0C12">
        <w:rPr>
          <w:color w:val="000000" w:themeColor="text1"/>
        </w:rPr>
        <w:t xml:space="preserve"> to the Marten Falls and </w:t>
      </w:r>
      <w:proofErr w:type="spellStart"/>
      <w:r w:rsidRPr="00BB0C12">
        <w:rPr>
          <w:color w:val="000000" w:themeColor="text1"/>
        </w:rPr>
        <w:t>Webequie</w:t>
      </w:r>
      <w:proofErr w:type="spellEnd"/>
      <w:r w:rsidRPr="00BB0C12">
        <w:rPr>
          <w:color w:val="000000" w:themeColor="text1"/>
        </w:rPr>
        <w:t xml:space="preserve"> First Nations by paying them to become the proponents for the Environmental Assessment of the roads to the Ring of Fire has created anger and division. Any “efficiency” that the amendments are supposed to create will be offset by constitutional challenges and protests by First Nations and their allies. </w:t>
      </w:r>
    </w:p>
    <w:p w14:paraId="30D74B6D" w14:textId="77777777" w:rsidR="00202212" w:rsidRPr="00BB0C12" w:rsidRDefault="00202212" w:rsidP="00202212">
      <w:pPr>
        <w:rPr>
          <w:color w:val="000000" w:themeColor="text1"/>
        </w:rPr>
      </w:pPr>
    </w:p>
    <w:p w14:paraId="1E6AA635" w14:textId="2DAFC824" w:rsidR="00202212" w:rsidRPr="00C35C40" w:rsidRDefault="00202212" w:rsidP="00C35C40">
      <w:pPr>
        <w:pStyle w:val="Heading2"/>
        <w:numPr>
          <w:ilvl w:val="0"/>
          <w:numId w:val="17"/>
        </w:numPr>
      </w:pPr>
      <w:bookmarkStart w:id="1" w:name="_Toc132206206"/>
      <w:r w:rsidRPr="00C35C40">
        <w:t>Change in statutory decision-making authority</w:t>
      </w:r>
      <w:bookmarkEnd w:id="1"/>
    </w:p>
    <w:p w14:paraId="77AF9399" w14:textId="6D4A0444" w:rsidR="00202212" w:rsidRPr="00BB0C12" w:rsidRDefault="00202212" w:rsidP="00202212">
      <w:pPr>
        <w:spacing w:before="100" w:beforeAutospacing="1" w:after="100" w:afterAutospacing="1"/>
        <w:rPr>
          <w:rFonts w:eastAsia="Times New Roman" w:cstheme="minorHAnsi"/>
          <w:color w:val="000000" w:themeColor="text1"/>
        </w:rPr>
      </w:pPr>
      <w:r w:rsidRPr="00BB0C12">
        <w:rPr>
          <w:rFonts w:eastAsia="Times New Roman" w:cstheme="minorHAnsi"/>
          <w:color w:val="000000" w:themeColor="text1"/>
        </w:rPr>
        <w:t xml:space="preserve">The proposal </w:t>
      </w:r>
      <w:r w:rsidR="000A4F48" w:rsidRPr="00BB0C12">
        <w:rPr>
          <w:rFonts w:eastAsia="Times New Roman" w:cstheme="minorHAnsi"/>
          <w:color w:val="000000" w:themeColor="text1"/>
        </w:rPr>
        <w:t>would</w:t>
      </w:r>
      <w:r w:rsidRPr="00BB0C12">
        <w:rPr>
          <w:rFonts w:eastAsia="Times New Roman" w:cstheme="minorHAnsi"/>
          <w:color w:val="000000" w:themeColor="text1"/>
        </w:rPr>
        <w:t xml:space="preserve"> provide the Minister with decision-making authority and flexibility to delegate decision-making authority to others within the Ministry. The position of Director of Mine Rehabilitation is to be eliminated and any decisions of the Director of Mine Exploration can be over-ridden by the Minister. </w:t>
      </w:r>
    </w:p>
    <w:p w14:paraId="2501E61F" w14:textId="5C205AB3" w:rsidR="00202212" w:rsidRPr="00BB0C12" w:rsidRDefault="00202212" w:rsidP="00202212">
      <w:pPr>
        <w:spacing w:before="100" w:beforeAutospacing="1" w:after="100" w:afterAutospacing="1"/>
        <w:rPr>
          <w:rFonts w:eastAsia="Times New Roman" w:cstheme="minorHAnsi"/>
          <w:color w:val="000000" w:themeColor="text1"/>
        </w:rPr>
      </w:pPr>
      <w:r w:rsidRPr="00BB0C12">
        <w:rPr>
          <w:rFonts w:eastAsia="Times New Roman" w:cstheme="minorHAnsi"/>
          <w:color w:val="000000" w:themeColor="text1"/>
        </w:rPr>
        <w:lastRenderedPageBreak/>
        <w:t xml:space="preserve">The expertise and institutional experience that has been accumulated in the Department of Mine Rehabilitation will </w:t>
      </w:r>
      <w:r w:rsidR="0027377E">
        <w:rPr>
          <w:rFonts w:eastAsia="Times New Roman" w:cstheme="minorHAnsi"/>
          <w:color w:val="000000" w:themeColor="text1"/>
        </w:rPr>
        <w:t xml:space="preserve">be </w:t>
      </w:r>
      <w:r w:rsidRPr="00BB0C12">
        <w:rPr>
          <w:rFonts w:eastAsia="Times New Roman" w:cstheme="minorHAnsi"/>
          <w:color w:val="000000" w:themeColor="text1"/>
        </w:rPr>
        <w:t xml:space="preserve">disregarded and possibly lost under this amendment, and will be easily over-ridden by the Minister. Regulation 240-00 and its Schedule 1 (the Mine Rehabilitation Code) were developed over decades by the hard work of public servants like Dick Cowan, Bill </w:t>
      </w:r>
      <w:proofErr w:type="spellStart"/>
      <w:r w:rsidRPr="00BB0C12">
        <w:rPr>
          <w:rFonts w:eastAsia="Times New Roman" w:cstheme="minorHAnsi"/>
          <w:color w:val="000000" w:themeColor="text1"/>
        </w:rPr>
        <w:t>Mackasey</w:t>
      </w:r>
      <w:proofErr w:type="spellEnd"/>
      <w:r w:rsidR="000A4F48" w:rsidRPr="00BB0C12">
        <w:rPr>
          <w:rFonts w:eastAsia="Times New Roman" w:cstheme="minorHAnsi"/>
          <w:color w:val="000000" w:themeColor="text1"/>
        </w:rPr>
        <w:t>,</w:t>
      </w:r>
      <w:r w:rsidRPr="00BB0C12">
        <w:rPr>
          <w:rFonts w:eastAsia="Times New Roman" w:cstheme="minorHAnsi"/>
          <w:color w:val="000000" w:themeColor="text1"/>
        </w:rPr>
        <w:t xml:space="preserve"> and John Robertson. They had seen first-hand the result of unfettered mine development and inadequate financial assurance, and the resulting abandoned and orphaned mines, all 5700 of them, that dotted the Ontario landscape.  They helped create the Abandoned Mine Information Systems (AMIS) database, fought for effective financial assurance and long-term stewardship of sites, </w:t>
      </w:r>
      <w:r w:rsidR="000A4F48" w:rsidRPr="00BB0C12">
        <w:rPr>
          <w:rFonts w:eastAsia="Times New Roman" w:cstheme="minorHAnsi"/>
          <w:color w:val="000000" w:themeColor="text1"/>
        </w:rPr>
        <w:t xml:space="preserve">and </w:t>
      </w:r>
      <w:r w:rsidRPr="00BB0C12">
        <w:rPr>
          <w:rFonts w:eastAsia="Times New Roman" w:cstheme="minorHAnsi"/>
          <w:color w:val="000000" w:themeColor="text1"/>
        </w:rPr>
        <w:t xml:space="preserve">helped create the Mine Reclamation Code. The government of the day ensured that these protections were </w:t>
      </w:r>
      <w:r w:rsidR="000A4F48" w:rsidRPr="00BB0C12">
        <w:rPr>
          <w:rFonts w:eastAsia="Times New Roman" w:cstheme="minorHAnsi"/>
          <w:color w:val="000000" w:themeColor="text1"/>
        </w:rPr>
        <w:t xml:space="preserve">implemented </w:t>
      </w:r>
      <w:r w:rsidRPr="00BB0C12">
        <w:rPr>
          <w:rFonts w:eastAsia="Times New Roman" w:cstheme="minorHAnsi"/>
          <w:color w:val="000000" w:themeColor="text1"/>
        </w:rPr>
        <w:t xml:space="preserve">under a Mine Rehabilitation Department. </w:t>
      </w:r>
    </w:p>
    <w:p w14:paraId="114C5D97" w14:textId="77777777" w:rsidR="00C35C40" w:rsidRDefault="00202212" w:rsidP="00202212">
      <w:pPr>
        <w:spacing w:before="100" w:beforeAutospacing="1" w:after="100" w:afterAutospacing="1"/>
        <w:rPr>
          <w:rFonts w:eastAsia="Times New Roman" w:cstheme="minorHAnsi"/>
          <w:color w:val="000000" w:themeColor="text1"/>
        </w:rPr>
      </w:pPr>
      <w:r w:rsidRPr="00BB0C12">
        <w:rPr>
          <w:rFonts w:eastAsia="Times New Roman" w:cstheme="minorHAnsi"/>
          <w:color w:val="000000" w:themeColor="text1"/>
        </w:rPr>
        <w:t>It is with trepidation that we see that hard work undone, and the discretion once again returned to the Minister</w:t>
      </w:r>
      <w:r w:rsidR="000A4F48" w:rsidRPr="00BB0C12">
        <w:rPr>
          <w:rFonts w:eastAsia="Times New Roman" w:cstheme="minorHAnsi"/>
          <w:color w:val="000000" w:themeColor="text1"/>
        </w:rPr>
        <w:t xml:space="preserve"> - e</w:t>
      </w:r>
      <w:r w:rsidRPr="00BB0C12">
        <w:rPr>
          <w:rFonts w:eastAsia="Times New Roman" w:cstheme="minorHAnsi"/>
          <w:color w:val="000000" w:themeColor="text1"/>
        </w:rPr>
        <w:t xml:space="preserve">specially a Minister like the current one, who is deeply connected to the </w:t>
      </w:r>
      <w:r w:rsidR="000A4F48" w:rsidRPr="00BB0C12">
        <w:rPr>
          <w:rFonts w:eastAsia="Times New Roman" w:cstheme="minorHAnsi"/>
          <w:color w:val="000000" w:themeColor="text1"/>
        </w:rPr>
        <w:t xml:space="preserve">mining </w:t>
      </w:r>
      <w:r w:rsidRPr="00BB0C12">
        <w:rPr>
          <w:rFonts w:eastAsia="Times New Roman" w:cstheme="minorHAnsi"/>
          <w:color w:val="000000" w:themeColor="text1"/>
        </w:rPr>
        <w:t xml:space="preserve">industry and has </w:t>
      </w:r>
      <w:r w:rsidR="000A4F48" w:rsidRPr="00BB0C12">
        <w:rPr>
          <w:rFonts w:eastAsia="Times New Roman" w:cstheme="minorHAnsi"/>
          <w:color w:val="000000" w:themeColor="text1"/>
        </w:rPr>
        <w:t xml:space="preserve">expressed </w:t>
      </w:r>
      <w:r w:rsidRPr="00BB0C12">
        <w:rPr>
          <w:rFonts w:eastAsia="Times New Roman" w:cstheme="minorHAnsi"/>
          <w:color w:val="000000" w:themeColor="text1"/>
        </w:rPr>
        <w:t>so little regard for its people or the environment</w:t>
      </w:r>
      <w:r w:rsidR="00C35C40">
        <w:rPr>
          <w:rFonts w:eastAsia="Times New Roman" w:cstheme="minorHAnsi"/>
          <w:color w:val="000000" w:themeColor="text1"/>
        </w:rPr>
        <w:t xml:space="preserve">. </w:t>
      </w:r>
    </w:p>
    <w:p w14:paraId="3AD1A539" w14:textId="037756C9" w:rsidR="00C35C40" w:rsidRPr="00BB0C12" w:rsidRDefault="00C35C40" w:rsidP="00202212">
      <w:pPr>
        <w:spacing w:before="100" w:beforeAutospacing="1" w:after="100" w:afterAutospacing="1"/>
        <w:rPr>
          <w:rFonts w:eastAsia="Times New Roman" w:cstheme="minorHAnsi"/>
          <w:color w:val="000000" w:themeColor="text1"/>
        </w:rPr>
      </w:pPr>
      <w:r>
        <w:rPr>
          <w:rFonts w:eastAsia="Times New Roman" w:cstheme="minorHAnsi"/>
          <w:color w:val="000000" w:themeColor="text1"/>
        </w:rPr>
        <w:t xml:space="preserve">The public’s protection against inadequate mine waste handling </w:t>
      </w:r>
      <w:proofErr w:type="gramStart"/>
      <w:r>
        <w:rPr>
          <w:rFonts w:eastAsia="Times New Roman" w:cstheme="minorHAnsi"/>
          <w:color w:val="000000" w:themeColor="text1"/>
        </w:rPr>
        <w:t>is  further</w:t>
      </w:r>
      <w:proofErr w:type="gramEnd"/>
      <w:r>
        <w:rPr>
          <w:rFonts w:eastAsia="Times New Roman" w:cstheme="minorHAnsi"/>
          <w:color w:val="000000" w:themeColor="text1"/>
        </w:rPr>
        <w:t xml:space="preserve"> under-mined by other proposed changes to the Mining Act, as described below:</w:t>
      </w:r>
    </w:p>
    <w:p w14:paraId="7B8B566C" w14:textId="53E8B955" w:rsidR="00202212" w:rsidRPr="00C35C40" w:rsidRDefault="00202212" w:rsidP="00C35C40">
      <w:pPr>
        <w:pStyle w:val="Heading2"/>
        <w:numPr>
          <w:ilvl w:val="0"/>
          <w:numId w:val="17"/>
        </w:numPr>
      </w:pPr>
      <w:bookmarkStart w:id="2" w:name="_Toc132206207"/>
      <w:r w:rsidRPr="00C35C40">
        <w:t>Change in standard required for reclamation</w:t>
      </w:r>
      <w:bookmarkEnd w:id="2"/>
    </w:p>
    <w:p w14:paraId="7E15D76F" w14:textId="77777777" w:rsidR="00202212" w:rsidRPr="00BB0C12" w:rsidRDefault="00202212" w:rsidP="00202212">
      <w:pPr>
        <w:rPr>
          <w:rFonts w:ascii="Times New Roman" w:eastAsia="Times New Roman" w:hAnsi="Times New Roman" w:cs="Times New Roman"/>
          <w:color w:val="000000" w:themeColor="text1"/>
        </w:rPr>
      </w:pPr>
    </w:p>
    <w:p w14:paraId="68231F73" w14:textId="658142D5" w:rsidR="00202212" w:rsidRPr="00BB0C12" w:rsidRDefault="00202212" w:rsidP="00202212">
      <w:pPr>
        <w:rPr>
          <w:rFonts w:eastAsia="Times New Roman" w:cstheme="minorHAnsi"/>
          <w:color w:val="000000" w:themeColor="text1"/>
        </w:rPr>
      </w:pPr>
      <w:r w:rsidRPr="00BB0C12">
        <w:rPr>
          <w:rFonts w:eastAsia="Times New Roman" w:cstheme="minorHAnsi"/>
          <w:color w:val="000000" w:themeColor="text1"/>
        </w:rPr>
        <w:t xml:space="preserve">The proposed </w:t>
      </w:r>
      <w:r w:rsidR="000A4F48" w:rsidRPr="00BB0C12">
        <w:rPr>
          <w:rFonts w:eastAsia="Times New Roman" w:cstheme="minorHAnsi"/>
          <w:color w:val="000000" w:themeColor="text1"/>
        </w:rPr>
        <w:t>changes</w:t>
      </w:r>
      <w:r w:rsidRPr="00BB0C12">
        <w:rPr>
          <w:rFonts w:eastAsia="Times New Roman" w:cstheme="minorHAnsi"/>
          <w:color w:val="000000" w:themeColor="text1"/>
        </w:rPr>
        <w:t xml:space="preserve"> would amend the requirement that rehabilitation land be “improved</w:t>
      </w:r>
      <w:r w:rsidR="000A4F48" w:rsidRPr="00BB0C12">
        <w:rPr>
          <w:rFonts w:eastAsia="Times New Roman" w:cstheme="minorHAnsi"/>
          <w:color w:val="000000" w:themeColor="text1"/>
        </w:rPr>
        <w:t>,</w:t>
      </w:r>
      <w:r w:rsidRPr="00BB0C12">
        <w:rPr>
          <w:rFonts w:eastAsia="Times New Roman" w:cstheme="minorHAnsi"/>
          <w:color w:val="000000" w:themeColor="text1"/>
        </w:rPr>
        <w:t>” replac</w:t>
      </w:r>
      <w:r w:rsidR="000A4F48" w:rsidRPr="00BB0C12">
        <w:rPr>
          <w:rFonts w:eastAsia="Times New Roman" w:cstheme="minorHAnsi"/>
          <w:color w:val="000000" w:themeColor="text1"/>
        </w:rPr>
        <w:t>ing</w:t>
      </w:r>
      <w:r w:rsidRPr="00BB0C12">
        <w:rPr>
          <w:rFonts w:eastAsia="Times New Roman" w:cstheme="minorHAnsi"/>
          <w:color w:val="000000" w:themeColor="text1"/>
        </w:rPr>
        <w:t xml:space="preserve"> it with a requirement that the land be made “comparable to or better than” the prior condition – in each case, with respect to “one or both of public health and safety or the environment.”</w:t>
      </w:r>
      <w:r w:rsidR="00C35C40">
        <w:rPr>
          <w:rFonts w:eastAsia="Times New Roman" w:cstheme="minorHAnsi"/>
          <w:color w:val="000000" w:themeColor="text1"/>
        </w:rPr>
        <w:t xml:space="preserve"> </w:t>
      </w:r>
    </w:p>
    <w:p w14:paraId="4D7486CB" w14:textId="7BAF0D0E" w:rsidR="00202212" w:rsidRPr="00BB0C12" w:rsidRDefault="00202212" w:rsidP="00202212">
      <w:pPr>
        <w:rPr>
          <w:rFonts w:eastAsia="Times New Roman" w:cstheme="minorHAnsi"/>
          <w:color w:val="000000" w:themeColor="text1"/>
        </w:rPr>
      </w:pPr>
    </w:p>
    <w:p w14:paraId="6ECEB107" w14:textId="20381118" w:rsidR="00202212" w:rsidRPr="00BB0C12" w:rsidRDefault="00202212" w:rsidP="00202212">
      <w:pPr>
        <w:rPr>
          <w:rFonts w:eastAsia="Times New Roman" w:cstheme="minorHAnsi"/>
          <w:color w:val="000000" w:themeColor="text1"/>
        </w:rPr>
      </w:pPr>
      <w:r w:rsidRPr="00BB0C12">
        <w:rPr>
          <w:rFonts w:eastAsia="Times New Roman" w:cstheme="minorHAnsi"/>
          <w:color w:val="000000" w:themeColor="text1"/>
        </w:rPr>
        <w:t xml:space="preserve">What this means in practice will be left to the regulations, but statements from the government seem to indicate that public health and safety </w:t>
      </w:r>
      <w:r w:rsidR="0027377E">
        <w:rPr>
          <w:rFonts w:eastAsia="Times New Roman" w:cstheme="minorHAnsi"/>
          <w:color w:val="000000" w:themeColor="text1"/>
        </w:rPr>
        <w:t>AND/</w:t>
      </w:r>
      <w:r w:rsidRPr="00BB0C12">
        <w:rPr>
          <w:rFonts w:eastAsia="Times New Roman" w:cstheme="minorHAnsi"/>
          <w:color w:val="000000" w:themeColor="text1"/>
        </w:rPr>
        <w:t>OR the environment c</w:t>
      </w:r>
      <w:r w:rsidR="00C612F4" w:rsidRPr="00BB0C12">
        <w:rPr>
          <w:rFonts w:eastAsia="Times New Roman" w:cstheme="minorHAnsi"/>
          <w:color w:val="000000" w:themeColor="text1"/>
        </w:rPr>
        <w:t xml:space="preserve">ould </w:t>
      </w:r>
      <w:r w:rsidRPr="00BB0C12">
        <w:rPr>
          <w:rFonts w:eastAsia="Times New Roman" w:cstheme="minorHAnsi"/>
          <w:color w:val="000000" w:themeColor="text1"/>
        </w:rPr>
        <w:t xml:space="preserve">be disregarded in determining the standard for remediation. Most old metal mining sites in Ontario are sacrifice zones (Sudbury, Kirkland Lake/Cobalt, Timmins), with innumerable mine hazards and </w:t>
      </w:r>
      <w:r w:rsidRPr="00BB0C12">
        <w:rPr>
          <w:rFonts w:eastAsia="Times New Roman" w:cstheme="minorHAnsi"/>
          <w:color w:val="000000" w:themeColor="text1"/>
        </w:rPr>
        <w:lastRenderedPageBreak/>
        <w:t>inadequate financial assurance.</w:t>
      </w:r>
      <w:r w:rsidR="006913CF" w:rsidRPr="00BB0C12">
        <w:rPr>
          <w:rFonts w:eastAsia="Times New Roman" w:cstheme="minorHAnsi"/>
          <w:color w:val="000000" w:themeColor="text1"/>
        </w:rPr>
        <w:t xml:space="preserve"> One has only to look at the devastation caused by mining, smelting and its wastes to know why the areas need to be improved. </w:t>
      </w:r>
      <w:r w:rsidRPr="00BB0C12">
        <w:rPr>
          <w:rFonts w:eastAsia="Times New Roman" w:cstheme="minorHAnsi"/>
          <w:color w:val="000000" w:themeColor="text1"/>
        </w:rPr>
        <w:t xml:space="preserve"> The mines and tailings </w:t>
      </w:r>
      <w:proofErr w:type="gramStart"/>
      <w:r w:rsidR="000A4F48" w:rsidRPr="00BB0C12">
        <w:rPr>
          <w:rFonts w:eastAsia="Times New Roman" w:cstheme="minorHAnsi"/>
          <w:color w:val="000000" w:themeColor="text1"/>
        </w:rPr>
        <w:t>dumps</w:t>
      </w:r>
      <w:proofErr w:type="gramEnd"/>
      <w:r w:rsidR="000A4F48" w:rsidRPr="00BB0C12">
        <w:rPr>
          <w:rFonts w:eastAsia="Times New Roman" w:cstheme="minorHAnsi"/>
          <w:color w:val="000000" w:themeColor="text1"/>
        </w:rPr>
        <w:t xml:space="preserve"> </w:t>
      </w:r>
      <w:r w:rsidRPr="00BB0C12">
        <w:rPr>
          <w:rFonts w:eastAsia="Times New Roman" w:cstheme="minorHAnsi"/>
          <w:color w:val="000000" w:themeColor="text1"/>
        </w:rPr>
        <w:t>in these areas are the most likely candidates for re-mining</w:t>
      </w:r>
      <w:r w:rsidR="000A4F48" w:rsidRPr="00BB0C12">
        <w:rPr>
          <w:rFonts w:eastAsia="Times New Roman" w:cstheme="minorHAnsi"/>
          <w:color w:val="000000" w:themeColor="text1"/>
        </w:rPr>
        <w:t>.</w:t>
      </w:r>
      <w:r w:rsidR="00C35C40">
        <w:rPr>
          <w:rFonts w:eastAsia="Times New Roman" w:cstheme="minorHAnsi"/>
          <w:color w:val="000000" w:themeColor="text1"/>
        </w:rPr>
        <w:t xml:space="preserve"> Metals recovery from these areas could create unacceptable risks to old tailings dams and to downstream and downwind communities. </w:t>
      </w:r>
    </w:p>
    <w:p w14:paraId="0EBE2605" w14:textId="77777777" w:rsidR="00202212" w:rsidRPr="00BB0C12" w:rsidRDefault="00202212" w:rsidP="00202212">
      <w:pPr>
        <w:rPr>
          <w:rFonts w:ascii="Times New Roman" w:eastAsia="Times New Roman" w:hAnsi="Times New Roman" w:cs="Times New Roman"/>
          <w:color w:val="000000" w:themeColor="text1"/>
        </w:rPr>
      </w:pPr>
    </w:p>
    <w:p w14:paraId="3BB0BA6A" w14:textId="5E1D6DDD" w:rsidR="00202212" w:rsidRPr="00C35C40" w:rsidRDefault="00202212" w:rsidP="00C35C40">
      <w:pPr>
        <w:pStyle w:val="Heading2"/>
        <w:numPr>
          <w:ilvl w:val="0"/>
          <w:numId w:val="17"/>
        </w:numPr>
      </w:pPr>
      <w:bookmarkStart w:id="3" w:name="_Toc132206208"/>
      <w:r w:rsidRPr="00C35C40">
        <w:t xml:space="preserve">Changes to </w:t>
      </w:r>
      <w:r w:rsidR="00C35965" w:rsidRPr="00C35C40">
        <w:t xml:space="preserve">closure </w:t>
      </w:r>
      <w:r w:rsidRPr="00C35C40">
        <w:t>plan requirements</w:t>
      </w:r>
      <w:bookmarkEnd w:id="3"/>
    </w:p>
    <w:p w14:paraId="1B01B389" w14:textId="77777777" w:rsidR="00202212" w:rsidRPr="00BB0C12" w:rsidRDefault="00202212" w:rsidP="00202212">
      <w:pPr>
        <w:rPr>
          <w:rFonts w:cstheme="minorHAnsi"/>
          <w:color w:val="000000" w:themeColor="text1"/>
        </w:rPr>
      </w:pPr>
    </w:p>
    <w:p w14:paraId="3E0268B4" w14:textId="5DB53DDF" w:rsidR="00202212" w:rsidRPr="00BB0C12" w:rsidRDefault="00202212" w:rsidP="00202212">
      <w:pPr>
        <w:rPr>
          <w:rFonts w:cstheme="minorHAnsi"/>
          <w:color w:val="000000" w:themeColor="text1"/>
        </w:rPr>
      </w:pPr>
      <w:r w:rsidRPr="00BB0C12">
        <w:rPr>
          <w:rFonts w:cstheme="minorHAnsi"/>
          <w:color w:val="000000" w:themeColor="text1"/>
        </w:rPr>
        <w:t xml:space="preserve">A description of what will happen with the mine wastes after the mine closes, </w:t>
      </w:r>
      <w:r w:rsidR="000A4F48" w:rsidRPr="00BB0C12">
        <w:rPr>
          <w:rFonts w:cstheme="minorHAnsi"/>
          <w:color w:val="000000" w:themeColor="text1"/>
        </w:rPr>
        <w:t xml:space="preserve">a </w:t>
      </w:r>
      <w:r w:rsidRPr="00BB0C12">
        <w:rPr>
          <w:rFonts w:cstheme="minorHAnsi"/>
          <w:color w:val="000000" w:themeColor="text1"/>
        </w:rPr>
        <w:t>“closure plan” is required by the province before a mine operator can undertake advanced exploration and/or production.  In all other jurisdictions in Canada, an Environmental Assessment is required before a mine can go into production. A closure plan is integral to that process.  However, almost all mines in Ontario were developed without an Environmental Assessment or a closure plan. Ontario still does not require</w:t>
      </w:r>
      <w:r w:rsidR="006913CF" w:rsidRPr="00BB0C12">
        <w:rPr>
          <w:rFonts w:cstheme="minorHAnsi"/>
          <w:color w:val="000000" w:themeColor="text1"/>
        </w:rPr>
        <w:t xml:space="preserve"> </w:t>
      </w:r>
      <w:r w:rsidRPr="00BB0C12">
        <w:rPr>
          <w:rFonts w:cstheme="minorHAnsi"/>
          <w:color w:val="000000" w:themeColor="text1"/>
        </w:rPr>
        <w:t>EA</w:t>
      </w:r>
      <w:r w:rsidR="000A4F48" w:rsidRPr="00BB0C12">
        <w:rPr>
          <w:rFonts w:cstheme="minorHAnsi"/>
          <w:color w:val="000000" w:themeColor="text1"/>
        </w:rPr>
        <w:t>s for mining projects</w:t>
      </w:r>
      <w:r w:rsidRPr="00BB0C12">
        <w:rPr>
          <w:rFonts w:cstheme="minorHAnsi"/>
          <w:color w:val="000000" w:themeColor="text1"/>
        </w:rPr>
        <w:t xml:space="preserve">.  Ontario does not review the full scope of the mine’s potential impacts nor evaluate the fundamental question about public interest.  Federal Impact Assessment is limited to </w:t>
      </w:r>
      <w:r w:rsidR="00C35965" w:rsidRPr="00BB0C12">
        <w:rPr>
          <w:rFonts w:cstheme="minorHAnsi"/>
          <w:color w:val="000000" w:themeColor="text1"/>
        </w:rPr>
        <w:t xml:space="preserve">the largest </w:t>
      </w:r>
      <w:r w:rsidRPr="00BB0C12">
        <w:rPr>
          <w:rFonts w:cstheme="minorHAnsi"/>
          <w:color w:val="000000" w:themeColor="text1"/>
        </w:rPr>
        <w:t>mines and to issues of federal jurisdiction.</w:t>
      </w:r>
    </w:p>
    <w:p w14:paraId="3552B21C" w14:textId="77777777" w:rsidR="00202212" w:rsidRPr="00BB0C12" w:rsidRDefault="00202212" w:rsidP="00202212">
      <w:pPr>
        <w:rPr>
          <w:rFonts w:cstheme="minorHAnsi"/>
          <w:color w:val="000000" w:themeColor="text1"/>
        </w:rPr>
      </w:pPr>
    </w:p>
    <w:p w14:paraId="05005709" w14:textId="1B5706F0" w:rsidR="00202212" w:rsidRPr="00BB0C12" w:rsidRDefault="00202212" w:rsidP="00202212">
      <w:pPr>
        <w:rPr>
          <w:rFonts w:cstheme="minorHAnsi"/>
          <w:color w:val="000000" w:themeColor="text1"/>
        </w:rPr>
      </w:pPr>
      <w:r w:rsidRPr="00BB0C12">
        <w:rPr>
          <w:rFonts w:cstheme="minorHAnsi"/>
          <w:color w:val="000000" w:themeColor="text1"/>
        </w:rPr>
        <w:t xml:space="preserve">There are a few mining permits in Ontario that do require an Environmental Assessment before they can be issued, but they are very limited in their scope.  The </w:t>
      </w:r>
      <w:r w:rsidRPr="00BB0C12">
        <w:rPr>
          <w:rFonts w:cstheme="minorHAnsi"/>
          <w:color w:val="000000" w:themeColor="text1"/>
          <w:lang w:val="en-GB"/>
        </w:rPr>
        <w:t>Auditor-General of Ontario said in 2016 that this permit process allows too much proponent control of the process, cumulative impacts are not assessed, the public is inadequately informed, there is no independent review, and social, cultural, and economic factors are not addressed.</w:t>
      </w:r>
      <w:r w:rsidRPr="00BB0C12">
        <w:rPr>
          <w:rStyle w:val="FootnoteReference"/>
          <w:rFonts w:cstheme="minorHAnsi"/>
          <w:color w:val="000000" w:themeColor="text1"/>
          <w:lang w:val="en-GB"/>
        </w:rPr>
        <w:footnoteReference w:id="1"/>
      </w:r>
    </w:p>
    <w:p w14:paraId="35DD62A1" w14:textId="77777777" w:rsidR="00202212" w:rsidRPr="00BB0C12" w:rsidRDefault="00202212" w:rsidP="00202212">
      <w:pPr>
        <w:rPr>
          <w:rFonts w:cstheme="minorHAnsi"/>
          <w:color w:val="000000" w:themeColor="text1"/>
          <w:lang w:val="en-GB"/>
        </w:rPr>
      </w:pPr>
    </w:p>
    <w:p w14:paraId="2A15E33A" w14:textId="21D0FA93" w:rsidR="00202212" w:rsidRPr="00BB0C12" w:rsidRDefault="00202212" w:rsidP="00202212">
      <w:pPr>
        <w:rPr>
          <w:rFonts w:cstheme="minorHAnsi"/>
          <w:color w:val="000000" w:themeColor="text1"/>
          <w:lang w:val="en-GB"/>
        </w:rPr>
      </w:pPr>
      <w:r w:rsidRPr="00BB0C12">
        <w:rPr>
          <w:rFonts w:cstheme="minorHAnsi"/>
          <w:color w:val="000000" w:themeColor="text1"/>
          <w:lang w:val="en-GB"/>
        </w:rPr>
        <w:t xml:space="preserve">In 2022, of 30 mine projects currently operating in Ontario, only two – the Rainy River Mine (2015) and </w:t>
      </w:r>
      <w:proofErr w:type="spellStart"/>
      <w:r w:rsidRPr="00BB0C12">
        <w:rPr>
          <w:rFonts w:cstheme="minorHAnsi"/>
          <w:color w:val="000000" w:themeColor="text1"/>
          <w:lang w:val="en-GB"/>
        </w:rPr>
        <w:t>C</w:t>
      </w:r>
      <w:r w:rsidR="00C35965" w:rsidRPr="00BB0C12">
        <w:rPr>
          <w:rFonts w:cstheme="minorHAnsi"/>
          <w:color w:val="000000" w:themeColor="text1"/>
          <w:lang w:val="en-GB"/>
        </w:rPr>
        <w:t>ô</w:t>
      </w:r>
      <w:r w:rsidRPr="00BB0C12">
        <w:rPr>
          <w:rFonts w:cstheme="minorHAnsi"/>
          <w:color w:val="000000" w:themeColor="text1"/>
          <w:lang w:val="en-GB"/>
        </w:rPr>
        <w:t>t</w:t>
      </w:r>
      <w:r w:rsidR="00C35965" w:rsidRPr="00BB0C12">
        <w:rPr>
          <w:rFonts w:cstheme="minorHAnsi"/>
          <w:color w:val="000000" w:themeColor="text1"/>
          <w:lang w:val="en-GB"/>
        </w:rPr>
        <w:t>é</w:t>
      </w:r>
      <w:proofErr w:type="spellEnd"/>
      <w:r w:rsidRPr="00BB0C12">
        <w:rPr>
          <w:rFonts w:cstheme="minorHAnsi"/>
          <w:color w:val="000000" w:themeColor="text1"/>
          <w:lang w:val="en-GB"/>
        </w:rPr>
        <w:t xml:space="preserve"> Gold (2022) – underwent both a provincial and federal EA. Three others </w:t>
      </w:r>
      <w:r w:rsidRPr="00BB0C12">
        <w:rPr>
          <w:rFonts w:cstheme="minorHAnsi"/>
          <w:color w:val="000000" w:themeColor="text1"/>
          <w:lang w:val="en-GB"/>
        </w:rPr>
        <w:lastRenderedPageBreak/>
        <w:t>underwent only a federal EA (Totten, 2006; Detour Lake, 2012; Musselwhite, 1996). It should be noted that most of these mines (18 of them) are gold mines. The delays for other proposed mining projects (</w:t>
      </w:r>
      <w:proofErr w:type="spellStart"/>
      <w:r w:rsidRPr="00BB0C12">
        <w:rPr>
          <w:rFonts w:cstheme="minorHAnsi"/>
          <w:color w:val="000000" w:themeColor="text1"/>
          <w:lang w:val="en-GB"/>
        </w:rPr>
        <w:t>Magino</w:t>
      </w:r>
      <w:proofErr w:type="spellEnd"/>
      <w:r w:rsidRPr="00BB0C12">
        <w:rPr>
          <w:rFonts w:cstheme="minorHAnsi"/>
          <w:color w:val="000000" w:themeColor="text1"/>
          <w:lang w:val="en-GB"/>
        </w:rPr>
        <w:t xml:space="preserve">, Island Gold, Marathon Palladium, </w:t>
      </w:r>
      <w:proofErr w:type="spellStart"/>
      <w:r w:rsidRPr="00BB0C12">
        <w:rPr>
          <w:rFonts w:cstheme="minorHAnsi"/>
          <w:color w:val="000000" w:themeColor="text1"/>
          <w:lang w:val="en-GB"/>
        </w:rPr>
        <w:t>NioBay</w:t>
      </w:r>
      <w:proofErr w:type="spellEnd"/>
      <w:r w:rsidRPr="00BB0C12">
        <w:rPr>
          <w:rFonts w:cstheme="minorHAnsi"/>
          <w:color w:val="000000" w:themeColor="text1"/>
          <w:lang w:val="en-GB"/>
        </w:rPr>
        <w:t xml:space="preserve">, Goliath) are caused not by closure requirements or EA requirements, but by </w:t>
      </w:r>
      <w:r w:rsidR="00C35965" w:rsidRPr="00BB0C12">
        <w:rPr>
          <w:rFonts w:cstheme="minorHAnsi"/>
          <w:color w:val="000000" w:themeColor="text1"/>
          <w:lang w:val="en-GB"/>
        </w:rPr>
        <w:t xml:space="preserve">their </w:t>
      </w:r>
      <w:r w:rsidRPr="00BB0C12">
        <w:rPr>
          <w:rFonts w:cstheme="minorHAnsi"/>
          <w:color w:val="000000" w:themeColor="text1"/>
          <w:lang w:val="en-GB"/>
        </w:rPr>
        <w:t>inability to get financing.  With one exception (Totten), no mines, mills, or smelters in established mining districts like Timmins, Sudbury</w:t>
      </w:r>
      <w:r w:rsidR="00C35965" w:rsidRPr="00BB0C12">
        <w:rPr>
          <w:rFonts w:cstheme="minorHAnsi"/>
          <w:color w:val="000000" w:themeColor="text1"/>
          <w:lang w:val="en-GB"/>
        </w:rPr>
        <w:t>,</w:t>
      </w:r>
      <w:r w:rsidRPr="00BB0C12">
        <w:rPr>
          <w:rFonts w:cstheme="minorHAnsi"/>
          <w:color w:val="000000" w:themeColor="text1"/>
          <w:lang w:val="en-GB"/>
        </w:rPr>
        <w:t xml:space="preserve"> and Kirkland Lake have ever received an EA, either federally or provincially. </w:t>
      </w:r>
    </w:p>
    <w:p w14:paraId="24BAED3B" w14:textId="77777777" w:rsidR="00202212" w:rsidRPr="00BB0C12" w:rsidRDefault="00202212" w:rsidP="00202212">
      <w:pPr>
        <w:rPr>
          <w:rFonts w:ascii="Times New Roman" w:eastAsia="Times New Roman" w:hAnsi="Times New Roman" w:cs="Times New Roman"/>
          <w:color w:val="000000" w:themeColor="text1"/>
        </w:rPr>
      </w:pPr>
    </w:p>
    <w:p w14:paraId="1A7313A2" w14:textId="195CA7F0" w:rsidR="00202212" w:rsidRPr="00C35C40" w:rsidRDefault="00202212" w:rsidP="00C35C40">
      <w:pPr>
        <w:pStyle w:val="Heading2"/>
        <w:numPr>
          <w:ilvl w:val="0"/>
          <w:numId w:val="17"/>
        </w:numPr>
      </w:pPr>
      <w:bookmarkStart w:id="4" w:name="_Toc132206209"/>
      <w:r w:rsidRPr="00C35C40">
        <w:t xml:space="preserve">Lay the necessary groundwork for anticipated regulatory amendments </w:t>
      </w:r>
      <w:r w:rsidRPr="00C35C40">
        <w:rPr>
          <w:rStyle w:val="Heading1Char"/>
          <w:color w:val="000000" w:themeColor="text1"/>
          <w:sz w:val="26"/>
          <w:szCs w:val="26"/>
        </w:rPr>
        <w:t>to Part VII (Rehabilitation) of the Act</w:t>
      </w:r>
      <w:bookmarkEnd w:id="4"/>
      <w:r w:rsidRPr="00C35C40">
        <w:t xml:space="preserve"> </w:t>
      </w:r>
    </w:p>
    <w:p w14:paraId="59D2371A" w14:textId="77777777" w:rsidR="00202212" w:rsidRPr="00BB0C12" w:rsidRDefault="00202212" w:rsidP="00202212">
      <w:pPr>
        <w:rPr>
          <w:color w:val="000000" w:themeColor="text1"/>
        </w:rPr>
      </w:pPr>
    </w:p>
    <w:p w14:paraId="12A373B6" w14:textId="788BC915" w:rsidR="00202212" w:rsidRPr="00BB0C12" w:rsidRDefault="00202212" w:rsidP="00202212">
      <w:pPr>
        <w:rPr>
          <w:color w:val="000000" w:themeColor="text1"/>
        </w:rPr>
      </w:pPr>
      <w:r w:rsidRPr="00BB0C12">
        <w:rPr>
          <w:color w:val="000000" w:themeColor="text1"/>
        </w:rPr>
        <w:t xml:space="preserve"> Most of the changes to mine rehabilitation standards will be relegated to new regulations. The amendments to section 176 of the </w:t>
      </w:r>
      <w:r w:rsidRPr="00BB0C12">
        <w:rPr>
          <w:i/>
          <w:iCs/>
          <w:color w:val="000000" w:themeColor="text1"/>
        </w:rPr>
        <w:t>Act</w:t>
      </w:r>
      <w:r w:rsidRPr="00BB0C12">
        <w:rPr>
          <w:color w:val="000000" w:themeColor="text1"/>
        </w:rPr>
        <w:t xml:space="preserve"> increase discretion, do nothing to increase transparency, and are a real cause for public alarm. The amendment inserts the phrase “without limiting the generality of the foregoing” and then repeals 176(2) and (2.1) of the </w:t>
      </w:r>
      <w:r w:rsidRPr="00BB0C12">
        <w:rPr>
          <w:i/>
          <w:iCs/>
          <w:color w:val="000000" w:themeColor="text1"/>
        </w:rPr>
        <w:t>Act</w:t>
      </w:r>
      <w:r w:rsidRPr="00BB0C12">
        <w:rPr>
          <w:color w:val="000000" w:themeColor="text1"/>
        </w:rPr>
        <w:t xml:space="preserve"> except for the paragraphs that authorize the minister to exempt proponents from compliance (f, g, h). The public will only be able to comment on regulations through the EBR, which does not allow for adequate transparency or discussion. </w:t>
      </w:r>
    </w:p>
    <w:p w14:paraId="003FB716" w14:textId="77777777" w:rsidR="00202212" w:rsidRPr="00BB0C12" w:rsidRDefault="00202212" w:rsidP="00202212">
      <w:pPr>
        <w:rPr>
          <w:color w:val="000000" w:themeColor="text1"/>
        </w:rPr>
      </w:pPr>
    </w:p>
    <w:p w14:paraId="7E66A39E" w14:textId="36EA0B53" w:rsidR="00202212" w:rsidRPr="00C35C40" w:rsidRDefault="00202212" w:rsidP="00C35C40">
      <w:pPr>
        <w:pStyle w:val="Heading2"/>
        <w:numPr>
          <w:ilvl w:val="0"/>
          <w:numId w:val="17"/>
        </w:numPr>
      </w:pPr>
      <w:bookmarkStart w:id="5" w:name="_Toc132206210"/>
      <w:r w:rsidRPr="00C35C40">
        <w:t>Replace ministry technical review of the closure plan with review by qualified persons.</w:t>
      </w:r>
      <w:bookmarkEnd w:id="5"/>
    </w:p>
    <w:p w14:paraId="66E8E9ED" w14:textId="77777777" w:rsidR="00202212" w:rsidRPr="00BB0C12" w:rsidRDefault="00202212" w:rsidP="00202212">
      <w:pPr>
        <w:rPr>
          <w:color w:val="000000" w:themeColor="text1"/>
        </w:rPr>
      </w:pPr>
    </w:p>
    <w:p w14:paraId="4DCC8FFF" w14:textId="69299F3C" w:rsidR="00202212" w:rsidRPr="00BB0C12" w:rsidRDefault="00202212" w:rsidP="00202212">
      <w:pPr>
        <w:rPr>
          <w:color w:val="000000" w:themeColor="text1"/>
        </w:rPr>
      </w:pPr>
      <w:r w:rsidRPr="00BB0C12">
        <w:rPr>
          <w:color w:val="000000" w:themeColor="text1"/>
        </w:rPr>
        <w:t xml:space="preserve">The Harris government removed a condition that a closure plan had to be reviewed by the Ministry of the Environment before it could be certified. This proposed amendment is a further destruction of government oversight, relegating it to </w:t>
      </w:r>
      <w:proofErr w:type="gramStart"/>
      <w:r w:rsidRPr="00BB0C12">
        <w:rPr>
          <w:color w:val="000000" w:themeColor="text1"/>
        </w:rPr>
        <w:t>a ”qualified</w:t>
      </w:r>
      <w:proofErr w:type="gramEnd"/>
      <w:r w:rsidRPr="00BB0C12">
        <w:rPr>
          <w:color w:val="000000" w:themeColor="text1"/>
        </w:rPr>
        <w:t xml:space="preserve"> person”.  The available professionals who are qualified persons, will be those who also work for the industry. In all likelihood, they will be chosen by the proponent, not by the Ministry, and the possibilities of conflict of interest become very high. After a mine closes, it is the </w:t>
      </w:r>
      <w:r w:rsidR="00C35965" w:rsidRPr="00BB0C12">
        <w:rPr>
          <w:color w:val="000000" w:themeColor="text1"/>
        </w:rPr>
        <w:t>nearby and downstream communities</w:t>
      </w:r>
      <w:r w:rsidRPr="00BB0C12">
        <w:rPr>
          <w:color w:val="000000" w:themeColor="text1"/>
        </w:rPr>
        <w:t xml:space="preserve"> and the environment that are at risk.  </w:t>
      </w:r>
    </w:p>
    <w:p w14:paraId="3607B1B2" w14:textId="77777777" w:rsidR="00202212" w:rsidRPr="00BB0C12" w:rsidRDefault="00202212" w:rsidP="00202212">
      <w:pPr>
        <w:rPr>
          <w:color w:val="000000" w:themeColor="text1"/>
        </w:rPr>
      </w:pPr>
    </w:p>
    <w:p w14:paraId="69A2C019" w14:textId="6D76A7E2" w:rsidR="00202212" w:rsidRPr="00BB0C12" w:rsidRDefault="00202212" w:rsidP="00C35C40">
      <w:pPr>
        <w:pStyle w:val="Heading2"/>
        <w:numPr>
          <w:ilvl w:val="0"/>
          <w:numId w:val="17"/>
        </w:numPr>
        <w:rPr>
          <w:rFonts w:eastAsia="Times New Roman"/>
        </w:rPr>
      </w:pPr>
      <w:bookmarkStart w:id="6" w:name="_Toc132206211"/>
      <w:r w:rsidRPr="00C35C40">
        <w:lastRenderedPageBreak/>
        <w:t>Allow financial assurance requirements to be amended without a closure plan amendment; codify the practice of phased financial assurance; allow pledge of assets as a security</w:t>
      </w:r>
      <w:r w:rsidRPr="00BB0C12">
        <w:rPr>
          <w:rFonts w:eastAsia="Times New Roman"/>
        </w:rPr>
        <w:t>.</w:t>
      </w:r>
      <w:bookmarkEnd w:id="6"/>
    </w:p>
    <w:p w14:paraId="7C138D59" w14:textId="77777777" w:rsidR="00202212" w:rsidRPr="00BB0C12" w:rsidRDefault="00202212" w:rsidP="00202212">
      <w:pPr>
        <w:rPr>
          <w:color w:val="000000" w:themeColor="text1"/>
        </w:rPr>
      </w:pPr>
    </w:p>
    <w:p w14:paraId="2A0C1043" w14:textId="77777777" w:rsidR="00202212" w:rsidRPr="00BB0C12" w:rsidRDefault="00202212" w:rsidP="00202212">
      <w:pPr>
        <w:rPr>
          <w:rFonts w:eastAsia="Times New Roman" w:cstheme="minorHAnsi"/>
          <w:color w:val="000000" w:themeColor="text1"/>
        </w:rPr>
      </w:pPr>
      <w:r w:rsidRPr="00BB0C12">
        <w:rPr>
          <w:rFonts w:eastAsia="Times New Roman" w:cstheme="minorHAnsi"/>
          <w:color w:val="000000" w:themeColor="text1"/>
        </w:rPr>
        <w:t xml:space="preserve">The purpose of requiring financial assurance for resource extraction operations is to put a price on the risk of pollution from these sites. However, when the amount is not sufficient, the public is the insurer instead of the polluter. Mining is a highly risky and speculative business. Catastrophic accidents, economic factors and bankruptcy and insolvency can all result in the tax-payer having to pick up the tab or bear the unrehabilitated social and environmental losses. </w:t>
      </w:r>
      <w:r w:rsidRPr="00BB0C12">
        <w:rPr>
          <w:rFonts w:eastAsia="Times New Roman" w:cstheme="minorHAnsi"/>
          <w:color w:val="000000" w:themeColor="text1"/>
        </w:rPr>
        <w:br/>
      </w:r>
    </w:p>
    <w:p w14:paraId="61380743" w14:textId="08BB0EBB" w:rsidR="00202212" w:rsidRPr="00BB0C12" w:rsidRDefault="00202212" w:rsidP="00202212">
      <w:pPr>
        <w:rPr>
          <w:rFonts w:eastAsia="Times New Roman" w:cstheme="minorHAnsi"/>
          <w:color w:val="000000" w:themeColor="text1"/>
        </w:rPr>
      </w:pPr>
      <w:r w:rsidRPr="00BB0C12">
        <w:rPr>
          <w:rFonts w:eastAsia="Times New Roman" w:cstheme="minorHAnsi"/>
          <w:color w:val="000000" w:themeColor="text1"/>
        </w:rPr>
        <w:t>In addition to the Environmental Commissioner of Ontario, the Auditor General of</w:t>
      </w:r>
      <w:r w:rsidR="00020493">
        <w:rPr>
          <w:rFonts w:eastAsia="Times New Roman" w:cstheme="minorHAnsi"/>
          <w:color w:val="000000" w:themeColor="text1"/>
        </w:rPr>
        <w:t xml:space="preserve"> </w:t>
      </w:r>
      <w:r w:rsidRPr="00BB0C12">
        <w:rPr>
          <w:rFonts w:eastAsia="Times New Roman" w:cstheme="minorHAnsi"/>
          <w:color w:val="000000" w:themeColor="text1"/>
        </w:rPr>
        <w:t>Ontario has critiqued the ENDM’s financial assurance methods in both its 2015 Value-for-Money Audit</w:t>
      </w:r>
      <w:r w:rsidR="0027377E">
        <w:rPr>
          <w:rFonts w:eastAsia="Times New Roman" w:cstheme="minorHAnsi"/>
          <w:color w:val="000000" w:themeColor="text1"/>
        </w:rPr>
        <w:t xml:space="preserve"> </w:t>
      </w:r>
      <w:r w:rsidRPr="00BB0C12">
        <w:rPr>
          <w:rFonts w:eastAsia="Times New Roman" w:cstheme="minorHAnsi"/>
          <w:color w:val="000000" w:themeColor="text1"/>
        </w:rPr>
        <w:t>and the follow-up Value-for-Money Audit</w:t>
      </w:r>
      <w:r w:rsidR="00775080">
        <w:rPr>
          <w:rFonts w:eastAsia="Times New Roman" w:cstheme="minorHAnsi"/>
          <w:color w:val="000000" w:themeColor="text1"/>
        </w:rPr>
        <w:t xml:space="preserve"> </w:t>
      </w:r>
      <w:r w:rsidRPr="00BB0C12">
        <w:rPr>
          <w:rFonts w:eastAsia="Times New Roman" w:cstheme="minorHAnsi"/>
          <w:color w:val="000000" w:themeColor="text1"/>
        </w:rPr>
        <w:t xml:space="preserve">in </w:t>
      </w:r>
      <w:r w:rsidR="00C35965" w:rsidRPr="00BB0C12">
        <w:rPr>
          <w:rFonts w:eastAsia="Times New Roman" w:cstheme="minorHAnsi"/>
          <w:color w:val="000000" w:themeColor="text1"/>
        </w:rPr>
        <w:t xml:space="preserve">its </w:t>
      </w:r>
      <w:r w:rsidRPr="00BB0C12">
        <w:rPr>
          <w:rFonts w:eastAsia="Times New Roman" w:cstheme="minorHAnsi"/>
          <w:color w:val="000000" w:themeColor="text1"/>
        </w:rPr>
        <w:t>2017 Annual Report.</w:t>
      </w:r>
    </w:p>
    <w:p w14:paraId="53EB8FAF" w14:textId="77777777" w:rsidR="00202212" w:rsidRPr="00BB0C12" w:rsidRDefault="00202212" w:rsidP="00202212">
      <w:pPr>
        <w:rPr>
          <w:rFonts w:eastAsia="Times New Roman" w:cstheme="minorHAnsi"/>
          <w:color w:val="000000" w:themeColor="text1"/>
        </w:rPr>
      </w:pPr>
    </w:p>
    <w:p w14:paraId="12CDD6BC" w14:textId="44A1792A" w:rsidR="00202212" w:rsidRPr="00BB0C12" w:rsidRDefault="00C35965" w:rsidP="00202212">
      <w:pPr>
        <w:rPr>
          <w:rFonts w:cstheme="minorHAnsi"/>
          <w:color w:val="000000" w:themeColor="text1"/>
        </w:rPr>
      </w:pPr>
      <w:r w:rsidRPr="00BB0C12">
        <w:rPr>
          <w:rFonts w:eastAsia="Times New Roman" w:cstheme="minorHAnsi"/>
          <w:color w:val="000000" w:themeColor="text1"/>
        </w:rPr>
        <w:t>F</w:t>
      </w:r>
      <w:r w:rsidR="00202212" w:rsidRPr="00BB0C12">
        <w:rPr>
          <w:rFonts w:eastAsia="Times New Roman" w:cstheme="minorHAnsi"/>
          <w:color w:val="000000" w:themeColor="text1"/>
        </w:rPr>
        <w:t>inancial assurance protocols</w:t>
      </w:r>
      <w:r w:rsidRPr="00BB0C12">
        <w:rPr>
          <w:rFonts w:eastAsia="Times New Roman" w:cstheme="minorHAnsi"/>
          <w:color w:val="000000" w:themeColor="text1"/>
        </w:rPr>
        <w:t xml:space="preserve"> are not transparent</w:t>
      </w:r>
      <w:r w:rsidR="006913CF" w:rsidRPr="00BB0C12">
        <w:rPr>
          <w:rFonts w:eastAsia="Times New Roman" w:cstheme="minorHAnsi"/>
          <w:color w:val="000000" w:themeColor="text1"/>
        </w:rPr>
        <w:t xml:space="preserve">. </w:t>
      </w:r>
      <w:r w:rsidR="00202212" w:rsidRPr="00BB0C12">
        <w:rPr>
          <w:rFonts w:eastAsia="Times New Roman" w:cstheme="minorHAnsi"/>
          <w:color w:val="000000" w:themeColor="text1"/>
        </w:rPr>
        <w:t xml:space="preserve">The public does not have access to the financial documents submitted to the Ministry of Energy, Northern Development and Mines (ENDM), nor is information surrounding the closure plan readily available for </w:t>
      </w:r>
      <w:r w:rsidRPr="00BB0C12">
        <w:rPr>
          <w:rFonts w:eastAsia="Times New Roman" w:cstheme="minorHAnsi"/>
          <w:color w:val="000000" w:themeColor="text1"/>
        </w:rPr>
        <w:t>review</w:t>
      </w:r>
      <w:r w:rsidR="00202212" w:rsidRPr="00BB0C12">
        <w:rPr>
          <w:rFonts w:eastAsia="Times New Roman" w:cstheme="minorHAnsi"/>
          <w:color w:val="000000" w:themeColor="text1"/>
        </w:rPr>
        <w:t xml:space="preserve">. Although a table listing financial assurance held by the government for existing mines is available on line, it has not been updated since June 2021. </w:t>
      </w:r>
    </w:p>
    <w:p w14:paraId="0478A55B" w14:textId="77777777" w:rsidR="00202212" w:rsidRPr="00BB0C12" w:rsidRDefault="00202212" w:rsidP="00202212">
      <w:pPr>
        <w:shd w:val="clear" w:color="auto" w:fill="FFFFFF"/>
        <w:textAlignment w:val="baseline"/>
        <w:rPr>
          <w:rFonts w:eastAsia="Times New Roman" w:cstheme="minorHAnsi"/>
          <w:color w:val="000000" w:themeColor="text1"/>
          <w:sz w:val="27"/>
          <w:szCs w:val="27"/>
        </w:rPr>
      </w:pPr>
    </w:p>
    <w:p w14:paraId="2258687A" w14:textId="0088A7A4" w:rsidR="00202212" w:rsidRPr="00BB0C12" w:rsidRDefault="00202212" w:rsidP="00202212">
      <w:pPr>
        <w:rPr>
          <w:rFonts w:cstheme="minorHAnsi"/>
          <w:color w:val="000000" w:themeColor="text1"/>
          <w:lang w:val="en-US"/>
        </w:rPr>
      </w:pPr>
      <w:r w:rsidRPr="00BB0C12">
        <w:rPr>
          <w:rFonts w:cstheme="minorHAnsi"/>
          <w:color w:val="000000" w:themeColor="text1"/>
        </w:rPr>
        <w:t>The 2021 Financial Assurance Table reports that 166 properties have posted $2.292 billion in Financial Assurance under Part VII of the Mining Act. Of these, Vale holds 16 properties in the province ($787</w:t>
      </w:r>
      <w:r w:rsidR="0027377E">
        <w:rPr>
          <w:rFonts w:cstheme="minorHAnsi"/>
          <w:color w:val="000000" w:themeColor="text1"/>
        </w:rPr>
        <w:t>.</w:t>
      </w:r>
      <w:r w:rsidRPr="00BB0C12">
        <w:rPr>
          <w:rFonts w:cstheme="minorHAnsi"/>
          <w:color w:val="000000" w:themeColor="text1"/>
        </w:rPr>
        <w:t xml:space="preserve">5million). Five Sudbury properties are insured with a “corporate financial test” ($517.1 million). These include the 35 sq.km Central Management Tailings Area (CMTA) which is assured for </w:t>
      </w:r>
      <w:r w:rsidR="0027377E">
        <w:rPr>
          <w:rFonts w:cstheme="minorHAnsi"/>
          <w:color w:val="000000" w:themeColor="text1"/>
        </w:rPr>
        <w:t xml:space="preserve">only </w:t>
      </w:r>
      <w:r w:rsidRPr="00BB0C12">
        <w:rPr>
          <w:rFonts w:cstheme="minorHAnsi"/>
          <w:color w:val="000000" w:themeColor="text1"/>
          <w:lang w:val="en-US"/>
        </w:rPr>
        <w:t>$330.4 million. A corporate financial test means that the property is insured by a line on</w:t>
      </w:r>
      <w:r w:rsidR="0027377E">
        <w:rPr>
          <w:rFonts w:cstheme="minorHAnsi"/>
          <w:color w:val="000000" w:themeColor="text1"/>
          <w:lang w:val="en-US"/>
        </w:rPr>
        <w:t xml:space="preserve"> the</w:t>
      </w:r>
      <w:r w:rsidRPr="00BB0C12">
        <w:rPr>
          <w:rFonts w:cstheme="minorHAnsi"/>
          <w:color w:val="000000" w:themeColor="text1"/>
          <w:lang w:val="en-US"/>
        </w:rPr>
        <w:t xml:space="preserve"> Vale Canada balance sheet</w:t>
      </w:r>
      <w:r w:rsidR="00C35965" w:rsidRPr="00BB0C12">
        <w:rPr>
          <w:rFonts w:cstheme="minorHAnsi"/>
          <w:color w:val="000000" w:themeColor="text1"/>
          <w:lang w:val="en-US"/>
        </w:rPr>
        <w:t xml:space="preserve"> – not a cashable financial security</w:t>
      </w:r>
      <w:r w:rsidRPr="00BB0C12">
        <w:rPr>
          <w:rFonts w:cstheme="minorHAnsi"/>
          <w:color w:val="000000" w:themeColor="text1"/>
          <w:lang w:val="en-US"/>
        </w:rPr>
        <w:t xml:space="preserve">. The dams surrounding the CMTA are considered to be “high risk dams” by the Canadian Dam Association. Ontario is the only jurisdiction in Canada that allows such a flimsy form of financial assurance. </w:t>
      </w:r>
    </w:p>
    <w:p w14:paraId="66C5ADE7" w14:textId="77777777" w:rsidR="00202212" w:rsidRPr="00BB0C12" w:rsidRDefault="00202212" w:rsidP="00202212">
      <w:pPr>
        <w:rPr>
          <w:rFonts w:cstheme="minorHAnsi"/>
          <w:color w:val="000000" w:themeColor="text1"/>
          <w:lang w:val="en-US"/>
        </w:rPr>
      </w:pPr>
    </w:p>
    <w:p w14:paraId="236C4CEE" w14:textId="39CAADF5" w:rsidR="00202212" w:rsidRPr="00BB0C12" w:rsidRDefault="00202212" w:rsidP="00202212">
      <w:pPr>
        <w:rPr>
          <w:rFonts w:cstheme="minorHAnsi"/>
          <w:color w:val="000000" w:themeColor="text1"/>
        </w:rPr>
      </w:pPr>
      <w:r w:rsidRPr="00BB0C12">
        <w:rPr>
          <w:rFonts w:cstheme="minorHAnsi"/>
          <w:color w:val="000000" w:themeColor="text1"/>
        </w:rPr>
        <w:lastRenderedPageBreak/>
        <w:t xml:space="preserve">Among others on the list, Goldcorp has 15 properties with a total financial assurance of $204.9 million. Glencore 11 properties assured with $400.5 million. Many of these properties are insured by a Letter of Credit. The public cannot know who or what holds the letter of credit, although it is standard practice in the industry for the insurer to be a “contract insurer”, that is, a related company.  </w:t>
      </w:r>
    </w:p>
    <w:p w14:paraId="19A793CC" w14:textId="77777777" w:rsidR="00202212" w:rsidRPr="00BB0C12" w:rsidRDefault="00202212" w:rsidP="00202212">
      <w:pPr>
        <w:rPr>
          <w:rFonts w:cstheme="minorHAnsi"/>
          <w:color w:val="000000" w:themeColor="text1"/>
        </w:rPr>
      </w:pPr>
    </w:p>
    <w:p w14:paraId="4F2E947E" w14:textId="2656E330" w:rsidR="00202212" w:rsidRPr="00BB0C12" w:rsidRDefault="00202212" w:rsidP="00202212">
      <w:pPr>
        <w:rPr>
          <w:rFonts w:cstheme="minorHAnsi"/>
          <w:color w:val="000000" w:themeColor="text1"/>
        </w:rPr>
      </w:pPr>
      <w:r w:rsidRPr="00BB0C12">
        <w:rPr>
          <w:rFonts w:cstheme="minorHAnsi"/>
          <w:color w:val="000000" w:themeColor="text1"/>
        </w:rPr>
        <w:t xml:space="preserve">Introducing “pledge of assets” as a form of financial assurance fails to recognize that most mine assets are in fact worthless or a liability after closure. This form of financial assurance has been discredited in most studies. </w:t>
      </w:r>
    </w:p>
    <w:p w14:paraId="6E567AEE" w14:textId="77777777" w:rsidR="00202212" w:rsidRPr="00BB0C12" w:rsidRDefault="00202212" w:rsidP="00202212">
      <w:pPr>
        <w:rPr>
          <w:rFonts w:cstheme="minorHAnsi"/>
          <w:color w:val="000000" w:themeColor="text1"/>
        </w:rPr>
      </w:pPr>
    </w:p>
    <w:p w14:paraId="2B52CD33" w14:textId="77777777" w:rsidR="00202212" w:rsidRPr="00C35C40" w:rsidRDefault="00202212" w:rsidP="00C35C40">
      <w:pPr>
        <w:pStyle w:val="Heading2"/>
        <w:numPr>
          <w:ilvl w:val="0"/>
          <w:numId w:val="17"/>
        </w:numPr>
      </w:pPr>
      <w:bookmarkStart w:id="7" w:name="_Toc132206212"/>
      <w:r w:rsidRPr="00C35C40">
        <w:t>Allow the Minister to defer or amend required elements of the closure plan, upon request of a proponent</w:t>
      </w:r>
      <w:bookmarkEnd w:id="7"/>
    </w:p>
    <w:p w14:paraId="202A522F" w14:textId="77777777" w:rsidR="006913CF" w:rsidRPr="00BB0C12" w:rsidRDefault="006913CF" w:rsidP="00202212">
      <w:pPr>
        <w:rPr>
          <w:color w:val="000000" w:themeColor="text1"/>
        </w:rPr>
      </w:pPr>
    </w:p>
    <w:p w14:paraId="12357E80" w14:textId="299457C3" w:rsidR="00202212" w:rsidRPr="00BB0C12" w:rsidRDefault="00202212" w:rsidP="00202212">
      <w:pPr>
        <w:rPr>
          <w:color w:val="000000" w:themeColor="text1"/>
        </w:rPr>
      </w:pPr>
      <w:r w:rsidRPr="00BB0C12">
        <w:rPr>
          <w:color w:val="000000" w:themeColor="text1"/>
        </w:rPr>
        <w:t xml:space="preserve">Again, this provision allows too much </w:t>
      </w:r>
      <w:r w:rsidR="00C35965" w:rsidRPr="00BB0C12">
        <w:rPr>
          <w:color w:val="000000" w:themeColor="text1"/>
        </w:rPr>
        <w:t xml:space="preserve">ministerial </w:t>
      </w:r>
      <w:r w:rsidRPr="00BB0C12">
        <w:rPr>
          <w:color w:val="000000" w:themeColor="text1"/>
        </w:rPr>
        <w:t xml:space="preserve">discretion without adequate public transparency or power to affect decisions. </w:t>
      </w:r>
      <w:r w:rsidR="006913CF" w:rsidRPr="00BB0C12">
        <w:rPr>
          <w:color w:val="000000" w:themeColor="text1"/>
        </w:rPr>
        <w:t>It puts the demands of the industry ahead of the public good.</w:t>
      </w:r>
    </w:p>
    <w:p w14:paraId="6F8370F7" w14:textId="77777777" w:rsidR="00202212" w:rsidRPr="00BB0C12" w:rsidRDefault="00202212" w:rsidP="00202212">
      <w:pPr>
        <w:rPr>
          <w:color w:val="000000" w:themeColor="text1"/>
        </w:rPr>
      </w:pPr>
    </w:p>
    <w:p w14:paraId="7E9CC15D" w14:textId="7BEB8B50" w:rsidR="00202212" w:rsidRPr="00C35C40" w:rsidRDefault="00202212" w:rsidP="00C35C40">
      <w:pPr>
        <w:pStyle w:val="Heading2"/>
        <w:numPr>
          <w:ilvl w:val="0"/>
          <w:numId w:val="17"/>
        </w:numPr>
      </w:pPr>
      <w:bookmarkStart w:id="8" w:name="_Toc132206213"/>
      <w:r w:rsidRPr="00C35C40">
        <w:t>Change the definition of “rehabilitate” and “protective measures” to allow “alternate uses” post-closure (Section 139)</w:t>
      </w:r>
      <w:bookmarkEnd w:id="8"/>
    </w:p>
    <w:p w14:paraId="4FD107CE" w14:textId="77777777" w:rsidR="00202212" w:rsidRPr="00BB0C12" w:rsidRDefault="00202212" w:rsidP="00202212">
      <w:pPr>
        <w:rPr>
          <w:color w:val="000000" w:themeColor="text1"/>
        </w:rPr>
      </w:pPr>
    </w:p>
    <w:p w14:paraId="0ABE4A22" w14:textId="48502EAE" w:rsidR="00202212" w:rsidRPr="00BB0C12" w:rsidRDefault="00202212" w:rsidP="00202212">
      <w:pPr>
        <w:rPr>
          <w:color w:val="000000" w:themeColor="text1"/>
        </w:rPr>
      </w:pPr>
      <w:r w:rsidRPr="00BB0C12">
        <w:rPr>
          <w:color w:val="000000" w:themeColor="text1"/>
        </w:rPr>
        <w:t>This vague promise will be further defined by the regulations. It may open the door for re-mining, bio-mining and other ways to extract the minerals we need. However, it may also mean hazardous waste dumps and an expanded</w:t>
      </w:r>
      <w:r w:rsidR="006913CF" w:rsidRPr="00BB0C12">
        <w:rPr>
          <w:color w:val="000000" w:themeColor="text1"/>
        </w:rPr>
        <w:t xml:space="preserve"> </w:t>
      </w:r>
      <w:proofErr w:type="gramStart"/>
      <w:r w:rsidR="006913CF" w:rsidRPr="00BB0C12">
        <w:rPr>
          <w:color w:val="000000" w:themeColor="text1"/>
        </w:rPr>
        <w:t>mine</w:t>
      </w:r>
      <w:proofErr w:type="gramEnd"/>
      <w:r w:rsidRPr="00BB0C12">
        <w:rPr>
          <w:color w:val="000000" w:themeColor="text1"/>
        </w:rPr>
        <w:t xml:space="preserve"> footprint. That these key definitions are left to the regulations to define is cause for alarm, especially when they may be subject “to compliance where a standard is not required</w:t>
      </w:r>
      <w:r w:rsidR="00C35965" w:rsidRPr="00BB0C12">
        <w:rPr>
          <w:color w:val="000000" w:themeColor="text1"/>
        </w:rPr>
        <w:t>.</w:t>
      </w:r>
      <w:r w:rsidRPr="00BB0C12">
        <w:rPr>
          <w:color w:val="000000" w:themeColor="text1"/>
        </w:rPr>
        <w:t>”</w:t>
      </w:r>
    </w:p>
    <w:p w14:paraId="34F3B856" w14:textId="4EDED2C1" w:rsidR="00202212" w:rsidRPr="00BB0C12" w:rsidRDefault="00202212" w:rsidP="00202212">
      <w:pPr>
        <w:pStyle w:val="Heading2"/>
      </w:pPr>
    </w:p>
    <w:p w14:paraId="55480C5B" w14:textId="17D295C2" w:rsidR="00202212" w:rsidRPr="00C35C40" w:rsidRDefault="00202212" w:rsidP="00C35C40">
      <w:pPr>
        <w:pStyle w:val="Heading2"/>
      </w:pPr>
      <w:bookmarkStart w:id="9" w:name="_Toc132206214"/>
      <w:r w:rsidRPr="00C35C40">
        <w:t>Conclusion</w:t>
      </w:r>
      <w:bookmarkEnd w:id="9"/>
    </w:p>
    <w:p w14:paraId="55D8FB9E" w14:textId="16334249" w:rsidR="00202212" w:rsidRPr="00BB0C12" w:rsidRDefault="00202212" w:rsidP="00202212">
      <w:pPr>
        <w:rPr>
          <w:rFonts w:eastAsia="Times New Roman" w:cstheme="minorHAnsi"/>
          <w:color w:val="000000" w:themeColor="text1"/>
        </w:rPr>
      </w:pPr>
      <w:r w:rsidRPr="00BB0C12">
        <w:rPr>
          <w:color w:val="000000" w:themeColor="text1"/>
        </w:rPr>
        <w:t xml:space="preserve">The amendments proposed in the </w:t>
      </w:r>
      <w:r w:rsidRPr="00BB0C12">
        <w:rPr>
          <w:i/>
          <w:iCs/>
          <w:color w:val="000000" w:themeColor="text1"/>
        </w:rPr>
        <w:t>Building More Mines Act</w:t>
      </w:r>
      <w:r w:rsidR="00C35C40">
        <w:rPr>
          <w:i/>
          <w:iCs/>
          <w:color w:val="000000" w:themeColor="text1"/>
        </w:rPr>
        <w:t xml:space="preserve"> and the Recovery Act</w:t>
      </w:r>
      <w:r w:rsidRPr="00BB0C12">
        <w:rPr>
          <w:i/>
          <w:iCs/>
          <w:color w:val="000000" w:themeColor="text1"/>
        </w:rPr>
        <w:t xml:space="preserve"> </w:t>
      </w:r>
      <w:r w:rsidRPr="00BB0C12">
        <w:rPr>
          <w:rFonts w:eastAsia="Times New Roman" w:cstheme="minorHAnsi"/>
          <w:color w:val="000000" w:themeColor="text1"/>
        </w:rPr>
        <w:t xml:space="preserve">would increase conflict with Indigenous </w:t>
      </w:r>
      <w:r w:rsidR="00C35965" w:rsidRPr="00BB0C12">
        <w:rPr>
          <w:rFonts w:eastAsia="Times New Roman" w:cstheme="minorHAnsi"/>
          <w:color w:val="000000" w:themeColor="text1"/>
        </w:rPr>
        <w:t>p</w:t>
      </w:r>
      <w:r w:rsidRPr="00BB0C12">
        <w:rPr>
          <w:rFonts w:eastAsia="Times New Roman" w:cstheme="minorHAnsi"/>
          <w:color w:val="000000" w:themeColor="text1"/>
        </w:rPr>
        <w:t xml:space="preserve">eoples in Ontario, increase long-term risk to communities and the ecosystem, and increase financial risk for taxpayers. </w:t>
      </w:r>
      <w:r w:rsidR="00C35965" w:rsidRPr="00BB0C12">
        <w:rPr>
          <w:rFonts w:eastAsia="Times New Roman" w:cstheme="minorHAnsi"/>
          <w:color w:val="000000" w:themeColor="text1"/>
        </w:rPr>
        <w:t xml:space="preserve">They </w:t>
      </w:r>
      <w:r w:rsidRPr="00BB0C12">
        <w:rPr>
          <w:rFonts w:eastAsia="Times New Roman" w:cstheme="minorHAnsi"/>
          <w:color w:val="000000" w:themeColor="text1"/>
        </w:rPr>
        <w:t>do not have the Free Prior Informed Consent of Indigenous peoples who will be most affected</w:t>
      </w:r>
      <w:r w:rsidR="00C35965" w:rsidRPr="00BB0C12">
        <w:rPr>
          <w:rFonts w:eastAsia="Times New Roman" w:cstheme="minorHAnsi"/>
          <w:color w:val="000000" w:themeColor="text1"/>
        </w:rPr>
        <w:t>, and if they cannot be subjected to rigorous public review and the consent of affected Indigenous peoples, they must be rejected.</w:t>
      </w:r>
    </w:p>
    <w:p w14:paraId="04C7FF9C" w14:textId="0039C048" w:rsidR="00202212" w:rsidRPr="00202212" w:rsidRDefault="00202212" w:rsidP="00202212"/>
    <w:sectPr w:rsidR="00202212" w:rsidRPr="00202212" w:rsidSect="00202212">
      <w:headerReference w:type="even" r:id="rId8"/>
      <w:headerReference w:type="defaul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0B8DB" w14:textId="77777777" w:rsidR="00266040" w:rsidRDefault="00266040" w:rsidP="00B11CFB">
      <w:r>
        <w:separator/>
      </w:r>
    </w:p>
  </w:endnote>
  <w:endnote w:type="continuationSeparator" w:id="0">
    <w:p w14:paraId="0E4263E9" w14:textId="77777777" w:rsidR="00266040" w:rsidRDefault="00266040" w:rsidP="00B1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828F7" w14:textId="77777777" w:rsidR="00266040" w:rsidRDefault="00266040" w:rsidP="00B11CFB">
      <w:r>
        <w:separator/>
      </w:r>
    </w:p>
  </w:footnote>
  <w:footnote w:type="continuationSeparator" w:id="0">
    <w:p w14:paraId="2F6E6D06" w14:textId="77777777" w:rsidR="00266040" w:rsidRDefault="00266040" w:rsidP="00B11CFB">
      <w:r>
        <w:continuationSeparator/>
      </w:r>
    </w:p>
  </w:footnote>
  <w:footnote w:id="1">
    <w:p w14:paraId="52FEE7FE" w14:textId="0D136B88" w:rsidR="00202212" w:rsidRPr="00C91FBC" w:rsidRDefault="00202212" w:rsidP="00202212">
      <w:pPr>
        <w:pStyle w:val="FootnoteText"/>
        <w:ind w:left="180" w:hanging="180"/>
        <w:rPr>
          <w:rStyle w:val="endnoterefe"/>
          <w:sz w:val="18"/>
          <w:szCs w:val="18"/>
        </w:rPr>
      </w:pPr>
      <w:r w:rsidRPr="00C91FBC">
        <w:rPr>
          <w:rStyle w:val="endnoterefe"/>
          <w:sz w:val="18"/>
          <w:szCs w:val="18"/>
        </w:rPr>
        <w:footnoteRef/>
      </w:r>
      <w:r>
        <w:rPr>
          <w:rStyle w:val="endnoterefe"/>
          <w:sz w:val="18"/>
          <w:szCs w:val="18"/>
        </w:rPr>
        <w:tab/>
      </w:r>
      <w:r w:rsidRPr="00C612F4">
        <w:rPr>
          <w:rStyle w:val="endnoterefe"/>
          <w:sz w:val="18"/>
          <w:szCs w:val="18"/>
          <w:vertAlign w:val="baseline"/>
        </w:rPr>
        <w:t>Auditor-General of Ontario, 2016 report, Chapter 3, section 3.06.</w:t>
      </w:r>
      <w:r w:rsidR="00C35965">
        <w:rPr>
          <w:rStyle w:val="endnoterefe"/>
          <w:sz w:val="18"/>
          <w:szCs w:val="18"/>
          <w:vertAlign w:val="baseline"/>
        </w:rPr>
        <w:t xml:space="preserve"> </w:t>
      </w:r>
      <w:hyperlink r:id="rId1" w:history="1">
        <w:r w:rsidR="00C35965" w:rsidRPr="00C35965">
          <w:rPr>
            <w:rStyle w:val="Hyperlink"/>
            <w:sz w:val="18"/>
            <w:szCs w:val="18"/>
          </w:rPr>
          <w:t>https://www.auditor.on.ca/en/content/annualreports/arreports/en16/v1_306en16.pdf</w:t>
        </w:r>
      </w:hyperlink>
      <w:r w:rsidRPr="00C91FBC">
        <w:rPr>
          <w:rStyle w:val="endnoterefe"/>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76884285"/>
      <w:docPartObj>
        <w:docPartGallery w:val="Page Numbers (Top of Page)"/>
        <w:docPartUnique/>
      </w:docPartObj>
    </w:sdtPr>
    <w:sdtEndPr>
      <w:rPr>
        <w:rStyle w:val="PageNumber"/>
      </w:rPr>
    </w:sdtEndPr>
    <w:sdtContent>
      <w:p w14:paraId="46394EBC" w14:textId="32A56592" w:rsidR="00202212" w:rsidRDefault="00202212" w:rsidP="00D9771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016841616"/>
      <w:docPartObj>
        <w:docPartGallery w:val="Page Numbers (Top of Page)"/>
        <w:docPartUnique/>
      </w:docPartObj>
    </w:sdtPr>
    <w:sdtEndPr>
      <w:rPr>
        <w:rStyle w:val="PageNumber"/>
      </w:rPr>
    </w:sdtEndPr>
    <w:sdtContent>
      <w:p w14:paraId="429ED43D" w14:textId="72E54C72" w:rsidR="00202212" w:rsidRDefault="00202212" w:rsidP="00D9771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F64A1C5" w14:textId="77777777" w:rsidR="00202212" w:rsidRDefault="00202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52894830"/>
      <w:docPartObj>
        <w:docPartGallery w:val="Page Numbers (Top of Page)"/>
        <w:docPartUnique/>
      </w:docPartObj>
    </w:sdtPr>
    <w:sdtEndPr>
      <w:rPr>
        <w:rStyle w:val="PageNumber"/>
      </w:rPr>
    </w:sdtEndPr>
    <w:sdtContent>
      <w:p w14:paraId="31E3E113" w14:textId="4A069EC1" w:rsidR="00202212" w:rsidRDefault="00202212" w:rsidP="00D9771B">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8E3A775" w14:textId="59F2655D" w:rsidR="00202212" w:rsidRDefault="00202212">
    <w:pPr>
      <w:pStyle w:val="Header"/>
    </w:pPr>
    <w:r>
      <w:t>Building Better Mines Act</w:t>
    </w:r>
    <w:r>
      <w:ptab w:relativeTo="margin" w:alignment="center" w:leader="none"/>
    </w:r>
    <w:r>
      <w:ptab w:relativeTo="margin" w:alignment="right" w:leader="none"/>
    </w:r>
    <w:r>
      <w:t>OJAMS-2023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D3C4C"/>
    <w:multiLevelType w:val="multilevel"/>
    <w:tmpl w:val="0E1C97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922B99"/>
    <w:multiLevelType w:val="hybridMultilevel"/>
    <w:tmpl w:val="AE766F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A220CA"/>
    <w:multiLevelType w:val="hybridMultilevel"/>
    <w:tmpl w:val="18502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C6CF7"/>
    <w:multiLevelType w:val="hybridMultilevel"/>
    <w:tmpl w:val="43487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C1F6E"/>
    <w:multiLevelType w:val="hybridMultilevel"/>
    <w:tmpl w:val="0E1C97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935E25"/>
    <w:multiLevelType w:val="hybridMultilevel"/>
    <w:tmpl w:val="86A4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3302EF"/>
    <w:multiLevelType w:val="hybridMultilevel"/>
    <w:tmpl w:val="7A626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27D0F"/>
    <w:multiLevelType w:val="hybridMultilevel"/>
    <w:tmpl w:val="557AA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FD0B8B"/>
    <w:multiLevelType w:val="hybridMultilevel"/>
    <w:tmpl w:val="C01ED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C37055"/>
    <w:multiLevelType w:val="multilevel"/>
    <w:tmpl w:val="7B1A1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CF561B"/>
    <w:multiLevelType w:val="hybridMultilevel"/>
    <w:tmpl w:val="199A9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27BB3"/>
    <w:multiLevelType w:val="hybridMultilevel"/>
    <w:tmpl w:val="8FB0FA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9D7F1A"/>
    <w:multiLevelType w:val="hybridMultilevel"/>
    <w:tmpl w:val="34EE1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FE6E81"/>
    <w:multiLevelType w:val="multilevel"/>
    <w:tmpl w:val="1240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2033F4E"/>
    <w:multiLevelType w:val="hybridMultilevel"/>
    <w:tmpl w:val="7C1A6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1F522F"/>
    <w:multiLevelType w:val="hybridMultilevel"/>
    <w:tmpl w:val="23A865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3B7BB7"/>
    <w:multiLevelType w:val="hybridMultilevel"/>
    <w:tmpl w:val="E4C2A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9"/>
  </w:num>
  <w:num w:numId="4">
    <w:abstractNumId w:val="4"/>
  </w:num>
  <w:num w:numId="5">
    <w:abstractNumId w:val="12"/>
  </w:num>
  <w:num w:numId="6">
    <w:abstractNumId w:val="1"/>
  </w:num>
  <w:num w:numId="7">
    <w:abstractNumId w:val="15"/>
  </w:num>
  <w:num w:numId="8">
    <w:abstractNumId w:val="6"/>
  </w:num>
  <w:num w:numId="9">
    <w:abstractNumId w:val="0"/>
  </w:num>
  <w:num w:numId="10">
    <w:abstractNumId w:val="3"/>
  </w:num>
  <w:num w:numId="11">
    <w:abstractNumId w:val="8"/>
  </w:num>
  <w:num w:numId="12">
    <w:abstractNumId w:val="16"/>
  </w:num>
  <w:num w:numId="13">
    <w:abstractNumId w:val="5"/>
  </w:num>
  <w:num w:numId="14">
    <w:abstractNumId w:val="14"/>
  </w:num>
  <w:num w:numId="15">
    <w:abstractNumId w:val="10"/>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FB"/>
    <w:rsid w:val="00020493"/>
    <w:rsid w:val="000A4F48"/>
    <w:rsid w:val="000F5DB0"/>
    <w:rsid w:val="00157A49"/>
    <w:rsid w:val="00202212"/>
    <w:rsid w:val="00266040"/>
    <w:rsid w:val="0027377E"/>
    <w:rsid w:val="0029068A"/>
    <w:rsid w:val="003C30F6"/>
    <w:rsid w:val="00412798"/>
    <w:rsid w:val="004E0152"/>
    <w:rsid w:val="005054A3"/>
    <w:rsid w:val="005C643C"/>
    <w:rsid w:val="006913CF"/>
    <w:rsid w:val="006E4466"/>
    <w:rsid w:val="00715B61"/>
    <w:rsid w:val="00775080"/>
    <w:rsid w:val="007D0021"/>
    <w:rsid w:val="00865077"/>
    <w:rsid w:val="009E6FF3"/>
    <w:rsid w:val="00A022AA"/>
    <w:rsid w:val="00A77ACD"/>
    <w:rsid w:val="00B11CFB"/>
    <w:rsid w:val="00B620BB"/>
    <w:rsid w:val="00BB0C12"/>
    <w:rsid w:val="00BE5E1A"/>
    <w:rsid w:val="00C3313F"/>
    <w:rsid w:val="00C35965"/>
    <w:rsid w:val="00C35C40"/>
    <w:rsid w:val="00C612F4"/>
    <w:rsid w:val="00CE23E0"/>
    <w:rsid w:val="00F52DD2"/>
    <w:rsid w:val="00FC67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6F1236E"/>
  <w15:chartTrackingRefBased/>
  <w15:docId w15:val="{5E81F1AE-936C-B34D-9DDB-2B8172B69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12"/>
    <w:pPr>
      <w:spacing w:line="360" w:lineRule="auto"/>
    </w:pPr>
  </w:style>
  <w:style w:type="paragraph" w:styleId="Heading1">
    <w:name w:val="heading 1"/>
    <w:basedOn w:val="Normal"/>
    <w:next w:val="Normal"/>
    <w:link w:val="Heading1Char"/>
    <w:uiPriority w:val="9"/>
    <w:qFormat/>
    <w:rsid w:val="0020221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2212"/>
    <w:pPr>
      <w:keepNext/>
      <w:keepLines/>
      <w:spacing w:before="4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20221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1CF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B11CFB"/>
    <w:pPr>
      <w:ind w:left="720"/>
      <w:contextualSpacing/>
    </w:pPr>
  </w:style>
  <w:style w:type="character" w:customStyle="1" w:styleId="endnoterefe">
    <w:name w:val="endnote refe"/>
    <w:basedOn w:val="EndnoteReference"/>
    <w:qFormat/>
    <w:rsid w:val="00B11CFB"/>
    <w:rPr>
      <w:rFonts w:ascii="Times New Roman" w:hAnsi="Times New Roman"/>
      <w:b w:val="0"/>
      <w:i w:val="0"/>
      <w:position w:val="6"/>
      <w:sz w:val="20"/>
      <w:vertAlign w:val="superscript"/>
    </w:rPr>
  </w:style>
  <w:style w:type="character" w:styleId="Hyperlink">
    <w:name w:val="Hyperlink"/>
    <w:basedOn w:val="DefaultParagraphFont"/>
    <w:uiPriority w:val="99"/>
    <w:unhideWhenUsed/>
    <w:rsid w:val="00B11CFB"/>
    <w:rPr>
      <w:color w:val="0563C1" w:themeColor="hyperlink"/>
      <w:u w:val="single"/>
    </w:rPr>
  </w:style>
  <w:style w:type="paragraph" w:styleId="FootnoteText">
    <w:name w:val="footnote text"/>
    <w:basedOn w:val="Normal"/>
    <w:link w:val="FootnoteTextChar"/>
    <w:uiPriority w:val="99"/>
    <w:unhideWhenUsed/>
    <w:rsid w:val="00B11CFB"/>
    <w:rPr>
      <w:rFonts w:ascii="Times New Roman" w:hAnsi="Times New Roman" w:cs="Times New Roman"/>
      <w:sz w:val="22"/>
      <w:szCs w:val="20"/>
      <w:lang w:eastAsia="en-CA"/>
    </w:rPr>
  </w:style>
  <w:style w:type="character" w:customStyle="1" w:styleId="FootnoteTextChar">
    <w:name w:val="Footnote Text Char"/>
    <w:basedOn w:val="DefaultParagraphFont"/>
    <w:link w:val="FootnoteText"/>
    <w:uiPriority w:val="99"/>
    <w:rsid w:val="00B11CFB"/>
    <w:rPr>
      <w:rFonts w:ascii="Times New Roman" w:hAnsi="Times New Roman" w:cs="Times New Roman"/>
      <w:sz w:val="22"/>
      <w:szCs w:val="20"/>
      <w:lang w:eastAsia="en-CA"/>
    </w:rPr>
  </w:style>
  <w:style w:type="character" w:styleId="FootnoteReference">
    <w:name w:val="footnote reference"/>
    <w:basedOn w:val="DefaultParagraphFont"/>
    <w:uiPriority w:val="99"/>
    <w:semiHidden/>
    <w:unhideWhenUsed/>
    <w:rsid w:val="00B11CFB"/>
    <w:rPr>
      <w:vertAlign w:val="superscript"/>
    </w:rPr>
  </w:style>
  <w:style w:type="paragraph" w:styleId="BodyTextIndent2">
    <w:name w:val="Body Text Indent 2"/>
    <w:basedOn w:val="Normal"/>
    <w:link w:val="BodyTextIndent2Char"/>
    <w:uiPriority w:val="99"/>
    <w:unhideWhenUsed/>
    <w:rsid w:val="00B11CFB"/>
    <w:pPr>
      <w:spacing w:after="160" w:line="276" w:lineRule="auto"/>
    </w:pPr>
    <w:rPr>
      <w:rFonts w:ascii="Times New Roman" w:hAnsi="Times New Roman" w:cs="Times New Roman"/>
      <w:sz w:val="22"/>
      <w:szCs w:val="22"/>
      <w:lang w:eastAsia="en-CA"/>
    </w:rPr>
  </w:style>
  <w:style w:type="character" w:customStyle="1" w:styleId="BodyTextIndent2Char">
    <w:name w:val="Body Text Indent 2 Char"/>
    <w:basedOn w:val="DefaultParagraphFont"/>
    <w:link w:val="BodyTextIndent2"/>
    <w:uiPriority w:val="99"/>
    <w:rsid w:val="00B11CFB"/>
    <w:rPr>
      <w:rFonts w:ascii="Times New Roman" w:hAnsi="Times New Roman" w:cs="Times New Roman"/>
      <w:sz w:val="22"/>
      <w:szCs w:val="22"/>
      <w:lang w:eastAsia="en-CA"/>
    </w:rPr>
  </w:style>
  <w:style w:type="character" w:styleId="EndnoteReference">
    <w:name w:val="endnote reference"/>
    <w:basedOn w:val="DefaultParagraphFont"/>
    <w:uiPriority w:val="99"/>
    <w:semiHidden/>
    <w:unhideWhenUsed/>
    <w:rsid w:val="00B11CFB"/>
    <w:rPr>
      <w:vertAlign w:val="superscript"/>
    </w:rPr>
  </w:style>
  <w:style w:type="character" w:customStyle="1" w:styleId="markedcontent">
    <w:name w:val="markedcontent"/>
    <w:basedOn w:val="DefaultParagraphFont"/>
    <w:rsid w:val="00B11CFB"/>
  </w:style>
  <w:style w:type="character" w:styleId="HTMLCite">
    <w:name w:val="HTML Cite"/>
    <w:basedOn w:val="DefaultParagraphFont"/>
    <w:uiPriority w:val="99"/>
    <w:semiHidden/>
    <w:unhideWhenUsed/>
    <w:rsid w:val="00202212"/>
    <w:rPr>
      <w:i/>
      <w:iCs/>
    </w:rPr>
  </w:style>
  <w:style w:type="character" w:customStyle="1" w:styleId="Heading1Char">
    <w:name w:val="Heading 1 Char"/>
    <w:basedOn w:val="DefaultParagraphFont"/>
    <w:link w:val="Heading1"/>
    <w:uiPriority w:val="9"/>
    <w:rsid w:val="0020221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2212"/>
    <w:rPr>
      <w:rFonts w:asciiTheme="majorHAnsi" w:eastAsiaTheme="majorEastAsia" w:hAnsiTheme="majorHAnsi" w:cstheme="majorBidi"/>
      <w:b/>
      <w:color w:val="000000" w:themeColor="text1"/>
      <w:sz w:val="26"/>
      <w:szCs w:val="26"/>
    </w:rPr>
  </w:style>
  <w:style w:type="character" w:customStyle="1" w:styleId="Heading3Char">
    <w:name w:val="Heading 3 Char"/>
    <w:basedOn w:val="DefaultParagraphFont"/>
    <w:link w:val="Heading3"/>
    <w:uiPriority w:val="9"/>
    <w:rsid w:val="00202212"/>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202212"/>
    <w:pPr>
      <w:tabs>
        <w:tab w:val="center" w:pos="4680"/>
        <w:tab w:val="right" w:pos="9360"/>
      </w:tabs>
      <w:spacing w:line="240" w:lineRule="auto"/>
    </w:pPr>
  </w:style>
  <w:style w:type="character" w:customStyle="1" w:styleId="HeaderChar">
    <w:name w:val="Header Char"/>
    <w:basedOn w:val="DefaultParagraphFont"/>
    <w:link w:val="Header"/>
    <w:uiPriority w:val="99"/>
    <w:rsid w:val="00202212"/>
  </w:style>
  <w:style w:type="character" w:styleId="PageNumber">
    <w:name w:val="page number"/>
    <w:basedOn w:val="DefaultParagraphFont"/>
    <w:uiPriority w:val="99"/>
    <w:semiHidden/>
    <w:unhideWhenUsed/>
    <w:rsid w:val="00202212"/>
  </w:style>
  <w:style w:type="character" w:styleId="UnresolvedMention">
    <w:name w:val="Unresolved Mention"/>
    <w:basedOn w:val="DefaultParagraphFont"/>
    <w:uiPriority w:val="99"/>
    <w:semiHidden/>
    <w:unhideWhenUsed/>
    <w:rsid w:val="00202212"/>
    <w:rPr>
      <w:color w:val="605E5C"/>
      <w:shd w:val="clear" w:color="auto" w:fill="E1DFDD"/>
    </w:rPr>
  </w:style>
  <w:style w:type="paragraph" w:styleId="Footer">
    <w:name w:val="footer"/>
    <w:basedOn w:val="Normal"/>
    <w:link w:val="FooterChar"/>
    <w:uiPriority w:val="99"/>
    <w:unhideWhenUsed/>
    <w:rsid w:val="00202212"/>
    <w:pPr>
      <w:tabs>
        <w:tab w:val="center" w:pos="4680"/>
        <w:tab w:val="right" w:pos="9360"/>
      </w:tabs>
      <w:spacing w:line="240" w:lineRule="auto"/>
    </w:pPr>
  </w:style>
  <w:style w:type="character" w:customStyle="1" w:styleId="FooterChar">
    <w:name w:val="Footer Char"/>
    <w:basedOn w:val="DefaultParagraphFont"/>
    <w:link w:val="Footer"/>
    <w:uiPriority w:val="99"/>
    <w:rsid w:val="00202212"/>
  </w:style>
  <w:style w:type="paragraph" w:styleId="Revision">
    <w:name w:val="Revision"/>
    <w:hidden/>
    <w:uiPriority w:val="99"/>
    <w:semiHidden/>
    <w:rsid w:val="004E0152"/>
  </w:style>
  <w:style w:type="character" w:styleId="CommentReference">
    <w:name w:val="annotation reference"/>
    <w:basedOn w:val="DefaultParagraphFont"/>
    <w:uiPriority w:val="99"/>
    <w:semiHidden/>
    <w:unhideWhenUsed/>
    <w:rsid w:val="000A4F48"/>
    <w:rPr>
      <w:sz w:val="16"/>
      <w:szCs w:val="16"/>
    </w:rPr>
  </w:style>
  <w:style w:type="paragraph" w:styleId="CommentText">
    <w:name w:val="annotation text"/>
    <w:basedOn w:val="Normal"/>
    <w:link w:val="CommentTextChar"/>
    <w:uiPriority w:val="99"/>
    <w:semiHidden/>
    <w:unhideWhenUsed/>
    <w:rsid w:val="000A4F48"/>
    <w:pPr>
      <w:spacing w:line="240" w:lineRule="auto"/>
    </w:pPr>
    <w:rPr>
      <w:sz w:val="20"/>
      <w:szCs w:val="20"/>
    </w:rPr>
  </w:style>
  <w:style w:type="character" w:customStyle="1" w:styleId="CommentTextChar">
    <w:name w:val="Comment Text Char"/>
    <w:basedOn w:val="DefaultParagraphFont"/>
    <w:link w:val="CommentText"/>
    <w:uiPriority w:val="99"/>
    <w:semiHidden/>
    <w:rsid w:val="000A4F48"/>
    <w:rPr>
      <w:sz w:val="20"/>
      <w:szCs w:val="20"/>
    </w:rPr>
  </w:style>
  <w:style w:type="paragraph" w:styleId="CommentSubject">
    <w:name w:val="annotation subject"/>
    <w:basedOn w:val="CommentText"/>
    <w:next w:val="CommentText"/>
    <w:link w:val="CommentSubjectChar"/>
    <w:uiPriority w:val="99"/>
    <w:semiHidden/>
    <w:unhideWhenUsed/>
    <w:rsid w:val="000A4F48"/>
    <w:rPr>
      <w:b/>
      <w:bCs/>
    </w:rPr>
  </w:style>
  <w:style w:type="character" w:customStyle="1" w:styleId="CommentSubjectChar">
    <w:name w:val="Comment Subject Char"/>
    <w:basedOn w:val="CommentTextChar"/>
    <w:link w:val="CommentSubject"/>
    <w:uiPriority w:val="99"/>
    <w:semiHidden/>
    <w:rsid w:val="000A4F48"/>
    <w:rPr>
      <w:b/>
      <w:bCs/>
      <w:sz w:val="20"/>
      <w:szCs w:val="20"/>
    </w:rPr>
  </w:style>
  <w:style w:type="character" w:customStyle="1" w:styleId="field-wrapper">
    <w:name w:val="field-wrapper"/>
    <w:basedOn w:val="DefaultParagraphFont"/>
    <w:rsid w:val="00C35C40"/>
  </w:style>
  <w:style w:type="paragraph" w:styleId="TOCHeading">
    <w:name w:val="TOC Heading"/>
    <w:basedOn w:val="Heading1"/>
    <w:next w:val="Normal"/>
    <w:uiPriority w:val="39"/>
    <w:unhideWhenUsed/>
    <w:qFormat/>
    <w:rsid w:val="00C35C40"/>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C35C40"/>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C35C40"/>
    <w:rPr>
      <w:rFonts w:cstheme="minorHAnsi"/>
      <w:b/>
      <w:bCs/>
      <w:smallCaps/>
      <w:sz w:val="22"/>
      <w:szCs w:val="22"/>
    </w:rPr>
  </w:style>
  <w:style w:type="paragraph" w:styleId="TOC3">
    <w:name w:val="toc 3"/>
    <w:basedOn w:val="Normal"/>
    <w:next w:val="Normal"/>
    <w:autoRedefine/>
    <w:uiPriority w:val="39"/>
    <w:semiHidden/>
    <w:unhideWhenUsed/>
    <w:rsid w:val="00C35C40"/>
    <w:rPr>
      <w:rFonts w:cstheme="minorHAnsi"/>
      <w:smallCaps/>
      <w:sz w:val="22"/>
      <w:szCs w:val="22"/>
    </w:rPr>
  </w:style>
  <w:style w:type="paragraph" w:styleId="TOC4">
    <w:name w:val="toc 4"/>
    <w:basedOn w:val="Normal"/>
    <w:next w:val="Normal"/>
    <w:autoRedefine/>
    <w:uiPriority w:val="39"/>
    <w:semiHidden/>
    <w:unhideWhenUsed/>
    <w:rsid w:val="00C35C40"/>
    <w:rPr>
      <w:rFonts w:cstheme="minorHAnsi"/>
      <w:sz w:val="22"/>
      <w:szCs w:val="22"/>
    </w:rPr>
  </w:style>
  <w:style w:type="paragraph" w:styleId="TOC5">
    <w:name w:val="toc 5"/>
    <w:basedOn w:val="Normal"/>
    <w:next w:val="Normal"/>
    <w:autoRedefine/>
    <w:uiPriority w:val="39"/>
    <w:semiHidden/>
    <w:unhideWhenUsed/>
    <w:rsid w:val="00C35C40"/>
    <w:rPr>
      <w:rFonts w:cstheme="minorHAnsi"/>
      <w:sz w:val="22"/>
      <w:szCs w:val="22"/>
    </w:rPr>
  </w:style>
  <w:style w:type="paragraph" w:styleId="TOC6">
    <w:name w:val="toc 6"/>
    <w:basedOn w:val="Normal"/>
    <w:next w:val="Normal"/>
    <w:autoRedefine/>
    <w:uiPriority w:val="39"/>
    <w:semiHidden/>
    <w:unhideWhenUsed/>
    <w:rsid w:val="00C35C40"/>
    <w:rPr>
      <w:rFonts w:cstheme="minorHAnsi"/>
      <w:sz w:val="22"/>
      <w:szCs w:val="22"/>
    </w:rPr>
  </w:style>
  <w:style w:type="paragraph" w:styleId="TOC7">
    <w:name w:val="toc 7"/>
    <w:basedOn w:val="Normal"/>
    <w:next w:val="Normal"/>
    <w:autoRedefine/>
    <w:uiPriority w:val="39"/>
    <w:semiHidden/>
    <w:unhideWhenUsed/>
    <w:rsid w:val="00C35C40"/>
    <w:rPr>
      <w:rFonts w:cstheme="minorHAnsi"/>
      <w:sz w:val="22"/>
      <w:szCs w:val="22"/>
    </w:rPr>
  </w:style>
  <w:style w:type="paragraph" w:styleId="TOC8">
    <w:name w:val="toc 8"/>
    <w:basedOn w:val="Normal"/>
    <w:next w:val="Normal"/>
    <w:autoRedefine/>
    <w:uiPriority w:val="39"/>
    <w:semiHidden/>
    <w:unhideWhenUsed/>
    <w:rsid w:val="00C35C40"/>
    <w:rPr>
      <w:rFonts w:cstheme="minorHAnsi"/>
      <w:sz w:val="22"/>
      <w:szCs w:val="22"/>
    </w:rPr>
  </w:style>
  <w:style w:type="paragraph" w:styleId="TOC9">
    <w:name w:val="toc 9"/>
    <w:basedOn w:val="Normal"/>
    <w:next w:val="Normal"/>
    <w:autoRedefine/>
    <w:uiPriority w:val="39"/>
    <w:semiHidden/>
    <w:unhideWhenUsed/>
    <w:rsid w:val="00C35C40"/>
    <w:rPr>
      <w:rFonts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678877">
      <w:bodyDiv w:val="1"/>
      <w:marLeft w:val="0"/>
      <w:marRight w:val="0"/>
      <w:marTop w:val="0"/>
      <w:marBottom w:val="0"/>
      <w:divBdr>
        <w:top w:val="none" w:sz="0" w:space="0" w:color="auto"/>
        <w:left w:val="none" w:sz="0" w:space="0" w:color="auto"/>
        <w:bottom w:val="none" w:sz="0" w:space="0" w:color="auto"/>
        <w:right w:val="none" w:sz="0" w:space="0" w:color="auto"/>
      </w:divBdr>
      <w:divsChild>
        <w:div w:id="924606154">
          <w:marLeft w:val="0"/>
          <w:marRight w:val="0"/>
          <w:marTop w:val="0"/>
          <w:marBottom w:val="0"/>
          <w:divBdr>
            <w:top w:val="none" w:sz="0" w:space="0" w:color="auto"/>
            <w:left w:val="none" w:sz="0" w:space="0" w:color="auto"/>
            <w:bottom w:val="none" w:sz="0" w:space="0" w:color="auto"/>
            <w:right w:val="none" w:sz="0" w:space="0" w:color="auto"/>
          </w:divBdr>
          <w:divsChild>
            <w:div w:id="461927433">
              <w:marLeft w:val="0"/>
              <w:marRight w:val="0"/>
              <w:marTop w:val="0"/>
              <w:marBottom w:val="0"/>
              <w:divBdr>
                <w:top w:val="none" w:sz="0" w:space="0" w:color="auto"/>
                <w:left w:val="none" w:sz="0" w:space="0" w:color="auto"/>
                <w:bottom w:val="none" w:sz="0" w:space="0" w:color="auto"/>
                <w:right w:val="none" w:sz="0" w:space="0" w:color="auto"/>
              </w:divBdr>
              <w:divsChild>
                <w:div w:id="128044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1823">
      <w:bodyDiv w:val="1"/>
      <w:marLeft w:val="0"/>
      <w:marRight w:val="0"/>
      <w:marTop w:val="0"/>
      <w:marBottom w:val="0"/>
      <w:divBdr>
        <w:top w:val="none" w:sz="0" w:space="0" w:color="auto"/>
        <w:left w:val="none" w:sz="0" w:space="0" w:color="auto"/>
        <w:bottom w:val="none" w:sz="0" w:space="0" w:color="auto"/>
        <w:right w:val="none" w:sz="0" w:space="0" w:color="auto"/>
      </w:divBdr>
    </w:div>
    <w:div w:id="150563794">
      <w:bodyDiv w:val="1"/>
      <w:marLeft w:val="0"/>
      <w:marRight w:val="0"/>
      <w:marTop w:val="0"/>
      <w:marBottom w:val="0"/>
      <w:divBdr>
        <w:top w:val="none" w:sz="0" w:space="0" w:color="auto"/>
        <w:left w:val="none" w:sz="0" w:space="0" w:color="auto"/>
        <w:bottom w:val="none" w:sz="0" w:space="0" w:color="auto"/>
        <w:right w:val="none" w:sz="0" w:space="0" w:color="auto"/>
      </w:divBdr>
    </w:div>
    <w:div w:id="165563547">
      <w:bodyDiv w:val="1"/>
      <w:marLeft w:val="0"/>
      <w:marRight w:val="0"/>
      <w:marTop w:val="0"/>
      <w:marBottom w:val="0"/>
      <w:divBdr>
        <w:top w:val="none" w:sz="0" w:space="0" w:color="auto"/>
        <w:left w:val="none" w:sz="0" w:space="0" w:color="auto"/>
        <w:bottom w:val="none" w:sz="0" w:space="0" w:color="auto"/>
        <w:right w:val="none" w:sz="0" w:space="0" w:color="auto"/>
      </w:divBdr>
    </w:div>
    <w:div w:id="207570353">
      <w:bodyDiv w:val="1"/>
      <w:marLeft w:val="0"/>
      <w:marRight w:val="0"/>
      <w:marTop w:val="0"/>
      <w:marBottom w:val="0"/>
      <w:divBdr>
        <w:top w:val="none" w:sz="0" w:space="0" w:color="auto"/>
        <w:left w:val="none" w:sz="0" w:space="0" w:color="auto"/>
        <w:bottom w:val="none" w:sz="0" w:space="0" w:color="auto"/>
        <w:right w:val="none" w:sz="0" w:space="0" w:color="auto"/>
      </w:divBdr>
    </w:div>
    <w:div w:id="221451337">
      <w:bodyDiv w:val="1"/>
      <w:marLeft w:val="0"/>
      <w:marRight w:val="0"/>
      <w:marTop w:val="0"/>
      <w:marBottom w:val="0"/>
      <w:divBdr>
        <w:top w:val="none" w:sz="0" w:space="0" w:color="auto"/>
        <w:left w:val="none" w:sz="0" w:space="0" w:color="auto"/>
        <w:bottom w:val="none" w:sz="0" w:space="0" w:color="auto"/>
        <w:right w:val="none" w:sz="0" w:space="0" w:color="auto"/>
      </w:divBdr>
    </w:div>
    <w:div w:id="320354410">
      <w:bodyDiv w:val="1"/>
      <w:marLeft w:val="0"/>
      <w:marRight w:val="0"/>
      <w:marTop w:val="0"/>
      <w:marBottom w:val="0"/>
      <w:divBdr>
        <w:top w:val="none" w:sz="0" w:space="0" w:color="auto"/>
        <w:left w:val="none" w:sz="0" w:space="0" w:color="auto"/>
        <w:bottom w:val="none" w:sz="0" w:space="0" w:color="auto"/>
        <w:right w:val="none" w:sz="0" w:space="0" w:color="auto"/>
      </w:divBdr>
    </w:div>
    <w:div w:id="435248189">
      <w:bodyDiv w:val="1"/>
      <w:marLeft w:val="0"/>
      <w:marRight w:val="0"/>
      <w:marTop w:val="0"/>
      <w:marBottom w:val="0"/>
      <w:divBdr>
        <w:top w:val="none" w:sz="0" w:space="0" w:color="auto"/>
        <w:left w:val="none" w:sz="0" w:space="0" w:color="auto"/>
        <w:bottom w:val="none" w:sz="0" w:space="0" w:color="auto"/>
        <w:right w:val="none" w:sz="0" w:space="0" w:color="auto"/>
      </w:divBdr>
    </w:div>
    <w:div w:id="456025591">
      <w:bodyDiv w:val="1"/>
      <w:marLeft w:val="0"/>
      <w:marRight w:val="0"/>
      <w:marTop w:val="0"/>
      <w:marBottom w:val="0"/>
      <w:divBdr>
        <w:top w:val="none" w:sz="0" w:space="0" w:color="auto"/>
        <w:left w:val="none" w:sz="0" w:space="0" w:color="auto"/>
        <w:bottom w:val="none" w:sz="0" w:space="0" w:color="auto"/>
        <w:right w:val="none" w:sz="0" w:space="0" w:color="auto"/>
      </w:divBdr>
    </w:div>
    <w:div w:id="484784984">
      <w:bodyDiv w:val="1"/>
      <w:marLeft w:val="0"/>
      <w:marRight w:val="0"/>
      <w:marTop w:val="0"/>
      <w:marBottom w:val="0"/>
      <w:divBdr>
        <w:top w:val="none" w:sz="0" w:space="0" w:color="auto"/>
        <w:left w:val="none" w:sz="0" w:space="0" w:color="auto"/>
        <w:bottom w:val="none" w:sz="0" w:space="0" w:color="auto"/>
        <w:right w:val="none" w:sz="0" w:space="0" w:color="auto"/>
      </w:divBdr>
    </w:div>
    <w:div w:id="610555486">
      <w:bodyDiv w:val="1"/>
      <w:marLeft w:val="0"/>
      <w:marRight w:val="0"/>
      <w:marTop w:val="0"/>
      <w:marBottom w:val="0"/>
      <w:divBdr>
        <w:top w:val="none" w:sz="0" w:space="0" w:color="auto"/>
        <w:left w:val="none" w:sz="0" w:space="0" w:color="auto"/>
        <w:bottom w:val="none" w:sz="0" w:space="0" w:color="auto"/>
        <w:right w:val="none" w:sz="0" w:space="0" w:color="auto"/>
      </w:divBdr>
    </w:div>
    <w:div w:id="808280944">
      <w:bodyDiv w:val="1"/>
      <w:marLeft w:val="0"/>
      <w:marRight w:val="0"/>
      <w:marTop w:val="0"/>
      <w:marBottom w:val="0"/>
      <w:divBdr>
        <w:top w:val="none" w:sz="0" w:space="0" w:color="auto"/>
        <w:left w:val="none" w:sz="0" w:space="0" w:color="auto"/>
        <w:bottom w:val="none" w:sz="0" w:space="0" w:color="auto"/>
        <w:right w:val="none" w:sz="0" w:space="0" w:color="auto"/>
      </w:divBdr>
    </w:div>
    <w:div w:id="1272276208">
      <w:bodyDiv w:val="1"/>
      <w:marLeft w:val="0"/>
      <w:marRight w:val="0"/>
      <w:marTop w:val="0"/>
      <w:marBottom w:val="0"/>
      <w:divBdr>
        <w:top w:val="none" w:sz="0" w:space="0" w:color="auto"/>
        <w:left w:val="none" w:sz="0" w:space="0" w:color="auto"/>
        <w:bottom w:val="none" w:sz="0" w:space="0" w:color="auto"/>
        <w:right w:val="none" w:sz="0" w:space="0" w:color="auto"/>
      </w:divBdr>
    </w:div>
    <w:div w:id="1437024776">
      <w:bodyDiv w:val="1"/>
      <w:marLeft w:val="0"/>
      <w:marRight w:val="0"/>
      <w:marTop w:val="0"/>
      <w:marBottom w:val="0"/>
      <w:divBdr>
        <w:top w:val="none" w:sz="0" w:space="0" w:color="auto"/>
        <w:left w:val="none" w:sz="0" w:space="0" w:color="auto"/>
        <w:bottom w:val="none" w:sz="0" w:space="0" w:color="auto"/>
        <w:right w:val="none" w:sz="0" w:space="0" w:color="auto"/>
      </w:divBdr>
    </w:div>
    <w:div w:id="1500149379">
      <w:bodyDiv w:val="1"/>
      <w:marLeft w:val="0"/>
      <w:marRight w:val="0"/>
      <w:marTop w:val="0"/>
      <w:marBottom w:val="0"/>
      <w:divBdr>
        <w:top w:val="none" w:sz="0" w:space="0" w:color="auto"/>
        <w:left w:val="none" w:sz="0" w:space="0" w:color="auto"/>
        <w:bottom w:val="none" w:sz="0" w:space="0" w:color="auto"/>
        <w:right w:val="none" w:sz="0" w:space="0" w:color="auto"/>
      </w:divBdr>
    </w:div>
    <w:div w:id="1526627452">
      <w:bodyDiv w:val="1"/>
      <w:marLeft w:val="0"/>
      <w:marRight w:val="0"/>
      <w:marTop w:val="0"/>
      <w:marBottom w:val="0"/>
      <w:divBdr>
        <w:top w:val="none" w:sz="0" w:space="0" w:color="auto"/>
        <w:left w:val="none" w:sz="0" w:space="0" w:color="auto"/>
        <w:bottom w:val="none" w:sz="0" w:space="0" w:color="auto"/>
        <w:right w:val="none" w:sz="0" w:space="0" w:color="auto"/>
      </w:divBdr>
    </w:div>
    <w:div w:id="1568106983">
      <w:bodyDiv w:val="1"/>
      <w:marLeft w:val="0"/>
      <w:marRight w:val="0"/>
      <w:marTop w:val="0"/>
      <w:marBottom w:val="0"/>
      <w:divBdr>
        <w:top w:val="none" w:sz="0" w:space="0" w:color="auto"/>
        <w:left w:val="none" w:sz="0" w:space="0" w:color="auto"/>
        <w:bottom w:val="none" w:sz="0" w:space="0" w:color="auto"/>
        <w:right w:val="none" w:sz="0" w:space="0" w:color="auto"/>
      </w:divBdr>
      <w:divsChild>
        <w:div w:id="1603076425">
          <w:marLeft w:val="0"/>
          <w:marRight w:val="0"/>
          <w:marTop w:val="0"/>
          <w:marBottom w:val="0"/>
          <w:divBdr>
            <w:top w:val="none" w:sz="0" w:space="0" w:color="auto"/>
            <w:left w:val="none" w:sz="0" w:space="0" w:color="auto"/>
            <w:bottom w:val="none" w:sz="0" w:space="0" w:color="auto"/>
            <w:right w:val="none" w:sz="0" w:space="0" w:color="auto"/>
          </w:divBdr>
        </w:div>
      </w:divsChild>
    </w:div>
    <w:div w:id="1693073425">
      <w:bodyDiv w:val="1"/>
      <w:marLeft w:val="0"/>
      <w:marRight w:val="0"/>
      <w:marTop w:val="0"/>
      <w:marBottom w:val="0"/>
      <w:divBdr>
        <w:top w:val="none" w:sz="0" w:space="0" w:color="auto"/>
        <w:left w:val="none" w:sz="0" w:space="0" w:color="auto"/>
        <w:bottom w:val="none" w:sz="0" w:space="0" w:color="auto"/>
        <w:right w:val="none" w:sz="0" w:space="0" w:color="auto"/>
      </w:divBdr>
    </w:div>
    <w:div w:id="1758598398">
      <w:bodyDiv w:val="1"/>
      <w:marLeft w:val="0"/>
      <w:marRight w:val="0"/>
      <w:marTop w:val="0"/>
      <w:marBottom w:val="0"/>
      <w:divBdr>
        <w:top w:val="none" w:sz="0" w:space="0" w:color="auto"/>
        <w:left w:val="none" w:sz="0" w:space="0" w:color="auto"/>
        <w:bottom w:val="none" w:sz="0" w:space="0" w:color="auto"/>
        <w:right w:val="none" w:sz="0" w:space="0" w:color="auto"/>
      </w:divBdr>
    </w:div>
    <w:div w:id="1766071496">
      <w:bodyDiv w:val="1"/>
      <w:marLeft w:val="0"/>
      <w:marRight w:val="0"/>
      <w:marTop w:val="0"/>
      <w:marBottom w:val="0"/>
      <w:divBdr>
        <w:top w:val="none" w:sz="0" w:space="0" w:color="auto"/>
        <w:left w:val="none" w:sz="0" w:space="0" w:color="auto"/>
        <w:bottom w:val="none" w:sz="0" w:space="0" w:color="auto"/>
        <w:right w:val="none" w:sz="0" w:space="0" w:color="auto"/>
      </w:divBdr>
    </w:div>
    <w:div w:id="1834642633">
      <w:bodyDiv w:val="1"/>
      <w:marLeft w:val="0"/>
      <w:marRight w:val="0"/>
      <w:marTop w:val="0"/>
      <w:marBottom w:val="0"/>
      <w:divBdr>
        <w:top w:val="none" w:sz="0" w:space="0" w:color="auto"/>
        <w:left w:val="none" w:sz="0" w:space="0" w:color="auto"/>
        <w:bottom w:val="none" w:sz="0" w:space="0" w:color="auto"/>
        <w:right w:val="none" w:sz="0" w:space="0" w:color="auto"/>
      </w:divBdr>
    </w:div>
    <w:div w:id="1882132449">
      <w:bodyDiv w:val="1"/>
      <w:marLeft w:val="0"/>
      <w:marRight w:val="0"/>
      <w:marTop w:val="0"/>
      <w:marBottom w:val="0"/>
      <w:divBdr>
        <w:top w:val="none" w:sz="0" w:space="0" w:color="auto"/>
        <w:left w:val="none" w:sz="0" w:space="0" w:color="auto"/>
        <w:bottom w:val="none" w:sz="0" w:space="0" w:color="auto"/>
        <w:right w:val="none" w:sz="0" w:space="0" w:color="auto"/>
      </w:divBdr>
    </w:div>
    <w:div w:id="2027096799">
      <w:bodyDiv w:val="1"/>
      <w:marLeft w:val="0"/>
      <w:marRight w:val="0"/>
      <w:marTop w:val="0"/>
      <w:marBottom w:val="0"/>
      <w:divBdr>
        <w:top w:val="none" w:sz="0" w:space="0" w:color="auto"/>
        <w:left w:val="none" w:sz="0" w:space="0" w:color="auto"/>
        <w:bottom w:val="none" w:sz="0" w:space="0" w:color="auto"/>
        <w:right w:val="none" w:sz="0" w:space="0" w:color="auto"/>
      </w:divBdr>
      <w:divsChild>
        <w:div w:id="1500732619">
          <w:marLeft w:val="0"/>
          <w:marRight w:val="0"/>
          <w:marTop w:val="0"/>
          <w:marBottom w:val="0"/>
          <w:divBdr>
            <w:top w:val="none" w:sz="0" w:space="0" w:color="auto"/>
            <w:left w:val="none" w:sz="0" w:space="0" w:color="auto"/>
            <w:bottom w:val="none" w:sz="0" w:space="0" w:color="auto"/>
            <w:right w:val="none" w:sz="0" w:space="0" w:color="auto"/>
          </w:divBdr>
          <w:divsChild>
            <w:div w:id="626009336">
              <w:marLeft w:val="0"/>
              <w:marRight w:val="0"/>
              <w:marTop w:val="0"/>
              <w:marBottom w:val="0"/>
              <w:divBdr>
                <w:top w:val="none" w:sz="0" w:space="0" w:color="auto"/>
                <w:left w:val="none" w:sz="0" w:space="0" w:color="auto"/>
                <w:bottom w:val="none" w:sz="0" w:space="0" w:color="auto"/>
                <w:right w:val="none" w:sz="0" w:space="0" w:color="auto"/>
              </w:divBdr>
              <w:divsChild>
                <w:div w:id="1297226521">
                  <w:marLeft w:val="0"/>
                  <w:marRight w:val="0"/>
                  <w:marTop w:val="0"/>
                  <w:marBottom w:val="0"/>
                  <w:divBdr>
                    <w:top w:val="none" w:sz="0" w:space="0" w:color="auto"/>
                    <w:left w:val="none" w:sz="0" w:space="0" w:color="auto"/>
                    <w:bottom w:val="none" w:sz="0" w:space="0" w:color="auto"/>
                    <w:right w:val="none" w:sz="0" w:space="0" w:color="auto"/>
                  </w:divBdr>
                  <w:divsChild>
                    <w:div w:id="825438100">
                      <w:marLeft w:val="0"/>
                      <w:marRight w:val="0"/>
                      <w:marTop w:val="0"/>
                      <w:marBottom w:val="0"/>
                      <w:divBdr>
                        <w:top w:val="none" w:sz="0" w:space="0" w:color="auto"/>
                        <w:left w:val="none" w:sz="0" w:space="0" w:color="auto"/>
                        <w:bottom w:val="none" w:sz="0" w:space="0" w:color="auto"/>
                        <w:right w:val="none" w:sz="0" w:space="0" w:color="auto"/>
                      </w:divBdr>
                      <w:divsChild>
                        <w:div w:id="1316378144">
                          <w:marLeft w:val="0"/>
                          <w:marRight w:val="0"/>
                          <w:marTop w:val="0"/>
                          <w:marBottom w:val="0"/>
                          <w:divBdr>
                            <w:top w:val="none" w:sz="0" w:space="0" w:color="auto"/>
                            <w:left w:val="none" w:sz="0" w:space="0" w:color="auto"/>
                            <w:bottom w:val="none" w:sz="0" w:space="0" w:color="auto"/>
                            <w:right w:val="none" w:sz="0" w:space="0" w:color="auto"/>
                          </w:divBdr>
                          <w:divsChild>
                            <w:div w:id="953052323">
                              <w:marLeft w:val="0"/>
                              <w:marRight w:val="0"/>
                              <w:marTop w:val="0"/>
                              <w:marBottom w:val="0"/>
                              <w:divBdr>
                                <w:top w:val="none" w:sz="0" w:space="0" w:color="auto"/>
                                <w:left w:val="none" w:sz="0" w:space="0" w:color="auto"/>
                                <w:bottom w:val="none" w:sz="0" w:space="0" w:color="auto"/>
                                <w:right w:val="none" w:sz="0" w:space="0" w:color="auto"/>
                              </w:divBdr>
                              <w:divsChild>
                                <w:div w:id="63433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471574">
      <w:bodyDiv w:val="1"/>
      <w:marLeft w:val="0"/>
      <w:marRight w:val="0"/>
      <w:marTop w:val="0"/>
      <w:marBottom w:val="0"/>
      <w:divBdr>
        <w:top w:val="none" w:sz="0" w:space="0" w:color="auto"/>
        <w:left w:val="none" w:sz="0" w:space="0" w:color="auto"/>
        <w:bottom w:val="none" w:sz="0" w:space="0" w:color="auto"/>
        <w:right w:val="none" w:sz="0" w:space="0" w:color="auto"/>
      </w:divBdr>
    </w:div>
    <w:div w:id="214553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auditor.on.ca/en/content/annualreports/arreports/en16/v1_306en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A7CE3-75F0-E349-8261-AAB50CAA7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2349</Words>
  <Characters>13677</Characters>
  <Application>Microsoft Office Word</Application>
  <DocSecurity>0</DocSecurity>
  <Lines>204</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KUYEK</dc:creator>
  <cp:keywords/>
  <dc:description/>
  <cp:lastModifiedBy>J KUYEK</cp:lastModifiedBy>
  <cp:revision>5</cp:revision>
  <cp:lastPrinted>2023-04-03T14:11:00Z</cp:lastPrinted>
  <dcterms:created xsi:type="dcterms:W3CDTF">2023-04-03T14:57:00Z</dcterms:created>
  <dcterms:modified xsi:type="dcterms:W3CDTF">2023-04-12T19:38:00Z</dcterms:modified>
</cp:coreProperties>
</file>