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37E0" w14:textId="72833F6D" w:rsidR="00E93EF2" w:rsidRPr="003851C1" w:rsidRDefault="001C65A8" w:rsidP="00E30415">
      <w:pPr>
        <w:spacing w:line="240" w:lineRule="auto"/>
        <w:rPr>
          <w:rFonts w:ascii="Arial" w:hAnsi="Arial" w:cs="Arial"/>
        </w:rPr>
      </w:pPr>
      <w:r>
        <w:rPr>
          <w:rFonts w:ascii="Arial" w:hAnsi="Arial" w:cs="Arial"/>
        </w:rPr>
        <w:t>May 3, 2023</w:t>
      </w:r>
    </w:p>
    <w:p w14:paraId="536B0350" w14:textId="233B8A69" w:rsidR="00017A37" w:rsidRPr="003851C1" w:rsidRDefault="00017A37" w:rsidP="00E30415">
      <w:pPr>
        <w:spacing w:after="0" w:line="240" w:lineRule="auto"/>
        <w:rPr>
          <w:rFonts w:ascii="Arial" w:hAnsi="Arial" w:cs="Arial"/>
        </w:rPr>
      </w:pPr>
      <w:r w:rsidRPr="003851C1">
        <w:rPr>
          <w:rFonts w:ascii="Arial" w:hAnsi="Arial" w:cs="Arial"/>
        </w:rPr>
        <w:t>Ministry of Municipal Affairs and Housing</w:t>
      </w:r>
    </w:p>
    <w:p w14:paraId="6F351236" w14:textId="77777777" w:rsidR="00017A37" w:rsidRPr="003851C1" w:rsidRDefault="00017A37" w:rsidP="00E30415">
      <w:pPr>
        <w:spacing w:after="0" w:line="240" w:lineRule="auto"/>
        <w:rPr>
          <w:rFonts w:ascii="Arial" w:hAnsi="Arial" w:cs="Arial"/>
        </w:rPr>
      </w:pPr>
    </w:p>
    <w:p w14:paraId="631F5C43" w14:textId="616DC23D" w:rsidR="00942792" w:rsidRPr="003851C1" w:rsidRDefault="009463A2" w:rsidP="00E30415">
      <w:pPr>
        <w:spacing w:line="240" w:lineRule="auto"/>
        <w:rPr>
          <w:rFonts w:ascii="Arial" w:hAnsi="Arial" w:cs="Arial"/>
          <w:b/>
          <w:bCs/>
        </w:rPr>
      </w:pPr>
      <w:r w:rsidRPr="003851C1">
        <w:rPr>
          <w:rFonts w:ascii="Arial" w:hAnsi="Arial" w:cs="Arial"/>
          <w:b/>
          <w:bCs/>
        </w:rPr>
        <w:t>P</w:t>
      </w:r>
      <w:r w:rsidR="00942792" w:rsidRPr="003851C1">
        <w:rPr>
          <w:rFonts w:ascii="Arial" w:hAnsi="Arial" w:cs="Arial"/>
          <w:b/>
          <w:bCs/>
        </w:rPr>
        <w:t xml:space="preserve">roposal Number: </w:t>
      </w:r>
      <w:r w:rsidR="00017A37" w:rsidRPr="003851C1">
        <w:rPr>
          <w:rFonts w:ascii="Arial" w:hAnsi="Arial" w:cs="Arial"/>
          <w:b/>
          <w:bCs/>
        </w:rPr>
        <w:t>ERO # 019-</w:t>
      </w:r>
      <w:r w:rsidR="00A548A9" w:rsidRPr="003851C1">
        <w:rPr>
          <w:rFonts w:ascii="Arial" w:hAnsi="Arial" w:cs="Arial"/>
          <w:b/>
          <w:bCs/>
        </w:rPr>
        <w:t>6847</w:t>
      </w:r>
    </w:p>
    <w:p w14:paraId="2801D234" w14:textId="1580FDF5" w:rsidR="00942792" w:rsidRPr="003851C1" w:rsidRDefault="00942792" w:rsidP="00E30415">
      <w:pPr>
        <w:spacing w:line="240" w:lineRule="auto"/>
        <w:rPr>
          <w:rFonts w:ascii="Arial" w:hAnsi="Arial" w:cs="Arial"/>
          <w:b/>
          <w:bCs/>
        </w:rPr>
      </w:pPr>
      <w:r w:rsidRPr="003851C1">
        <w:rPr>
          <w:rFonts w:ascii="Arial" w:hAnsi="Arial" w:cs="Arial"/>
          <w:b/>
          <w:bCs/>
        </w:rPr>
        <w:t xml:space="preserve">RE: </w:t>
      </w:r>
      <w:r w:rsidR="000F3672" w:rsidRPr="003851C1">
        <w:rPr>
          <w:rFonts w:ascii="Arial" w:hAnsi="Arial" w:cs="Arial"/>
          <w:b/>
          <w:bCs/>
        </w:rPr>
        <w:t>Proposed Planning Act, City of Toronto Act, 2006, and Ministry of Municipal Affairs and Housing Act Changes (Schedules 2, 4, and 6 of Bill 97 - the proposed Helping Homebuyers, Protecting Tenants Act, 2023)</w:t>
      </w:r>
    </w:p>
    <w:p w14:paraId="380F3335" w14:textId="08507404" w:rsidR="003851C1" w:rsidRPr="003851C1" w:rsidRDefault="003851C1" w:rsidP="00E30415">
      <w:pPr>
        <w:autoSpaceDE w:val="0"/>
        <w:autoSpaceDN w:val="0"/>
        <w:adjustRightInd w:val="0"/>
        <w:spacing w:line="240" w:lineRule="auto"/>
        <w:rPr>
          <w:rFonts w:ascii="Arial" w:eastAsia="Calibri" w:hAnsi="Arial" w:cs="Arial"/>
        </w:rPr>
      </w:pPr>
      <w:r w:rsidRPr="003851C1">
        <w:rPr>
          <w:rFonts w:ascii="Arial" w:eastAsia="Calibri" w:hAnsi="Arial" w:cs="Arial"/>
          <w:lang w:val="en-US"/>
        </w:rPr>
        <w:t xml:space="preserve">The </w:t>
      </w:r>
      <w:bookmarkStart w:id="0" w:name="_Hlk133997539"/>
      <w:r w:rsidR="001C65A8">
        <w:rPr>
          <w:rFonts w:ascii="Arial" w:hAnsi="Arial" w:cs="Arial"/>
        </w:rPr>
        <w:t xml:space="preserve">Kingston </w:t>
      </w:r>
      <w:r w:rsidR="00EB6B73">
        <w:rPr>
          <w:rFonts w:ascii="Arial" w:hAnsi="Arial" w:cs="Arial"/>
        </w:rPr>
        <w:t xml:space="preserve">Frontenac </w:t>
      </w:r>
      <w:r w:rsidR="001C65A8">
        <w:rPr>
          <w:rFonts w:ascii="Arial" w:hAnsi="Arial" w:cs="Arial"/>
        </w:rPr>
        <w:t xml:space="preserve">Home Builders Association </w:t>
      </w:r>
      <w:bookmarkEnd w:id="0"/>
      <w:r w:rsidRPr="003851C1">
        <w:rPr>
          <w:rFonts w:ascii="Arial" w:eastAsia="Calibri" w:hAnsi="Arial" w:cs="Arial"/>
          <w:lang w:val="en-US"/>
        </w:rPr>
        <w:t>is the voice of the residential construction industry in</w:t>
      </w:r>
      <w:r w:rsidR="001C65A8">
        <w:rPr>
          <w:rFonts w:ascii="Arial" w:eastAsia="Calibri" w:hAnsi="Arial" w:cs="Arial"/>
          <w:lang w:val="en-US"/>
        </w:rPr>
        <w:t xml:space="preserve"> Kingston</w:t>
      </w:r>
      <w:r w:rsidRPr="003851C1">
        <w:rPr>
          <w:rFonts w:ascii="Arial" w:eastAsia="Calibri" w:hAnsi="Arial" w:cs="Arial"/>
          <w:lang w:val="en-US"/>
        </w:rPr>
        <w:t>. We represent members including builders, developers, professional renovators, trade contractors and many others within the residential construction sector.</w:t>
      </w:r>
      <w:r w:rsidRPr="003851C1">
        <w:rPr>
          <w:rFonts w:ascii="Arial" w:eastAsia="Calibri" w:hAnsi="Arial" w:cs="Arial"/>
        </w:rPr>
        <w:t xml:space="preserve"> </w:t>
      </w:r>
      <w:r w:rsidR="001C65A8">
        <w:rPr>
          <w:rFonts w:ascii="Arial" w:hAnsi="Arial" w:cs="Arial"/>
        </w:rPr>
        <w:t xml:space="preserve">Kingston </w:t>
      </w:r>
      <w:r w:rsidR="00EB6B73">
        <w:rPr>
          <w:rFonts w:ascii="Arial" w:hAnsi="Arial" w:cs="Arial"/>
        </w:rPr>
        <w:t xml:space="preserve">Frontenac </w:t>
      </w:r>
      <w:r w:rsidR="001C65A8">
        <w:rPr>
          <w:rFonts w:ascii="Arial" w:hAnsi="Arial" w:cs="Arial"/>
        </w:rPr>
        <w:t>Home Builders Association</w:t>
      </w:r>
      <w:r w:rsidRPr="003851C1">
        <w:rPr>
          <w:rFonts w:ascii="Arial" w:eastAsia="Calibri" w:hAnsi="Arial" w:cs="Arial"/>
        </w:rPr>
        <w:t xml:space="preserve"> is coordinating our public policy response with regards to Bill 97, the </w:t>
      </w:r>
      <w:r w:rsidRPr="003851C1">
        <w:rPr>
          <w:rFonts w:ascii="Arial" w:eastAsia="Calibri" w:hAnsi="Arial" w:cs="Arial"/>
          <w:i/>
          <w:iCs/>
        </w:rPr>
        <w:t xml:space="preserve">Helping Homebuyers Protecting Tenants Act, 2023 </w:t>
      </w:r>
      <w:r w:rsidRPr="003851C1">
        <w:rPr>
          <w:rFonts w:ascii="Arial" w:eastAsia="Calibri" w:hAnsi="Arial" w:cs="Arial"/>
        </w:rPr>
        <w:t xml:space="preserve">with input from members across Ontario. </w:t>
      </w:r>
      <w:r w:rsidR="001C65A8">
        <w:rPr>
          <w:rFonts w:ascii="Arial" w:hAnsi="Arial" w:cs="Arial"/>
        </w:rPr>
        <w:t>Kingston</w:t>
      </w:r>
      <w:r w:rsidR="00EB6B73">
        <w:rPr>
          <w:rFonts w:ascii="Arial" w:hAnsi="Arial" w:cs="Arial"/>
        </w:rPr>
        <w:t xml:space="preserve"> Frontenac</w:t>
      </w:r>
      <w:r w:rsidR="001C65A8">
        <w:rPr>
          <w:rFonts w:ascii="Arial" w:hAnsi="Arial" w:cs="Arial"/>
        </w:rPr>
        <w:t xml:space="preserve"> Home Builders Association </w:t>
      </w:r>
      <w:r w:rsidRPr="003851C1">
        <w:rPr>
          <w:rFonts w:ascii="Arial" w:eastAsia="Calibri" w:hAnsi="Arial" w:cs="Arial"/>
        </w:rPr>
        <w:t xml:space="preserve">is proudly affiliated with the Ontario Home Builders’ Association and other chapters within our network. </w:t>
      </w:r>
    </w:p>
    <w:p w14:paraId="3E9F51F2" w14:textId="39B035DD" w:rsidR="000F3672" w:rsidRPr="003851C1" w:rsidRDefault="000F3672" w:rsidP="00E30415">
      <w:pPr>
        <w:spacing w:line="240" w:lineRule="auto"/>
        <w:rPr>
          <w:rFonts w:ascii="Arial" w:hAnsi="Arial" w:cs="Arial"/>
          <w:b/>
          <w:bCs/>
          <w:lang w:val="en-US"/>
        </w:rPr>
      </w:pPr>
      <w:r w:rsidRPr="003851C1">
        <w:rPr>
          <w:rFonts w:ascii="Arial" w:hAnsi="Arial" w:cs="Arial"/>
          <w:b/>
          <w:bCs/>
          <w:lang w:val="en-US"/>
        </w:rPr>
        <w:t>Fee Refund Provisions</w:t>
      </w:r>
    </w:p>
    <w:p w14:paraId="546E3533" w14:textId="4E8355B2" w:rsidR="00093F90" w:rsidRPr="003851C1" w:rsidRDefault="003851C1" w:rsidP="00E30415">
      <w:pPr>
        <w:spacing w:line="240" w:lineRule="auto"/>
        <w:rPr>
          <w:rFonts w:ascii="Arial" w:hAnsi="Arial" w:cs="Arial"/>
          <w:lang w:val="en-US"/>
        </w:rPr>
      </w:pPr>
      <w:r>
        <w:rPr>
          <w:rFonts w:ascii="Arial" w:hAnsi="Arial" w:cs="Arial"/>
          <w:lang w:val="en-US"/>
        </w:rPr>
        <w:t xml:space="preserve">We </w:t>
      </w:r>
      <w:r w:rsidR="00093F90" w:rsidRPr="003851C1">
        <w:rPr>
          <w:rFonts w:ascii="Arial" w:hAnsi="Arial" w:cs="Arial"/>
          <w:lang w:val="en-US"/>
        </w:rPr>
        <w:t xml:space="preserve">begin from the premise that builders in Ontario desire a predictable permitting process that gives confidence to new home buyers. This must be the basis of </w:t>
      </w:r>
      <w:proofErr w:type="gramStart"/>
      <w:r w:rsidR="00093F90" w:rsidRPr="003851C1">
        <w:rPr>
          <w:rFonts w:ascii="Arial" w:hAnsi="Arial" w:cs="Arial"/>
          <w:lang w:val="en-US"/>
        </w:rPr>
        <w:t>any and all</w:t>
      </w:r>
      <w:proofErr w:type="gramEnd"/>
      <w:r w:rsidR="00093F90" w:rsidRPr="003851C1">
        <w:rPr>
          <w:rFonts w:ascii="Arial" w:hAnsi="Arial" w:cs="Arial"/>
          <w:lang w:val="en-US"/>
        </w:rPr>
        <w:t xml:space="preserve"> municipal processes related to residential development. Approval timing</w:t>
      </w:r>
      <w:r w:rsidR="00843046">
        <w:rPr>
          <w:rFonts w:ascii="Arial" w:hAnsi="Arial" w:cs="Arial"/>
          <w:lang w:val="en-US"/>
        </w:rPr>
        <w:t>s</w:t>
      </w:r>
      <w:r w:rsidR="00093F90" w:rsidRPr="003851C1">
        <w:rPr>
          <w:rFonts w:ascii="Arial" w:hAnsi="Arial" w:cs="Arial"/>
          <w:lang w:val="en-US"/>
        </w:rPr>
        <w:t xml:space="preserve"> and delivery of housing must be the overarching objectives as part of changes to fee refund provisions being proposed. </w:t>
      </w:r>
    </w:p>
    <w:p w14:paraId="5AB30BFB" w14:textId="377CFE16" w:rsidR="00DC4500" w:rsidRPr="003851C1" w:rsidRDefault="003851C1" w:rsidP="00E30415">
      <w:pPr>
        <w:spacing w:line="240" w:lineRule="auto"/>
        <w:rPr>
          <w:rFonts w:ascii="Arial" w:hAnsi="Arial" w:cs="Arial"/>
          <w:lang w:val="en-US"/>
        </w:rPr>
      </w:pPr>
      <w:r>
        <w:rPr>
          <w:rFonts w:ascii="Arial" w:hAnsi="Arial" w:cs="Arial"/>
          <w:lang w:val="en-US"/>
        </w:rPr>
        <w:t>We</w:t>
      </w:r>
      <w:r w:rsidR="00DC4500" w:rsidRPr="003851C1">
        <w:rPr>
          <w:rFonts w:ascii="Arial" w:hAnsi="Arial" w:cs="Arial"/>
          <w:lang w:val="en-US"/>
        </w:rPr>
        <w:t xml:space="preserve"> strongly support changes made through the </w:t>
      </w:r>
      <w:r w:rsidR="00DC4500" w:rsidRPr="003851C1">
        <w:rPr>
          <w:rFonts w:ascii="Arial" w:hAnsi="Arial" w:cs="Arial"/>
          <w:i/>
          <w:iCs/>
          <w:lang w:val="en-US"/>
        </w:rPr>
        <w:t>More Homes for Everyone Act</w:t>
      </w:r>
      <w:r w:rsidR="00DC4500" w:rsidRPr="003851C1">
        <w:rPr>
          <w:rFonts w:ascii="Arial" w:hAnsi="Arial" w:cs="Arial"/>
          <w:lang w:val="en-US"/>
        </w:rPr>
        <w:t xml:space="preserve"> to induce a sense of urgency towards legislated timelines of zoning by-law and site plan application fees.</w:t>
      </w:r>
      <w:r w:rsidR="00DC4500" w:rsidRPr="003851C1">
        <w:rPr>
          <w:rFonts w:ascii="Arial" w:hAnsi="Arial" w:cs="Arial"/>
        </w:rPr>
        <w:t xml:space="preserve"> </w:t>
      </w:r>
      <w:r w:rsidR="006062BF" w:rsidRPr="003851C1">
        <w:rPr>
          <w:rFonts w:ascii="Arial" w:hAnsi="Arial" w:cs="Arial"/>
          <w:lang w:val="en-US"/>
        </w:rPr>
        <w:t>Fee refund measures will ultimately</w:t>
      </w:r>
      <w:r w:rsidR="00DC4500" w:rsidRPr="003851C1">
        <w:rPr>
          <w:rFonts w:ascii="Arial" w:hAnsi="Arial" w:cs="Arial"/>
          <w:lang w:val="en-US"/>
        </w:rPr>
        <w:t xml:space="preserve"> </w:t>
      </w:r>
      <w:r w:rsidR="00093F90" w:rsidRPr="003851C1">
        <w:rPr>
          <w:rFonts w:ascii="Arial" w:hAnsi="Arial" w:cs="Arial"/>
          <w:lang w:val="en-US"/>
        </w:rPr>
        <w:t>encourage</w:t>
      </w:r>
      <w:r w:rsidR="00DC4500" w:rsidRPr="003851C1">
        <w:rPr>
          <w:rFonts w:ascii="Arial" w:hAnsi="Arial" w:cs="Arial"/>
          <w:lang w:val="en-US"/>
        </w:rPr>
        <w:t xml:space="preserve"> municipalities to make more timely decisions by requiring a gradual return of site plan control and zoning by-law amendment fees where </w:t>
      </w:r>
      <w:r w:rsidR="00E30415">
        <w:rPr>
          <w:rFonts w:ascii="Arial" w:hAnsi="Arial" w:cs="Arial"/>
          <w:lang w:val="en-US"/>
        </w:rPr>
        <w:t>excessive</w:t>
      </w:r>
      <w:r w:rsidR="00DC4500" w:rsidRPr="003851C1">
        <w:rPr>
          <w:rFonts w:ascii="Arial" w:hAnsi="Arial" w:cs="Arial"/>
          <w:lang w:val="en-US"/>
        </w:rPr>
        <w:t xml:space="preserve"> time has passed since a municipality has received the complete application and fee. </w:t>
      </w:r>
      <w:r w:rsidR="006062BF" w:rsidRPr="003851C1">
        <w:rPr>
          <w:rFonts w:ascii="Arial" w:hAnsi="Arial" w:cs="Arial"/>
          <w:lang w:val="en-US"/>
        </w:rPr>
        <w:t xml:space="preserve">This </w:t>
      </w:r>
      <w:r w:rsidR="00DC4500" w:rsidRPr="003851C1">
        <w:rPr>
          <w:rFonts w:ascii="Arial" w:hAnsi="Arial" w:cs="Arial"/>
          <w:lang w:val="en-US"/>
        </w:rPr>
        <w:t xml:space="preserve">system is much needed to help expedite the decision-making process. </w:t>
      </w:r>
      <w:r w:rsidR="006062BF" w:rsidRPr="003851C1">
        <w:rPr>
          <w:rFonts w:ascii="Arial" w:hAnsi="Arial" w:cs="Arial"/>
          <w:lang w:val="en-US"/>
        </w:rPr>
        <w:t>As has been noted before, i</w:t>
      </w:r>
      <w:r w:rsidR="00DC4500" w:rsidRPr="003851C1">
        <w:rPr>
          <w:rFonts w:ascii="Arial" w:hAnsi="Arial" w:cs="Arial"/>
          <w:lang w:val="en-US"/>
        </w:rPr>
        <w:t xml:space="preserve">n the long-term, </w:t>
      </w:r>
      <w:r>
        <w:rPr>
          <w:rFonts w:ascii="Arial" w:hAnsi="Arial" w:cs="Arial"/>
          <w:lang w:val="en-US"/>
        </w:rPr>
        <w:t>we r</w:t>
      </w:r>
      <w:r w:rsidR="00DC4500" w:rsidRPr="003851C1">
        <w:rPr>
          <w:rFonts w:ascii="Arial" w:hAnsi="Arial" w:cs="Arial"/>
          <w:lang w:val="en-US"/>
        </w:rPr>
        <w:t xml:space="preserve">ecommend that the Ministry of Municipal Affairs and Housing conduct a full and detailed review of all aspects of site plan control set out in Section 41 of the </w:t>
      </w:r>
      <w:r w:rsidR="00DC4500" w:rsidRPr="003851C1">
        <w:rPr>
          <w:rFonts w:ascii="Arial" w:hAnsi="Arial" w:cs="Arial"/>
          <w:i/>
          <w:iCs/>
          <w:lang w:val="en-US"/>
        </w:rPr>
        <w:t>Planning Act</w:t>
      </w:r>
      <w:r w:rsidR="00DC4500" w:rsidRPr="003851C1">
        <w:rPr>
          <w:rFonts w:ascii="Arial" w:hAnsi="Arial" w:cs="Arial"/>
          <w:lang w:val="en-US"/>
        </w:rPr>
        <w:t xml:space="preserve">. </w:t>
      </w:r>
      <w:r>
        <w:rPr>
          <w:rFonts w:ascii="Arial" w:hAnsi="Arial" w:cs="Arial"/>
          <w:lang w:val="en-US"/>
        </w:rPr>
        <w:t xml:space="preserve">We </w:t>
      </w:r>
      <w:r w:rsidR="00DC4500" w:rsidRPr="003851C1">
        <w:rPr>
          <w:rFonts w:ascii="Arial" w:hAnsi="Arial" w:cs="Arial"/>
          <w:lang w:val="en-US"/>
        </w:rPr>
        <w:t>believe there are further opportunities for streamlining and that some aesthetic</w:t>
      </w:r>
      <w:r w:rsidR="00B13B8E" w:rsidRPr="003851C1">
        <w:rPr>
          <w:rFonts w:ascii="Arial" w:hAnsi="Arial" w:cs="Arial"/>
          <w:lang w:val="en-US"/>
        </w:rPr>
        <w:t>, sustainable Green Standards, urban design,</w:t>
      </w:r>
      <w:r w:rsidR="00DC4500" w:rsidRPr="003851C1">
        <w:rPr>
          <w:rFonts w:ascii="Arial" w:hAnsi="Arial" w:cs="Arial"/>
          <w:lang w:val="en-US"/>
        </w:rPr>
        <w:t xml:space="preserve"> and exterior design elements considered through the site plan control process should not be a component of the land use approvals process.</w:t>
      </w:r>
    </w:p>
    <w:p w14:paraId="46794779" w14:textId="4B1585D5" w:rsidR="00DC4500" w:rsidRPr="003851C1" w:rsidRDefault="003851C1" w:rsidP="00E30415">
      <w:pPr>
        <w:spacing w:line="240" w:lineRule="auto"/>
        <w:rPr>
          <w:rFonts w:ascii="Arial" w:hAnsi="Arial" w:cs="Arial"/>
          <w:lang w:val="en-US"/>
        </w:rPr>
      </w:pPr>
      <w:r>
        <w:rPr>
          <w:rFonts w:ascii="Arial" w:hAnsi="Arial" w:cs="Arial"/>
          <w:lang w:val="en-US"/>
        </w:rPr>
        <w:t>We</w:t>
      </w:r>
      <w:r w:rsidR="00DC4500" w:rsidRPr="003851C1">
        <w:rPr>
          <w:rFonts w:ascii="Arial" w:hAnsi="Arial" w:cs="Arial"/>
          <w:lang w:val="en-US"/>
        </w:rPr>
        <w:t xml:space="preserve"> </w:t>
      </w:r>
      <w:r w:rsidRPr="003851C1">
        <w:rPr>
          <w:rFonts w:ascii="Arial" w:hAnsi="Arial" w:cs="Arial"/>
          <w:lang w:val="en-US"/>
        </w:rPr>
        <w:t>encourage</w:t>
      </w:r>
      <w:r w:rsidR="00DC4500" w:rsidRPr="003851C1">
        <w:rPr>
          <w:rFonts w:ascii="Arial" w:hAnsi="Arial" w:cs="Arial"/>
          <w:lang w:val="en-US"/>
        </w:rPr>
        <w:t xml:space="preserve"> the province to move swiftly </w:t>
      </w:r>
      <w:r w:rsidR="006062BF" w:rsidRPr="003851C1">
        <w:rPr>
          <w:rFonts w:ascii="Arial" w:hAnsi="Arial" w:cs="Arial"/>
          <w:lang w:val="en-US"/>
        </w:rPr>
        <w:t>while</w:t>
      </w:r>
      <w:r w:rsidR="00DC4500" w:rsidRPr="003851C1">
        <w:rPr>
          <w:rFonts w:ascii="Arial" w:hAnsi="Arial" w:cs="Arial"/>
          <w:lang w:val="en-US"/>
        </w:rPr>
        <w:t xml:space="preserve"> </w:t>
      </w:r>
      <w:r w:rsidR="006062BF" w:rsidRPr="003851C1">
        <w:rPr>
          <w:rFonts w:ascii="Arial" w:hAnsi="Arial" w:cs="Arial"/>
          <w:lang w:val="en-US"/>
        </w:rPr>
        <w:t xml:space="preserve">delaying this requirement for refunding fees and to continue working proactively with municipalities to </w:t>
      </w:r>
      <w:r w:rsidR="00B13B8E" w:rsidRPr="003851C1">
        <w:rPr>
          <w:rFonts w:ascii="Arial" w:hAnsi="Arial" w:cs="Arial"/>
          <w:lang w:val="en-US"/>
        </w:rPr>
        <w:t>ensure</w:t>
      </w:r>
      <w:r w:rsidR="006062BF" w:rsidRPr="003851C1">
        <w:rPr>
          <w:rFonts w:ascii="Arial" w:hAnsi="Arial" w:cs="Arial"/>
          <w:lang w:val="en-US"/>
        </w:rPr>
        <w:t xml:space="preserve"> the new proposed deadline of July 1, </w:t>
      </w:r>
      <w:proofErr w:type="gramStart"/>
      <w:r w:rsidR="006062BF" w:rsidRPr="003851C1">
        <w:rPr>
          <w:rFonts w:ascii="Arial" w:hAnsi="Arial" w:cs="Arial"/>
          <w:lang w:val="en-US"/>
        </w:rPr>
        <w:t>2023</w:t>
      </w:r>
      <w:proofErr w:type="gramEnd"/>
      <w:r w:rsidR="006062BF" w:rsidRPr="003851C1">
        <w:rPr>
          <w:rFonts w:ascii="Arial" w:hAnsi="Arial" w:cs="Arial"/>
          <w:lang w:val="en-US"/>
        </w:rPr>
        <w:t xml:space="preserve"> is met. This will provide greater predictability for both municipalities and builders. </w:t>
      </w:r>
    </w:p>
    <w:p w14:paraId="23EFCD0F" w14:textId="77777777" w:rsidR="000F3672" w:rsidRPr="003851C1" w:rsidRDefault="000F3672" w:rsidP="00E30415">
      <w:pPr>
        <w:spacing w:line="240" w:lineRule="auto"/>
        <w:rPr>
          <w:rFonts w:ascii="Arial" w:hAnsi="Arial" w:cs="Arial"/>
          <w:b/>
          <w:bCs/>
          <w:lang w:val="en-US"/>
        </w:rPr>
      </w:pPr>
      <w:r w:rsidRPr="003851C1">
        <w:rPr>
          <w:rFonts w:ascii="Arial" w:hAnsi="Arial" w:cs="Arial"/>
          <w:b/>
          <w:bCs/>
          <w:lang w:val="en-US"/>
        </w:rPr>
        <w:t>Consequential Changes to Support Implementation of the </w:t>
      </w:r>
      <w:r w:rsidRPr="003851C1">
        <w:rPr>
          <w:rFonts w:ascii="Arial" w:hAnsi="Arial" w:cs="Arial"/>
          <w:b/>
          <w:bCs/>
          <w:i/>
          <w:iCs/>
          <w:lang w:val="en-US"/>
        </w:rPr>
        <w:t>More Homes Built Faster Act, 2022</w:t>
      </w:r>
      <w:r w:rsidRPr="003851C1">
        <w:rPr>
          <w:rFonts w:ascii="Arial" w:hAnsi="Arial" w:cs="Arial"/>
          <w:b/>
          <w:bCs/>
          <w:lang w:val="en-US"/>
        </w:rPr>
        <w:t> (Bill 23)</w:t>
      </w:r>
    </w:p>
    <w:p w14:paraId="2E4E1422" w14:textId="37279B02" w:rsidR="00905618" w:rsidRDefault="00905618" w:rsidP="00E30415">
      <w:pPr>
        <w:spacing w:line="240" w:lineRule="auto"/>
        <w:rPr>
          <w:rFonts w:ascii="Arial" w:hAnsi="Arial" w:cs="Arial"/>
          <w:lang w:val="en-US"/>
        </w:rPr>
      </w:pPr>
      <w:r>
        <w:rPr>
          <w:rFonts w:ascii="Arial" w:hAnsi="Arial" w:cs="Arial"/>
          <w:lang w:val="en-US"/>
        </w:rPr>
        <w:t>We support</w:t>
      </w:r>
      <w:r w:rsidRPr="00905618">
        <w:rPr>
          <w:rFonts w:ascii="Arial" w:hAnsi="Arial" w:cs="Arial"/>
          <w:lang w:val="en-US"/>
        </w:rPr>
        <w:t xml:space="preserve"> allow</w:t>
      </w:r>
      <w:r>
        <w:rPr>
          <w:rFonts w:ascii="Arial" w:hAnsi="Arial" w:cs="Arial"/>
          <w:lang w:val="en-US"/>
        </w:rPr>
        <w:t>ing municipalities</w:t>
      </w:r>
      <w:r w:rsidRPr="00905618">
        <w:rPr>
          <w:rFonts w:ascii="Arial" w:hAnsi="Arial" w:cs="Arial"/>
          <w:lang w:val="en-US"/>
        </w:rPr>
        <w:t xml:space="preserve"> to require up to one parking spot for the primary unit. This proposed implementation change does not meet that metric as it allows municipalities to assign a higher parking </w:t>
      </w:r>
      <w:r w:rsidRPr="00905618">
        <w:rPr>
          <w:rFonts w:ascii="Arial" w:hAnsi="Arial" w:cs="Arial"/>
          <w:lang w:val="en-US"/>
        </w:rPr>
        <w:lastRenderedPageBreak/>
        <w:t xml:space="preserve">ratio than one space for the primary unit. </w:t>
      </w:r>
      <w:r>
        <w:rPr>
          <w:rFonts w:ascii="Arial" w:hAnsi="Arial" w:cs="Arial"/>
          <w:lang w:val="en-US"/>
        </w:rPr>
        <w:t xml:space="preserve">We </w:t>
      </w:r>
      <w:r w:rsidRPr="00905618">
        <w:rPr>
          <w:rFonts w:ascii="Arial" w:hAnsi="Arial" w:cs="Arial"/>
          <w:lang w:val="en-US"/>
        </w:rPr>
        <w:t xml:space="preserve">strongly recommend further amendments to </w:t>
      </w:r>
      <w:proofErr w:type="gramStart"/>
      <w:r w:rsidRPr="00905618">
        <w:rPr>
          <w:rFonts w:ascii="Arial" w:hAnsi="Arial" w:cs="Arial"/>
          <w:lang w:val="en-US"/>
        </w:rPr>
        <w:t>completely eliminate</w:t>
      </w:r>
      <w:proofErr w:type="gramEnd"/>
      <w:r w:rsidRPr="00905618">
        <w:rPr>
          <w:rFonts w:ascii="Arial" w:hAnsi="Arial" w:cs="Arial"/>
          <w:lang w:val="en-US"/>
        </w:rPr>
        <w:t xml:space="preserve"> parking requirements from being imposed. </w:t>
      </w:r>
    </w:p>
    <w:p w14:paraId="38E41057" w14:textId="77777777" w:rsidR="001C65A8" w:rsidRDefault="001C65A8" w:rsidP="00E30415">
      <w:pPr>
        <w:spacing w:line="240" w:lineRule="auto"/>
        <w:rPr>
          <w:rFonts w:ascii="Arial" w:hAnsi="Arial" w:cs="Arial"/>
          <w:lang w:val="en-US"/>
        </w:rPr>
      </w:pPr>
    </w:p>
    <w:p w14:paraId="6858CF81" w14:textId="1B6289D3" w:rsidR="000F3672" w:rsidRPr="003851C1" w:rsidRDefault="000F3672" w:rsidP="00E30415">
      <w:pPr>
        <w:spacing w:line="240" w:lineRule="auto"/>
        <w:rPr>
          <w:rFonts w:ascii="Arial" w:hAnsi="Arial" w:cs="Arial"/>
          <w:b/>
          <w:bCs/>
          <w:lang w:val="en-US"/>
        </w:rPr>
      </w:pPr>
      <w:r w:rsidRPr="003851C1">
        <w:rPr>
          <w:rFonts w:ascii="Arial" w:hAnsi="Arial" w:cs="Arial"/>
          <w:b/>
          <w:bCs/>
          <w:lang w:val="en-US"/>
        </w:rPr>
        <w:t>Regulation-Making Authority for Site Plan Control for 10 Units or Less</w:t>
      </w:r>
    </w:p>
    <w:p w14:paraId="55355582" w14:textId="77777777" w:rsidR="001F4762" w:rsidRPr="003851C1" w:rsidRDefault="001F4762" w:rsidP="00E30415">
      <w:pPr>
        <w:spacing w:line="240" w:lineRule="auto"/>
        <w:rPr>
          <w:rFonts w:ascii="Arial" w:hAnsi="Arial" w:cs="Arial"/>
          <w:lang w:val="en-US"/>
        </w:rPr>
      </w:pPr>
      <w:r w:rsidRPr="003851C1">
        <w:rPr>
          <w:rFonts w:ascii="Arial" w:hAnsi="Arial" w:cs="Arial"/>
          <w:lang w:val="en-US"/>
        </w:rPr>
        <w:t xml:space="preserve">In prior comments, on the </w:t>
      </w:r>
      <w:r w:rsidRPr="003851C1">
        <w:rPr>
          <w:rFonts w:ascii="Arial" w:hAnsi="Arial" w:cs="Arial"/>
          <w:i/>
          <w:iCs/>
          <w:lang w:val="en-US"/>
        </w:rPr>
        <w:t>More Homes Built Faster Act</w:t>
      </w:r>
      <w:r w:rsidRPr="003851C1">
        <w:rPr>
          <w:rFonts w:ascii="Arial" w:hAnsi="Arial" w:cs="Arial"/>
          <w:lang w:val="en-US"/>
        </w:rPr>
        <w:t xml:space="preserve">, OHBA expressed concerns with certain municipalities slowing down the approvals process with over-regulation and over-requirements related to architectural control at the stage of site plan. </w:t>
      </w:r>
    </w:p>
    <w:p w14:paraId="29EE8876" w14:textId="4FAD1BA1" w:rsidR="001F4762" w:rsidRPr="003851C1" w:rsidRDefault="001F4762" w:rsidP="00E30415">
      <w:pPr>
        <w:spacing w:line="240" w:lineRule="auto"/>
        <w:rPr>
          <w:rFonts w:ascii="Arial" w:hAnsi="Arial" w:cs="Arial"/>
          <w:lang w:val="en-US"/>
        </w:rPr>
      </w:pPr>
      <w:r w:rsidRPr="003851C1">
        <w:rPr>
          <w:rFonts w:ascii="Arial" w:hAnsi="Arial" w:cs="Arial"/>
          <w:lang w:val="en-US"/>
        </w:rPr>
        <w:t xml:space="preserve">A good example of which is the over regulation of architectural and landscape designs. </w:t>
      </w:r>
      <w:r w:rsidR="003851C1">
        <w:rPr>
          <w:rFonts w:ascii="Arial" w:hAnsi="Arial" w:cs="Arial"/>
          <w:lang w:val="en-US"/>
        </w:rPr>
        <w:t>We are</w:t>
      </w:r>
      <w:r w:rsidRPr="003851C1">
        <w:rPr>
          <w:rFonts w:ascii="Arial" w:hAnsi="Arial" w:cs="Arial"/>
          <w:lang w:val="en-US"/>
        </w:rPr>
        <w:t xml:space="preserve"> strongly in </w:t>
      </w:r>
      <w:proofErr w:type="spellStart"/>
      <w:r w:rsidRPr="003851C1">
        <w:rPr>
          <w:rFonts w:ascii="Arial" w:hAnsi="Arial" w:cs="Arial"/>
          <w:lang w:val="en-US"/>
        </w:rPr>
        <w:t>favour</w:t>
      </w:r>
      <w:proofErr w:type="spellEnd"/>
      <w:r w:rsidRPr="003851C1">
        <w:rPr>
          <w:rFonts w:ascii="Arial" w:hAnsi="Arial" w:cs="Arial"/>
          <w:lang w:val="en-US"/>
        </w:rPr>
        <w:t xml:space="preserve"> of ending the ability of municipalities to regulate architectural controls/details, landscape design and energy modelling. The Ontario Building Code does not allow Chief Building Officials to require that homes be better than code, therefore the province should eliminate the ability for municipalities to demand “Better Than Code” standards or guidelines as part of approving site plan and/or subdivision agreements. </w:t>
      </w:r>
    </w:p>
    <w:p w14:paraId="38354F85" w14:textId="3620F89E" w:rsidR="001F4762" w:rsidRPr="003851C1" w:rsidRDefault="001F4762" w:rsidP="00E30415">
      <w:pPr>
        <w:spacing w:line="240" w:lineRule="auto"/>
        <w:rPr>
          <w:rFonts w:ascii="Arial" w:hAnsi="Arial" w:cs="Arial"/>
          <w:lang w:val="en-US"/>
        </w:rPr>
      </w:pPr>
      <w:r w:rsidRPr="003851C1">
        <w:rPr>
          <w:rFonts w:ascii="Arial" w:hAnsi="Arial" w:cs="Arial"/>
          <w:lang w:val="en-US"/>
        </w:rPr>
        <w:t>These additional requirements only add more cost to new home buyers. Exempting smaller developments from site plan control is a positive proposed amendment that should assist in the rate to which much needed housing supply will be delivered, especially as this proposed change will lead to greater municipal focus of true development aspects of applications.</w:t>
      </w:r>
    </w:p>
    <w:p w14:paraId="5DCA192A" w14:textId="0F6F59F2" w:rsidR="001F4762" w:rsidRPr="003851C1" w:rsidRDefault="003851C1" w:rsidP="00E30415">
      <w:pPr>
        <w:spacing w:line="240" w:lineRule="auto"/>
        <w:rPr>
          <w:rFonts w:ascii="Arial" w:hAnsi="Arial" w:cs="Arial"/>
          <w:lang w:val="en-US"/>
        </w:rPr>
      </w:pPr>
      <w:r>
        <w:rPr>
          <w:rFonts w:ascii="Arial" w:hAnsi="Arial" w:cs="Arial"/>
          <w:lang w:val="en-US"/>
        </w:rPr>
        <w:t>We</w:t>
      </w:r>
      <w:r w:rsidR="001F4762" w:rsidRPr="003851C1">
        <w:rPr>
          <w:rFonts w:ascii="Arial" w:hAnsi="Arial" w:cs="Arial"/>
          <w:lang w:val="en-US"/>
        </w:rPr>
        <w:t xml:space="preserve"> understand that the Ministry has heard </w:t>
      </w:r>
      <w:r w:rsidR="00E30415">
        <w:rPr>
          <w:rFonts w:ascii="Arial" w:hAnsi="Arial" w:cs="Arial"/>
          <w:lang w:val="en-US"/>
        </w:rPr>
        <w:t xml:space="preserve">that </w:t>
      </w:r>
      <w:r w:rsidR="001F4762" w:rsidRPr="003851C1">
        <w:rPr>
          <w:rFonts w:ascii="Arial" w:hAnsi="Arial" w:cs="Arial"/>
          <w:lang w:val="en-US"/>
        </w:rPr>
        <w:t xml:space="preserve">municipalities require more flexibility to use site plan control under certain circumstances. </w:t>
      </w:r>
      <w:r>
        <w:rPr>
          <w:rFonts w:ascii="Arial" w:hAnsi="Arial" w:cs="Arial"/>
          <w:lang w:val="en-US"/>
        </w:rPr>
        <w:t xml:space="preserve">We </w:t>
      </w:r>
      <w:r w:rsidR="009A3423" w:rsidRPr="003851C1">
        <w:rPr>
          <w:rFonts w:ascii="Arial" w:hAnsi="Arial" w:cs="Arial"/>
          <w:lang w:val="en-US"/>
        </w:rPr>
        <w:t xml:space="preserve">would suggest that the setbacks be reduced to 100 </w:t>
      </w:r>
      <w:proofErr w:type="spellStart"/>
      <w:r w:rsidR="009A3423" w:rsidRPr="003851C1">
        <w:rPr>
          <w:rFonts w:ascii="Arial" w:hAnsi="Arial" w:cs="Arial"/>
          <w:lang w:val="en-US"/>
        </w:rPr>
        <w:t>metres</w:t>
      </w:r>
      <w:proofErr w:type="spellEnd"/>
      <w:r w:rsidR="009A3423" w:rsidRPr="003851C1">
        <w:rPr>
          <w:rFonts w:ascii="Arial" w:hAnsi="Arial" w:cs="Arial"/>
          <w:lang w:val="en-US"/>
        </w:rPr>
        <w:t xml:space="preserve"> for both shoreline and rail lines. </w:t>
      </w:r>
    </w:p>
    <w:p w14:paraId="7DCCB1D5" w14:textId="77777777" w:rsidR="009A3423" w:rsidRPr="003851C1" w:rsidRDefault="000F3672" w:rsidP="00E30415">
      <w:pPr>
        <w:spacing w:line="240" w:lineRule="auto"/>
        <w:rPr>
          <w:rFonts w:ascii="Arial" w:hAnsi="Arial" w:cs="Arial"/>
          <w:b/>
          <w:bCs/>
          <w:lang w:val="en-US"/>
        </w:rPr>
      </w:pPr>
      <w:r w:rsidRPr="003851C1">
        <w:rPr>
          <w:rFonts w:ascii="Arial" w:hAnsi="Arial" w:cs="Arial"/>
          <w:b/>
          <w:bCs/>
          <w:lang w:val="en-US"/>
        </w:rPr>
        <w:t>Appeals of Interim Control By-laws</w:t>
      </w:r>
    </w:p>
    <w:p w14:paraId="182224CF" w14:textId="3CADAAC3" w:rsidR="009A3423" w:rsidRPr="003851C1" w:rsidRDefault="003851C1" w:rsidP="00E30415">
      <w:pPr>
        <w:spacing w:line="240" w:lineRule="auto"/>
        <w:rPr>
          <w:rFonts w:ascii="Arial" w:hAnsi="Arial" w:cs="Arial"/>
          <w:lang w:val="en-US"/>
        </w:rPr>
      </w:pPr>
      <w:r>
        <w:rPr>
          <w:rFonts w:ascii="Arial" w:hAnsi="Arial" w:cs="Arial"/>
          <w:lang w:val="en-US"/>
        </w:rPr>
        <w:t xml:space="preserve">We </w:t>
      </w:r>
      <w:r w:rsidR="009A3423" w:rsidRPr="003851C1">
        <w:rPr>
          <w:rFonts w:ascii="Arial" w:hAnsi="Arial" w:cs="Arial"/>
          <w:lang w:val="en-US"/>
        </w:rPr>
        <w:t>strongly support this proposed measure. Currently, Interim Control By</w:t>
      </w:r>
      <w:r w:rsidR="00A80CE4">
        <w:rPr>
          <w:rFonts w:ascii="Arial" w:hAnsi="Arial" w:cs="Arial"/>
          <w:lang w:val="en-US"/>
        </w:rPr>
        <w:t>-</w:t>
      </w:r>
      <w:r w:rsidR="009A3423" w:rsidRPr="003851C1">
        <w:rPr>
          <w:rFonts w:ascii="Arial" w:hAnsi="Arial" w:cs="Arial"/>
          <w:lang w:val="en-US"/>
        </w:rPr>
        <w:t xml:space="preserve">Laws </w:t>
      </w:r>
      <w:r w:rsidR="006D56AA" w:rsidRPr="003851C1">
        <w:rPr>
          <w:rFonts w:ascii="Arial" w:hAnsi="Arial" w:cs="Arial"/>
          <w:lang w:val="en-US"/>
        </w:rPr>
        <w:t xml:space="preserve">(ICBL) </w:t>
      </w:r>
      <w:r w:rsidR="009A3423" w:rsidRPr="003851C1">
        <w:rPr>
          <w:rFonts w:ascii="Arial" w:hAnsi="Arial" w:cs="Arial"/>
          <w:lang w:val="en-US"/>
        </w:rPr>
        <w:t xml:space="preserve">can act as a significant impediment to new housing supply and are not subject to an effective or timely appeal process. Enabling appeals following the passage of an ICBL as opposed to when it is extended is a prudent move that will enable faster collaboration between municipalities and builders. </w:t>
      </w:r>
    </w:p>
    <w:p w14:paraId="63B8BCFD" w14:textId="30CF349C" w:rsidR="000F3672" w:rsidRPr="003851C1" w:rsidRDefault="000F3672" w:rsidP="00E30415">
      <w:pPr>
        <w:spacing w:line="240" w:lineRule="auto"/>
        <w:rPr>
          <w:rFonts w:ascii="Arial" w:hAnsi="Arial" w:cs="Arial"/>
          <w:b/>
          <w:bCs/>
          <w:lang w:val="en-US"/>
        </w:rPr>
      </w:pPr>
      <w:r w:rsidRPr="003851C1">
        <w:rPr>
          <w:rFonts w:ascii="Arial" w:hAnsi="Arial" w:cs="Arial"/>
          <w:b/>
          <w:bCs/>
          <w:lang w:val="en-US"/>
        </w:rPr>
        <w:t>New Authority for Minister’s Zoning Orders</w:t>
      </w:r>
    </w:p>
    <w:p w14:paraId="05295AAB" w14:textId="57022358" w:rsidR="00D03E95" w:rsidRPr="003851C1" w:rsidRDefault="00F90A74" w:rsidP="00E30415">
      <w:pPr>
        <w:spacing w:line="240" w:lineRule="auto"/>
        <w:rPr>
          <w:rFonts w:ascii="Arial" w:hAnsi="Arial" w:cs="Arial"/>
          <w:lang w:val="en-US"/>
        </w:rPr>
      </w:pPr>
      <w:r w:rsidRPr="003851C1">
        <w:rPr>
          <w:rFonts w:ascii="Arial" w:hAnsi="Arial" w:cs="Arial"/>
          <w:lang w:val="en-US"/>
        </w:rPr>
        <w:t xml:space="preserve">Often, the new home construction sector experiences more challenges the farther down the development process they are. </w:t>
      </w:r>
      <w:r w:rsidR="00843046">
        <w:rPr>
          <w:rFonts w:ascii="Arial" w:hAnsi="Arial" w:cs="Arial"/>
          <w:lang w:val="en-US"/>
        </w:rPr>
        <w:t xml:space="preserve">This </w:t>
      </w:r>
      <w:r w:rsidRPr="003851C1">
        <w:rPr>
          <w:rFonts w:ascii="Arial" w:hAnsi="Arial" w:cs="Arial"/>
          <w:lang w:val="en-US"/>
        </w:rPr>
        <w:t>propos</w:t>
      </w:r>
      <w:r w:rsidR="00843046">
        <w:rPr>
          <w:rFonts w:ascii="Arial" w:hAnsi="Arial" w:cs="Arial"/>
          <w:lang w:val="en-US"/>
        </w:rPr>
        <w:t xml:space="preserve">al has the potential to enable greater clarity for both </w:t>
      </w:r>
      <w:proofErr w:type="gramStart"/>
      <w:r w:rsidR="00843046">
        <w:rPr>
          <w:rFonts w:ascii="Arial" w:hAnsi="Arial" w:cs="Arial"/>
          <w:lang w:val="en-US"/>
        </w:rPr>
        <w:t>all parties</w:t>
      </w:r>
      <w:proofErr w:type="gramEnd"/>
      <w:r w:rsidR="00843046">
        <w:rPr>
          <w:rFonts w:ascii="Arial" w:hAnsi="Arial" w:cs="Arial"/>
          <w:lang w:val="en-US"/>
        </w:rPr>
        <w:t xml:space="preserve">. </w:t>
      </w:r>
    </w:p>
    <w:p w14:paraId="4333D560" w14:textId="24201E12" w:rsidR="00F90A74" w:rsidRPr="003851C1" w:rsidRDefault="000F3672" w:rsidP="00E30415">
      <w:pPr>
        <w:spacing w:line="240" w:lineRule="auto"/>
        <w:rPr>
          <w:rFonts w:ascii="Arial" w:hAnsi="Arial" w:cs="Arial"/>
          <w:b/>
          <w:bCs/>
          <w:lang w:val="en-US"/>
        </w:rPr>
      </w:pPr>
      <w:r w:rsidRPr="003851C1">
        <w:rPr>
          <w:rFonts w:ascii="Arial" w:hAnsi="Arial" w:cs="Arial"/>
          <w:b/>
          <w:bCs/>
          <w:lang w:val="en-US"/>
        </w:rPr>
        <w:t>Ministerial Authority to Require Development Agreements</w:t>
      </w:r>
    </w:p>
    <w:p w14:paraId="31856054" w14:textId="0C43B01E" w:rsidR="00F90A74" w:rsidRPr="003851C1" w:rsidRDefault="00F90A74" w:rsidP="00E30415">
      <w:pPr>
        <w:spacing w:line="240" w:lineRule="auto"/>
        <w:rPr>
          <w:rFonts w:ascii="Arial" w:hAnsi="Arial" w:cs="Arial"/>
          <w:lang w:val="en-US"/>
        </w:rPr>
      </w:pPr>
      <w:r w:rsidRPr="003851C1">
        <w:rPr>
          <w:rFonts w:ascii="Arial" w:hAnsi="Arial" w:cs="Arial"/>
          <w:lang w:val="en-US"/>
        </w:rPr>
        <w:t>Ensuring that priority projects which bring forward the correct supply and variety of new housing is crucial as the province aims to reach 1.5 million new homes by 2031 to meet our population growth trajectory. A Ministerial Authority to require development agreements on priority projects through the Provincial Land Facilitator is a prudent a</w:t>
      </w:r>
      <w:r w:rsidR="00B13B8E" w:rsidRPr="003851C1">
        <w:rPr>
          <w:rFonts w:ascii="Arial" w:hAnsi="Arial" w:cs="Arial"/>
          <w:lang w:val="en-US"/>
        </w:rPr>
        <w:t>nd</w:t>
      </w:r>
      <w:r w:rsidRPr="003851C1">
        <w:rPr>
          <w:rFonts w:ascii="Arial" w:hAnsi="Arial" w:cs="Arial"/>
          <w:lang w:val="en-US"/>
        </w:rPr>
        <w:t xml:space="preserve"> clear avenue to advance priority projects and get</w:t>
      </w:r>
      <w:r w:rsidR="000C377A" w:rsidRPr="003851C1">
        <w:rPr>
          <w:rFonts w:ascii="Arial" w:hAnsi="Arial" w:cs="Arial"/>
          <w:lang w:val="en-US"/>
        </w:rPr>
        <w:t xml:space="preserve"> shovels in the ground, faster. </w:t>
      </w:r>
    </w:p>
    <w:p w14:paraId="3374BF89" w14:textId="6152DEA2" w:rsidR="000F3672" w:rsidRPr="003851C1" w:rsidRDefault="000F3672" w:rsidP="00E30415">
      <w:pPr>
        <w:spacing w:line="240" w:lineRule="auto"/>
        <w:rPr>
          <w:rFonts w:ascii="Arial" w:hAnsi="Arial" w:cs="Arial"/>
          <w:b/>
          <w:bCs/>
          <w:lang w:val="en-US"/>
        </w:rPr>
      </w:pPr>
      <w:r w:rsidRPr="003851C1">
        <w:rPr>
          <w:rFonts w:ascii="Arial" w:hAnsi="Arial" w:cs="Arial"/>
          <w:b/>
          <w:bCs/>
          <w:lang w:val="en-US"/>
        </w:rPr>
        <w:t>Changes to Employment Area Protections</w:t>
      </w:r>
    </w:p>
    <w:p w14:paraId="6AC2E494" w14:textId="760B11DE" w:rsidR="000C377A" w:rsidRPr="003851C1" w:rsidRDefault="000C377A" w:rsidP="00E30415">
      <w:pPr>
        <w:spacing w:line="240" w:lineRule="auto"/>
        <w:rPr>
          <w:rFonts w:ascii="Arial" w:hAnsi="Arial" w:cs="Arial"/>
          <w:lang w:val="en-US"/>
        </w:rPr>
      </w:pPr>
      <w:r w:rsidRPr="003851C1">
        <w:rPr>
          <w:rFonts w:ascii="Arial" w:hAnsi="Arial" w:cs="Arial"/>
          <w:lang w:val="en-US"/>
        </w:rPr>
        <w:lastRenderedPageBreak/>
        <w:t xml:space="preserve">Rescoping what constitutes an “area of employment” will help clarify that land uses not connected to primary industrial uses can be better converted for local use. Currently, significant areas within urban boundaries </w:t>
      </w:r>
      <w:r w:rsidR="00B13B8E" w:rsidRPr="003851C1">
        <w:rPr>
          <w:rFonts w:ascii="Arial" w:hAnsi="Arial" w:cs="Arial"/>
          <w:lang w:val="en-US"/>
        </w:rPr>
        <w:t>where</w:t>
      </w:r>
      <w:r w:rsidRPr="003851C1">
        <w:rPr>
          <w:rFonts w:ascii="Arial" w:hAnsi="Arial" w:cs="Arial"/>
          <w:lang w:val="en-US"/>
        </w:rPr>
        <w:t xml:space="preserve"> new housing could be </w:t>
      </w:r>
      <w:proofErr w:type="gramStart"/>
      <w:r w:rsidRPr="003851C1">
        <w:rPr>
          <w:rFonts w:ascii="Arial" w:hAnsi="Arial" w:cs="Arial"/>
          <w:lang w:val="en-US"/>
        </w:rPr>
        <w:t>built,</w:t>
      </w:r>
      <w:proofErr w:type="gramEnd"/>
      <w:r w:rsidRPr="003851C1">
        <w:rPr>
          <w:rFonts w:ascii="Arial" w:hAnsi="Arial" w:cs="Arial"/>
          <w:lang w:val="en-US"/>
        </w:rPr>
        <w:t xml:space="preserve"> is encumbered by the existing employment land definitions found in the </w:t>
      </w:r>
      <w:r w:rsidRPr="003851C1">
        <w:rPr>
          <w:rFonts w:ascii="Arial" w:hAnsi="Arial" w:cs="Arial"/>
          <w:i/>
          <w:iCs/>
          <w:lang w:val="en-US"/>
        </w:rPr>
        <w:t>Planning Act.</w:t>
      </w:r>
      <w:r w:rsidRPr="003851C1">
        <w:rPr>
          <w:rFonts w:ascii="Arial" w:hAnsi="Arial" w:cs="Arial"/>
          <w:lang w:val="en-US"/>
        </w:rPr>
        <w:t xml:space="preserve"> This proposed change will help redirect commercial and institutional uses closer to transportation corridors. Furthermore, it would also p</w:t>
      </w:r>
      <w:r w:rsidR="00E30415">
        <w:rPr>
          <w:rFonts w:ascii="Arial" w:hAnsi="Arial" w:cs="Arial"/>
          <w:lang w:val="en-US"/>
        </w:rPr>
        <w:t>reserve</w:t>
      </w:r>
      <w:r w:rsidRPr="003851C1">
        <w:rPr>
          <w:rFonts w:ascii="Arial" w:hAnsi="Arial" w:cs="Arial"/>
          <w:lang w:val="en-US"/>
        </w:rPr>
        <w:t xml:space="preserve"> the ability of municipalities to designate employment lands so long as they adopt official plan policies that specifically authorize the continuation of that lawfully existing use prior to the modified “area of employment” definition coming into effect.</w:t>
      </w:r>
    </w:p>
    <w:p w14:paraId="5A0E0363" w14:textId="5E1A6C82" w:rsidR="00B65181" w:rsidRPr="003851C1" w:rsidRDefault="00B65181" w:rsidP="00E30415">
      <w:pPr>
        <w:spacing w:line="240" w:lineRule="auto"/>
        <w:rPr>
          <w:rFonts w:ascii="Arial" w:hAnsi="Arial" w:cs="Arial"/>
          <w:lang w:val="en-US"/>
        </w:rPr>
      </w:pPr>
      <w:r w:rsidRPr="003851C1">
        <w:rPr>
          <w:rFonts w:ascii="Arial" w:hAnsi="Arial" w:cs="Arial"/>
          <w:lang w:val="en-US"/>
        </w:rPr>
        <w:t xml:space="preserve">However, </w:t>
      </w:r>
      <w:r w:rsidR="00A80CE4">
        <w:rPr>
          <w:rFonts w:ascii="Arial" w:hAnsi="Arial" w:cs="Arial"/>
          <w:lang w:val="en-US"/>
        </w:rPr>
        <w:t>we</w:t>
      </w:r>
      <w:r w:rsidRPr="003851C1">
        <w:rPr>
          <w:rFonts w:ascii="Arial" w:hAnsi="Arial" w:cs="Arial"/>
          <w:lang w:val="en-US"/>
        </w:rPr>
        <w:t xml:space="preserve"> </w:t>
      </w:r>
      <w:r w:rsidR="00A80CE4">
        <w:rPr>
          <w:rFonts w:ascii="Arial" w:hAnsi="Arial" w:cs="Arial"/>
          <w:lang w:val="en-US"/>
        </w:rPr>
        <w:t>do note that</w:t>
      </w:r>
      <w:r w:rsidR="006E66D8" w:rsidRPr="003851C1">
        <w:rPr>
          <w:rFonts w:ascii="Arial" w:hAnsi="Arial" w:cs="Arial"/>
          <w:lang w:val="en-US"/>
        </w:rPr>
        <w:t xml:space="preserve"> </w:t>
      </w:r>
      <w:r w:rsidR="00A80CE4">
        <w:rPr>
          <w:rFonts w:ascii="Arial" w:hAnsi="Arial" w:cs="Arial"/>
          <w:lang w:val="en-US"/>
        </w:rPr>
        <w:t>t</w:t>
      </w:r>
      <w:r w:rsidR="006E66D8" w:rsidRPr="003851C1">
        <w:rPr>
          <w:rFonts w:ascii="Arial" w:hAnsi="Arial" w:cs="Arial"/>
          <w:lang w:val="en-US"/>
        </w:rPr>
        <w:t xml:space="preserve">here are many </w:t>
      </w:r>
      <w:r w:rsidRPr="003851C1">
        <w:rPr>
          <w:rFonts w:ascii="Arial" w:hAnsi="Arial" w:cs="Arial"/>
          <w:lang w:val="en-US"/>
        </w:rPr>
        <w:t>examples of institutional uses, such as places of worship or even day cares, that can be located within areas of employment</w:t>
      </w:r>
      <w:r w:rsidR="00C741C8" w:rsidRPr="003851C1">
        <w:rPr>
          <w:rFonts w:ascii="Arial" w:hAnsi="Arial" w:cs="Arial"/>
          <w:lang w:val="en-US"/>
        </w:rPr>
        <w:t xml:space="preserve"> without </w:t>
      </w:r>
      <w:r w:rsidRPr="003851C1">
        <w:rPr>
          <w:rFonts w:ascii="Arial" w:hAnsi="Arial" w:cs="Arial"/>
          <w:lang w:val="en-US"/>
        </w:rPr>
        <w:t xml:space="preserve">conflict. </w:t>
      </w:r>
      <w:r w:rsidR="000758A9" w:rsidRPr="003851C1">
        <w:rPr>
          <w:rFonts w:ascii="Arial" w:hAnsi="Arial" w:cs="Arial"/>
          <w:lang w:val="en-US"/>
        </w:rPr>
        <w:t>To permit municipal flexibility, a</w:t>
      </w:r>
      <w:r w:rsidRPr="003851C1">
        <w:rPr>
          <w:rFonts w:ascii="Arial" w:hAnsi="Arial" w:cs="Arial"/>
          <w:lang w:val="en-US"/>
        </w:rPr>
        <w:t xml:space="preserve">rea or site-specific assessments </w:t>
      </w:r>
      <w:r w:rsidR="000758A9" w:rsidRPr="003851C1">
        <w:rPr>
          <w:rFonts w:ascii="Arial" w:hAnsi="Arial" w:cs="Arial"/>
          <w:lang w:val="en-US"/>
        </w:rPr>
        <w:t xml:space="preserve">could </w:t>
      </w:r>
      <w:r w:rsidRPr="003851C1">
        <w:rPr>
          <w:rFonts w:ascii="Arial" w:hAnsi="Arial" w:cs="Arial"/>
          <w:lang w:val="en-US"/>
        </w:rPr>
        <w:t xml:space="preserve">be undertaken to determine what appropriate uses rather than this being stated in the </w:t>
      </w:r>
      <w:r w:rsidRPr="00A80CE4">
        <w:rPr>
          <w:rFonts w:ascii="Arial" w:hAnsi="Arial" w:cs="Arial"/>
          <w:i/>
          <w:iCs/>
          <w:lang w:val="en-US"/>
        </w:rPr>
        <w:t>Planning Act</w:t>
      </w:r>
      <w:r w:rsidR="00140828" w:rsidRPr="003851C1">
        <w:rPr>
          <w:rFonts w:ascii="Arial" w:hAnsi="Arial" w:cs="Arial"/>
          <w:lang w:val="en-US"/>
        </w:rPr>
        <w:t xml:space="preserve"> to help </w:t>
      </w:r>
      <w:r w:rsidRPr="003851C1">
        <w:rPr>
          <w:rFonts w:ascii="Arial" w:hAnsi="Arial" w:cs="Arial"/>
          <w:lang w:val="en-US"/>
        </w:rPr>
        <w:t>provid</w:t>
      </w:r>
      <w:r w:rsidR="00140828" w:rsidRPr="003851C1">
        <w:rPr>
          <w:rFonts w:ascii="Arial" w:hAnsi="Arial" w:cs="Arial"/>
          <w:lang w:val="en-US"/>
        </w:rPr>
        <w:t>e</w:t>
      </w:r>
      <w:r w:rsidRPr="003851C1">
        <w:rPr>
          <w:rFonts w:ascii="Arial" w:hAnsi="Arial" w:cs="Arial"/>
          <w:lang w:val="en-US"/>
        </w:rPr>
        <w:t xml:space="preserve"> an appropriate mix of uses on a site-specific basis.</w:t>
      </w:r>
    </w:p>
    <w:p w14:paraId="1EACCDD5" w14:textId="77777777" w:rsidR="00B65181" w:rsidRPr="003851C1" w:rsidRDefault="00B65181" w:rsidP="00E30415">
      <w:pPr>
        <w:spacing w:line="240" w:lineRule="auto"/>
        <w:rPr>
          <w:rFonts w:ascii="Arial" w:hAnsi="Arial" w:cs="Arial"/>
          <w:lang w:val="en-US"/>
        </w:rPr>
      </w:pPr>
    </w:p>
    <w:p w14:paraId="44E67814" w14:textId="18FCA58B" w:rsidR="00E31CA9" w:rsidRPr="003851C1" w:rsidRDefault="000F3672" w:rsidP="00E30415">
      <w:pPr>
        <w:spacing w:line="240" w:lineRule="auto"/>
        <w:rPr>
          <w:rFonts w:ascii="Arial" w:hAnsi="Arial" w:cs="Arial"/>
          <w:b/>
          <w:bCs/>
          <w:lang w:val="en-US"/>
        </w:rPr>
      </w:pPr>
      <w:r w:rsidRPr="003851C1">
        <w:rPr>
          <w:rFonts w:ascii="Arial" w:hAnsi="Arial" w:cs="Arial"/>
          <w:b/>
          <w:bCs/>
          <w:lang w:val="en-US"/>
        </w:rPr>
        <w:t>Proposed </w:t>
      </w:r>
      <w:r w:rsidRPr="003851C1">
        <w:rPr>
          <w:rFonts w:ascii="Arial" w:hAnsi="Arial" w:cs="Arial"/>
          <w:b/>
          <w:bCs/>
          <w:i/>
          <w:iCs/>
          <w:lang w:val="en-US"/>
        </w:rPr>
        <w:t>Ministry of Municipal Affairs and Housing Act</w:t>
      </w:r>
      <w:r w:rsidRPr="003851C1">
        <w:rPr>
          <w:rFonts w:ascii="Arial" w:hAnsi="Arial" w:cs="Arial"/>
          <w:b/>
          <w:bCs/>
          <w:lang w:val="en-US"/>
        </w:rPr>
        <w:t> Amendment</w:t>
      </w:r>
    </w:p>
    <w:p w14:paraId="32D774C1" w14:textId="36ACE565" w:rsidR="00B42FE0" w:rsidRDefault="00B42FE0" w:rsidP="00E30415">
      <w:pPr>
        <w:spacing w:line="240" w:lineRule="auto"/>
        <w:rPr>
          <w:rFonts w:ascii="Arial" w:hAnsi="Arial" w:cs="Arial"/>
          <w:lang w:val="en-US"/>
        </w:rPr>
      </w:pPr>
      <w:r w:rsidRPr="003851C1">
        <w:rPr>
          <w:rFonts w:ascii="Arial" w:hAnsi="Arial" w:cs="Arial"/>
          <w:lang w:val="en-US"/>
        </w:rPr>
        <w:t xml:space="preserve">With the scale of changes being proposed as part of Bill 97, it is prudent that the Ministry evaluate their own capacities and upgrade where needed to ensure Ontario can meet its housing supply goals. Appointing up to four Housing Deputy Provincial Land Development Facilitators will help the entire Ministry move priority projects ahead. </w:t>
      </w:r>
    </w:p>
    <w:p w14:paraId="5F288862" w14:textId="77777777" w:rsidR="005C0395" w:rsidRDefault="005C0395" w:rsidP="00E30415">
      <w:pPr>
        <w:spacing w:line="240" w:lineRule="auto"/>
        <w:rPr>
          <w:rFonts w:ascii="Arial" w:hAnsi="Arial" w:cs="Arial"/>
          <w:lang w:val="en-US"/>
        </w:rPr>
      </w:pPr>
    </w:p>
    <w:p w14:paraId="2AD9923C" w14:textId="6C6DF1DF" w:rsidR="005C0395" w:rsidRPr="003851C1" w:rsidRDefault="005C0395" w:rsidP="00E30415">
      <w:pPr>
        <w:spacing w:line="240" w:lineRule="auto"/>
        <w:rPr>
          <w:rFonts w:ascii="Arial" w:hAnsi="Arial" w:cs="Arial"/>
          <w:lang w:val="en-US"/>
        </w:rPr>
      </w:pPr>
      <w:bookmarkStart w:id="1" w:name="_Hlk134079706"/>
      <w:r>
        <w:rPr>
          <w:rFonts w:ascii="Arial" w:hAnsi="Arial" w:cs="Arial"/>
          <w:lang w:val="en-US"/>
        </w:rPr>
        <w:t xml:space="preserve">Kingston Frontenac Home Builders Association </w:t>
      </w:r>
      <w:bookmarkEnd w:id="1"/>
    </w:p>
    <w:sectPr w:rsidR="005C0395" w:rsidRPr="003851C1" w:rsidSect="001F476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271D" w14:textId="77777777" w:rsidR="00B72661" w:rsidRDefault="00B72661" w:rsidP="00942792">
      <w:pPr>
        <w:spacing w:after="0" w:line="240" w:lineRule="auto"/>
      </w:pPr>
      <w:r>
        <w:separator/>
      </w:r>
    </w:p>
  </w:endnote>
  <w:endnote w:type="continuationSeparator" w:id="0">
    <w:p w14:paraId="037AB0D2" w14:textId="77777777" w:rsidR="00B72661" w:rsidRDefault="00B72661" w:rsidP="0094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B182" w14:textId="77777777" w:rsidR="00DE10F6" w:rsidRDefault="00DE1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8A5" w14:textId="77777777" w:rsidR="00DE10F6" w:rsidRDefault="00DE1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1A0B" w14:textId="77777777" w:rsidR="00DE10F6" w:rsidRDefault="00DE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200" w14:textId="77777777" w:rsidR="00B72661" w:rsidRDefault="00B72661" w:rsidP="00942792">
      <w:pPr>
        <w:spacing w:after="0" w:line="240" w:lineRule="auto"/>
      </w:pPr>
      <w:r>
        <w:separator/>
      </w:r>
    </w:p>
  </w:footnote>
  <w:footnote w:type="continuationSeparator" w:id="0">
    <w:p w14:paraId="071A739B" w14:textId="77777777" w:rsidR="00B72661" w:rsidRDefault="00B72661" w:rsidP="0094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85D4" w14:textId="77777777" w:rsidR="00DE10F6" w:rsidRDefault="00DE1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3F5" w14:textId="51503A19" w:rsidR="00942792" w:rsidRDefault="00DE10F6" w:rsidP="001C65A8">
    <w:pPr>
      <w:widowControl w:val="0"/>
      <w:tabs>
        <w:tab w:val="left" w:pos="3690"/>
      </w:tabs>
      <w:autoSpaceDE w:val="0"/>
      <w:autoSpaceDN w:val="0"/>
      <w:adjustRightInd w:val="0"/>
      <w:spacing w:before="40" w:after="0"/>
      <w:jc w:val="center"/>
      <w:rPr>
        <w:rFonts w:ascii="Arial" w:hAnsi="Arial" w:cs="Arial"/>
        <w:spacing w:val="-1"/>
        <w:sz w:val="16"/>
        <w:szCs w:val="16"/>
      </w:rPr>
    </w:pPr>
    <w:r>
      <w:rPr>
        <w:noProof/>
      </w:rPr>
      <w:drawing>
        <wp:inline distT="0" distB="0" distL="0" distR="0" wp14:anchorId="0DD1B26B" wp14:editId="40B66479">
          <wp:extent cx="1093470" cy="1330325"/>
          <wp:effectExtent l="0" t="0" r="0" b="3175"/>
          <wp:docPr id="802468015"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68015" name="Picture 1"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3470" cy="1330325"/>
                  </a:xfrm>
                  <a:prstGeom prst="rect">
                    <a:avLst/>
                  </a:prstGeom>
                </pic:spPr>
              </pic:pic>
            </a:graphicData>
          </a:graphic>
        </wp:inline>
      </w:drawing>
    </w:r>
  </w:p>
  <w:p w14:paraId="3D8EA83E" w14:textId="77777777" w:rsidR="001C65A8" w:rsidRPr="0087305F" w:rsidRDefault="001C65A8" w:rsidP="001C65A8">
    <w:pPr>
      <w:widowControl w:val="0"/>
      <w:tabs>
        <w:tab w:val="left" w:pos="3690"/>
      </w:tabs>
      <w:autoSpaceDE w:val="0"/>
      <w:autoSpaceDN w:val="0"/>
      <w:adjustRightInd w:val="0"/>
      <w:spacing w:before="40" w:after="0"/>
      <w:jc w:val="center"/>
      <w:rPr>
        <w:rFonts w:ascii="Arial" w:hAnsi="Arial" w:cs="Arial"/>
        <w:spacing w:val="-1"/>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444E" w14:textId="77777777" w:rsidR="00DE10F6" w:rsidRDefault="00DE1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BE557"/>
    <w:multiLevelType w:val="hybridMultilevel"/>
    <w:tmpl w:val="1D819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2668D"/>
    <w:multiLevelType w:val="multilevel"/>
    <w:tmpl w:val="00F65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97671"/>
    <w:multiLevelType w:val="hybridMultilevel"/>
    <w:tmpl w:val="2026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6D81"/>
    <w:multiLevelType w:val="hybridMultilevel"/>
    <w:tmpl w:val="79A8A3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93730B"/>
    <w:multiLevelType w:val="multilevel"/>
    <w:tmpl w:val="7E9A6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F352F"/>
    <w:multiLevelType w:val="multilevel"/>
    <w:tmpl w:val="3640A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A15A0"/>
    <w:multiLevelType w:val="hybridMultilevel"/>
    <w:tmpl w:val="9C7EF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335488"/>
    <w:multiLevelType w:val="multilevel"/>
    <w:tmpl w:val="6BD43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443C9"/>
    <w:multiLevelType w:val="multilevel"/>
    <w:tmpl w:val="5FB06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A4A3E"/>
    <w:multiLevelType w:val="multilevel"/>
    <w:tmpl w:val="D82EE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821A2"/>
    <w:multiLevelType w:val="hybridMultilevel"/>
    <w:tmpl w:val="DFBA67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4D92459"/>
    <w:multiLevelType w:val="hybridMultilevel"/>
    <w:tmpl w:val="3C981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F35CD7"/>
    <w:multiLevelType w:val="multilevel"/>
    <w:tmpl w:val="CE44B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277ED5"/>
    <w:multiLevelType w:val="multilevel"/>
    <w:tmpl w:val="1834F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9908759">
    <w:abstractNumId w:val="10"/>
  </w:num>
  <w:num w:numId="2" w16cid:durableId="570309400">
    <w:abstractNumId w:val="3"/>
  </w:num>
  <w:num w:numId="3" w16cid:durableId="358628927">
    <w:abstractNumId w:val="6"/>
  </w:num>
  <w:num w:numId="4" w16cid:durableId="1318388280">
    <w:abstractNumId w:val="0"/>
  </w:num>
  <w:num w:numId="5" w16cid:durableId="2034844797">
    <w:abstractNumId w:val="11"/>
  </w:num>
  <w:num w:numId="6" w16cid:durableId="1085149716">
    <w:abstractNumId w:val="13"/>
  </w:num>
  <w:num w:numId="7" w16cid:durableId="1331103899">
    <w:abstractNumId w:val="5"/>
  </w:num>
  <w:num w:numId="8" w16cid:durableId="1140879435">
    <w:abstractNumId w:val="9"/>
  </w:num>
  <w:num w:numId="9" w16cid:durableId="1136727669">
    <w:abstractNumId w:val="4"/>
  </w:num>
  <w:num w:numId="10" w16cid:durableId="1258248026">
    <w:abstractNumId w:val="1"/>
  </w:num>
  <w:num w:numId="11" w16cid:durableId="1526400429">
    <w:abstractNumId w:val="8"/>
  </w:num>
  <w:num w:numId="12" w16cid:durableId="1814103957">
    <w:abstractNumId w:val="12"/>
  </w:num>
  <w:num w:numId="13" w16cid:durableId="126943571">
    <w:abstractNumId w:val="7"/>
  </w:num>
  <w:num w:numId="14" w16cid:durableId="150512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19"/>
    <w:rsid w:val="00013E7A"/>
    <w:rsid w:val="00017A37"/>
    <w:rsid w:val="00046A45"/>
    <w:rsid w:val="000758A9"/>
    <w:rsid w:val="00090E8D"/>
    <w:rsid w:val="00093F90"/>
    <w:rsid w:val="000978C6"/>
    <w:rsid w:val="000C377A"/>
    <w:rsid w:val="000F3672"/>
    <w:rsid w:val="000F5FFD"/>
    <w:rsid w:val="00113D69"/>
    <w:rsid w:val="001153A3"/>
    <w:rsid w:val="00124BDF"/>
    <w:rsid w:val="00140828"/>
    <w:rsid w:val="001832E9"/>
    <w:rsid w:val="001B20E2"/>
    <w:rsid w:val="001B3A92"/>
    <w:rsid w:val="001C65A8"/>
    <w:rsid w:val="001D502A"/>
    <w:rsid w:val="001F4762"/>
    <w:rsid w:val="0024021C"/>
    <w:rsid w:val="002616D3"/>
    <w:rsid w:val="00271F32"/>
    <w:rsid w:val="00321DB7"/>
    <w:rsid w:val="003245BF"/>
    <w:rsid w:val="0033562C"/>
    <w:rsid w:val="003578D0"/>
    <w:rsid w:val="00363E80"/>
    <w:rsid w:val="003851C1"/>
    <w:rsid w:val="00385B9F"/>
    <w:rsid w:val="003D0AF1"/>
    <w:rsid w:val="00406F9A"/>
    <w:rsid w:val="00426D0E"/>
    <w:rsid w:val="00434BB4"/>
    <w:rsid w:val="0045672E"/>
    <w:rsid w:val="00463E4C"/>
    <w:rsid w:val="004702C8"/>
    <w:rsid w:val="004918CF"/>
    <w:rsid w:val="004D4558"/>
    <w:rsid w:val="005062CF"/>
    <w:rsid w:val="00515062"/>
    <w:rsid w:val="00555E6A"/>
    <w:rsid w:val="00571B4A"/>
    <w:rsid w:val="00573945"/>
    <w:rsid w:val="005B1CB7"/>
    <w:rsid w:val="005B1F24"/>
    <w:rsid w:val="005C0395"/>
    <w:rsid w:val="005F7955"/>
    <w:rsid w:val="006062BF"/>
    <w:rsid w:val="0061055C"/>
    <w:rsid w:val="00617E45"/>
    <w:rsid w:val="00626141"/>
    <w:rsid w:val="00671B32"/>
    <w:rsid w:val="00675131"/>
    <w:rsid w:val="006836C8"/>
    <w:rsid w:val="0069047B"/>
    <w:rsid w:val="006A4538"/>
    <w:rsid w:val="006C20CE"/>
    <w:rsid w:val="006D2E8C"/>
    <w:rsid w:val="006D56AA"/>
    <w:rsid w:val="006E36B7"/>
    <w:rsid w:val="006E66D8"/>
    <w:rsid w:val="00744CD9"/>
    <w:rsid w:val="00765244"/>
    <w:rsid w:val="00776780"/>
    <w:rsid w:val="00797A63"/>
    <w:rsid w:val="00797B44"/>
    <w:rsid w:val="007C2EF5"/>
    <w:rsid w:val="007D2BBE"/>
    <w:rsid w:val="007D2F49"/>
    <w:rsid w:val="008056C9"/>
    <w:rsid w:val="00823049"/>
    <w:rsid w:val="008253C6"/>
    <w:rsid w:val="00827BF1"/>
    <w:rsid w:val="00831B19"/>
    <w:rsid w:val="00843046"/>
    <w:rsid w:val="008562C5"/>
    <w:rsid w:val="008708A3"/>
    <w:rsid w:val="0087305F"/>
    <w:rsid w:val="0087347A"/>
    <w:rsid w:val="00885F65"/>
    <w:rsid w:val="00890FB9"/>
    <w:rsid w:val="00891252"/>
    <w:rsid w:val="008953E3"/>
    <w:rsid w:val="008969A1"/>
    <w:rsid w:val="008C255D"/>
    <w:rsid w:val="008D5FC0"/>
    <w:rsid w:val="00905618"/>
    <w:rsid w:val="00942792"/>
    <w:rsid w:val="009463A2"/>
    <w:rsid w:val="00960EB8"/>
    <w:rsid w:val="00995084"/>
    <w:rsid w:val="009A0921"/>
    <w:rsid w:val="009A3423"/>
    <w:rsid w:val="009F2BB9"/>
    <w:rsid w:val="00A35A2E"/>
    <w:rsid w:val="00A46030"/>
    <w:rsid w:val="00A47290"/>
    <w:rsid w:val="00A51E29"/>
    <w:rsid w:val="00A548A9"/>
    <w:rsid w:val="00A66BFC"/>
    <w:rsid w:val="00A80CE4"/>
    <w:rsid w:val="00A85910"/>
    <w:rsid w:val="00AB3190"/>
    <w:rsid w:val="00AD3841"/>
    <w:rsid w:val="00B13B8E"/>
    <w:rsid w:val="00B1553E"/>
    <w:rsid w:val="00B375C6"/>
    <w:rsid w:val="00B42FE0"/>
    <w:rsid w:val="00B65181"/>
    <w:rsid w:val="00B662AE"/>
    <w:rsid w:val="00B72661"/>
    <w:rsid w:val="00BB2024"/>
    <w:rsid w:val="00BC7E79"/>
    <w:rsid w:val="00BE1297"/>
    <w:rsid w:val="00C135D3"/>
    <w:rsid w:val="00C741C8"/>
    <w:rsid w:val="00C75690"/>
    <w:rsid w:val="00C81FA3"/>
    <w:rsid w:val="00C82F8D"/>
    <w:rsid w:val="00CA75D7"/>
    <w:rsid w:val="00CA7D0A"/>
    <w:rsid w:val="00D03E95"/>
    <w:rsid w:val="00D062A5"/>
    <w:rsid w:val="00D150DF"/>
    <w:rsid w:val="00D51352"/>
    <w:rsid w:val="00DC4500"/>
    <w:rsid w:val="00DD710F"/>
    <w:rsid w:val="00DE10F6"/>
    <w:rsid w:val="00E13349"/>
    <w:rsid w:val="00E1418E"/>
    <w:rsid w:val="00E17ADD"/>
    <w:rsid w:val="00E21D53"/>
    <w:rsid w:val="00E30415"/>
    <w:rsid w:val="00E31CA9"/>
    <w:rsid w:val="00E46898"/>
    <w:rsid w:val="00E93EF2"/>
    <w:rsid w:val="00EB4307"/>
    <w:rsid w:val="00EB6B73"/>
    <w:rsid w:val="00ED75A7"/>
    <w:rsid w:val="00F6277B"/>
    <w:rsid w:val="00F90A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71B35"/>
  <w15:chartTrackingRefBased/>
  <w15:docId w15:val="{CC89A2F9-9FB6-453E-8FCE-3BA34FF2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427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2792"/>
    <w:pPr>
      <w:tabs>
        <w:tab w:val="center" w:pos="4680"/>
        <w:tab w:val="right" w:pos="9360"/>
      </w:tabs>
      <w:spacing w:after="0" w:line="240" w:lineRule="auto"/>
    </w:pPr>
  </w:style>
  <w:style w:type="character" w:customStyle="1" w:styleId="HeaderChar">
    <w:name w:val="Header Char"/>
    <w:basedOn w:val="DefaultParagraphFont"/>
    <w:link w:val="Header"/>
    <w:rsid w:val="00942792"/>
  </w:style>
  <w:style w:type="paragraph" w:styleId="Footer">
    <w:name w:val="footer"/>
    <w:basedOn w:val="Normal"/>
    <w:link w:val="FooterChar"/>
    <w:uiPriority w:val="99"/>
    <w:unhideWhenUsed/>
    <w:rsid w:val="00942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92"/>
  </w:style>
  <w:style w:type="character" w:customStyle="1" w:styleId="Heading3Char">
    <w:name w:val="Heading 3 Char"/>
    <w:basedOn w:val="DefaultParagraphFont"/>
    <w:link w:val="Heading3"/>
    <w:uiPriority w:val="9"/>
    <w:semiHidden/>
    <w:rsid w:val="00942792"/>
    <w:rPr>
      <w:rFonts w:asciiTheme="majorHAnsi" w:eastAsiaTheme="majorEastAsia" w:hAnsiTheme="majorHAnsi" w:cstheme="majorBidi"/>
      <w:color w:val="1F3763" w:themeColor="accent1" w:themeShade="7F"/>
      <w:sz w:val="24"/>
      <w:szCs w:val="24"/>
    </w:rPr>
  </w:style>
  <w:style w:type="character" w:styleId="Hyperlink">
    <w:name w:val="Hyperlink"/>
    <w:unhideWhenUsed/>
    <w:rsid w:val="0087305F"/>
    <w:rPr>
      <w:color w:val="0000FF"/>
      <w:u w:val="single"/>
    </w:rPr>
  </w:style>
  <w:style w:type="paragraph" w:styleId="ListParagraph">
    <w:name w:val="List Paragraph"/>
    <w:basedOn w:val="Normal"/>
    <w:uiPriority w:val="34"/>
    <w:qFormat/>
    <w:rsid w:val="004D4558"/>
    <w:pPr>
      <w:ind w:left="720"/>
      <w:contextualSpacing/>
    </w:pPr>
  </w:style>
  <w:style w:type="character" w:styleId="UnresolvedMention">
    <w:name w:val="Unresolved Mention"/>
    <w:basedOn w:val="DefaultParagraphFont"/>
    <w:uiPriority w:val="99"/>
    <w:semiHidden/>
    <w:unhideWhenUsed/>
    <w:rsid w:val="000F3672"/>
    <w:rPr>
      <w:color w:val="605E5C"/>
      <w:shd w:val="clear" w:color="auto" w:fill="E1DFDD"/>
    </w:rPr>
  </w:style>
  <w:style w:type="paragraph" w:styleId="Revision">
    <w:name w:val="Revision"/>
    <w:hidden/>
    <w:uiPriority w:val="99"/>
    <w:semiHidden/>
    <w:rsid w:val="00B13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359">
      <w:bodyDiv w:val="1"/>
      <w:marLeft w:val="0"/>
      <w:marRight w:val="0"/>
      <w:marTop w:val="0"/>
      <w:marBottom w:val="0"/>
      <w:divBdr>
        <w:top w:val="none" w:sz="0" w:space="0" w:color="auto"/>
        <w:left w:val="none" w:sz="0" w:space="0" w:color="auto"/>
        <w:bottom w:val="none" w:sz="0" w:space="0" w:color="auto"/>
        <w:right w:val="none" w:sz="0" w:space="0" w:color="auto"/>
      </w:divBdr>
    </w:div>
    <w:div w:id="171916664">
      <w:bodyDiv w:val="1"/>
      <w:marLeft w:val="0"/>
      <w:marRight w:val="0"/>
      <w:marTop w:val="0"/>
      <w:marBottom w:val="0"/>
      <w:divBdr>
        <w:top w:val="none" w:sz="0" w:space="0" w:color="auto"/>
        <w:left w:val="none" w:sz="0" w:space="0" w:color="auto"/>
        <w:bottom w:val="none" w:sz="0" w:space="0" w:color="auto"/>
        <w:right w:val="none" w:sz="0" w:space="0" w:color="auto"/>
      </w:divBdr>
    </w:div>
    <w:div w:id="321927970">
      <w:bodyDiv w:val="1"/>
      <w:marLeft w:val="0"/>
      <w:marRight w:val="0"/>
      <w:marTop w:val="0"/>
      <w:marBottom w:val="0"/>
      <w:divBdr>
        <w:top w:val="none" w:sz="0" w:space="0" w:color="auto"/>
        <w:left w:val="none" w:sz="0" w:space="0" w:color="auto"/>
        <w:bottom w:val="none" w:sz="0" w:space="0" w:color="auto"/>
        <w:right w:val="none" w:sz="0" w:space="0" w:color="auto"/>
      </w:divBdr>
    </w:div>
    <w:div w:id="539125975">
      <w:bodyDiv w:val="1"/>
      <w:marLeft w:val="0"/>
      <w:marRight w:val="0"/>
      <w:marTop w:val="0"/>
      <w:marBottom w:val="0"/>
      <w:divBdr>
        <w:top w:val="none" w:sz="0" w:space="0" w:color="auto"/>
        <w:left w:val="none" w:sz="0" w:space="0" w:color="auto"/>
        <w:bottom w:val="none" w:sz="0" w:space="0" w:color="auto"/>
        <w:right w:val="none" w:sz="0" w:space="0" w:color="auto"/>
      </w:divBdr>
    </w:div>
    <w:div w:id="561059807">
      <w:bodyDiv w:val="1"/>
      <w:marLeft w:val="0"/>
      <w:marRight w:val="0"/>
      <w:marTop w:val="0"/>
      <w:marBottom w:val="0"/>
      <w:divBdr>
        <w:top w:val="none" w:sz="0" w:space="0" w:color="auto"/>
        <w:left w:val="none" w:sz="0" w:space="0" w:color="auto"/>
        <w:bottom w:val="none" w:sz="0" w:space="0" w:color="auto"/>
        <w:right w:val="none" w:sz="0" w:space="0" w:color="auto"/>
      </w:divBdr>
    </w:div>
    <w:div w:id="941766441">
      <w:bodyDiv w:val="1"/>
      <w:marLeft w:val="0"/>
      <w:marRight w:val="0"/>
      <w:marTop w:val="0"/>
      <w:marBottom w:val="0"/>
      <w:divBdr>
        <w:top w:val="none" w:sz="0" w:space="0" w:color="auto"/>
        <w:left w:val="none" w:sz="0" w:space="0" w:color="auto"/>
        <w:bottom w:val="none" w:sz="0" w:space="0" w:color="auto"/>
        <w:right w:val="none" w:sz="0" w:space="0" w:color="auto"/>
      </w:divBdr>
    </w:div>
    <w:div w:id="1028137541">
      <w:bodyDiv w:val="1"/>
      <w:marLeft w:val="0"/>
      <w:marRight w:val="0"/>
      <w:marTop w:val="0"/>
      <w:marBottom w:val="0"/>
      <w:divBdr>
        <w:top w:val="none" w:sz="0" w:space="0" w:color="auto"/>
        <w:left w:val="none" w:sz="0" w:space="0" w:color="auto"/>
        <w:bottom w:val="none" w:sz="0" w:space="0" w:color="auto"/>
        <w:right w:val="none" w:sz="0" w:space="0" w:color="auto"/>
      </w:divBdr>
    </w:div>
    <w:div w:id="1514802059">
      <w:bodyDiv w:val="1"/>
      <w:marLeft w:val="0"/>
      <w:marRight w:val="0"/>
      <w:marTop w:val="0"/>
      <w:marBottom w:val="0"/>
      <w:divBdr>
        <w:top w:val="none" w:sz="0" w:space="0" w:color="auto"/>
        <w:left w:val="none" w:sz="0" w:space="0" w:color="auto"/>
        <w:bottom w:val="none" w:sz="0" w:space="0" w:color="auto"/>
        <w:right w:val="none" w:sz="0" w:space="0" w:color="auto"/>
      </w:divBdr>
    </w:div>
    <w:div w:id="1547108524">
      <w:bodyDiv w:val="1"/>
      <w:marLeft w:val="0"/>
      <w:marRight w:val="0"/>
      <w:marTop w:val="0"/>
      <w:marBottom w:val="0"/>
      <w:divBdr>
        <w:top w:val="none" w:sz="0" w:space="0" w:color="auto"/>
        <w:left w:val="none" w:sz="0" w:space="0" w:color="auto"/>
        <w:bottom w:val="none" w:sz="0" w:space="0" w:color="auto"/>
        <w:right w:val="none" w:sz="0" w:space="0" w:color="auto"/>
      </w:divBdr>
    </w:div>
    <w:div w:id="1578514725">
      <w:bodyDiv w:val="1"/>
      <w:marLeft w:val="0"/>
      <w:marRight w:val="0"/>
      <w:marTop w:val="0"/>
      <w:marBottom w:val="0"/>
      <w:divBdr>
        <w:top w:val="none" w:sz="0" w:space="0" w:color="auto"/>
        <w:left w:val="none" w:sz="0" w:space="0" w:color="auto"/>
        <w:bottom w:val="none" w:sz="0" w:space="0" w:color="auto"/>
        <w:right w:val="none" w:sz="0" w:space="0" w:color="auto"/>
      </w:divBdr>
    </w:div>
    <w:div w:id="17215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ECA6-204E-49AA-A089-F0F26161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Piccini</dc:creator>
  <cp:keywords/>
  <dc:description/>
  <cp:lastModifiedBy>Dustin Greene</cp:lastModifiedBy>
  <cp:revision>2</cp:revision>
  <cp:lastPrinted>2022-03-21T14:20:00Z</cp:lastPrinted>
  <dcterms:created xsi:type="dcterms:W3CDTF">2023-05-04T12:22:00Z</dcterms:created>
  <dcterms:modified xsi:type="dcterms:W3CDTF">2023-05-04T12:22:00Z</dcterms:modified>
</cp:coreProperties>
</file>