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9B3F" w14:textId="77777777" w:rsidR="00F56D27" w:rsidRPr="006C58E4" w:rsidRDefault="00F56D27">
      <w:pPr>
        <w:rPr>
          <w:rFonts w:ascii="Arial" w:hAnsi="Arial" w:cs="Arial"/>
        </w:rPr>
      </w:pPr>
    </w:p>
    <w:tbl>
      <w:tblPr>
        <w:tblpPr w:leftFromText="180" w:rightFromText="180" w:vertAnchor="text" w:horzAnchor="margin" w:tblpY="66"/>
        <w:tblW w:w="0" w:type="auto"/>
        <w:tblLook w:val="0000" w:firstRow="0" w:lastRow="0" w:firstColumn="0" w:lastColumn="0" w:noHBand="0" w:noVBand="0"/>
      </w:tblPr>
      <w:tblGrid>
        <w:gridCol w:w="2160"/>
        <w:gridCol w:w="4500"/>
        <w:gridCol w:w="3600"/>
      </w:tblGrid>
      <w:tr w:rsidR="00F56D27" w:rsidRPr="006C58E4" w14:paraId="1652DF4C" w14:textId="77777777" w:rsidTr="20C247A6">
        <w:tc>
          <w:tcPr>
            <w:tcW w:w="2160" w:type="dxa"/>
          </w:tcPr>
          <w:p w14:paraId="3120B706" w14:textId="77777777" w:rsidR="00F56D27" w:rsidRPr="006C58E4" w:rsidRDefault="00F56D27">
            <w:pPr>
              <w:rPr>
                <w:rFonts w:ascii="Arial" w:hAnsi="Arial" w:cs="Arial"/>
                <w:lang w:val="fr-FR"/>
              </w:rPr>
            </w:pPr>
            <w:r w:rsidRPr="006C58E4">
              <w:rPr>
                <w:rFonts w:ascii="Arial" w:hAnsi="Arial" w:cs="Arial"/>
                <w:lang w:val="fr-FR"/>
              </w:rPr>
              <w:t>To / Destinataire</w:t>
            </w:r>
          </w:p>
        </w:tc>
        <w:tc>
          <w:tcPr>
            <w:tcW w:w="4500" w:type="dxa"/>
            <w:tcBorders>
              <w:bottom w:val="single" w:sz="4" w:space="0" w:color="auto"/>
            </w:tcBorders>
          </w:tcPr>
          <w:p w14:paraId="4F1A33D3" w14:textId="7380AF80" w:rsidR="00F56D27" w:rsidRPr="006C58E4" w:rsidRDefault="5BB839FC">
            <w:pPr>
              <w:pStyle w:val="Heading2"/>
              <w:rPr>
                <w:rFonts w:ascii="Arial" w:hAnsi="Arial" w:cs="Arial"/>
                <w:color w:val="auto"/>
                <w:lang w:val="fr-FR"/>
              </w:rPr>
            </w:pPr>
            <w:r w:rsidRPr="20C247A6">
              <w:rPr>
                <w:rFonts w:ascii="Arial" w:hAnsi="Arial" w:cs="Arial"/>
                <w:color w:val="auto"/>
                <w:lang w:val="fr-FR"/>
              </w:rPr>
              <w:t>M</w:t>
            </w:r>
            <w:r w:rsidR="40FB14A9" w:rsidRPr="20C247A6">
              <w:rPr>
                <w:rFonts w:ascii="Arial" w:hAnsi="Arial" w:cs="Arial"/>
                <w:color w:val="auto"/>
                <w:lang w:val="fr-FR"/>
              </w:rPr>
              <w:t>ayor and Members of Council</w:t>
            </w:r>
          </w:p>
        </w:tc>
        <w:tc>
          <w:tcPr>
            <w:tcW w:w="3600" w:type="dxa"/>
            <w:tcBorders>
              <w:bottom w:val="single" w:sz="4" w:space="0" w:color="auto"/>
            </w:tcBorders>
          </w:tcPr>
          <w:p w14:paraId="3B430CE7" w14:textId="77777777" w:rsidR="00F56D27" w:rsidRPr="006C58E4" w:rsidRDefault="00F56D27">
            <w:pPr>
              <w:rPr>
                <w:rFonts w:ascii="Arial" w:hAnsi="Arial" w:cs="Arial"/>
                <w:lang w:val="fr-FR"/>
              </w:rPr>
            </w:pPr>
            <w:r w:rsidRPr="006C58E4">
              <w:rPr>
                <w:rFonts w:ascii="Arial" w:hAnsi="Arial" w:cs="Arial"/>
                <w:lang w:val="fr-FR"/>
              </w:rPr>
              <w:t xml:space="preserve">File/N° de </w:t>
            </w:r>
            <w:proofErr w:type="gramStart"/>
            <w:r w:rsidRPr="006C58E4">
              <w:rPr>
                <w:rFonts w:ascii="Arial" w:hAnsi="Arial" w:cs="Arial"/>
                <w:lang w:val="fr-FR"/>
              </w:rPr>
              <w:t>fichier:</w:t>
            </w:r>
            <w:proofErr w:type="gramEnd"/>
            <w:r w:rsidRPr="006C58E4">
              <w:rPr>
                <w:rFonts w:ascii="Arial" w:hAnsi="Arial" w:cs="Arial"/>
                <w:lang w:val="fr-FR"/>
              </w:rPr>
              <w:t xml:space="preserve"> </w:t>
            </w:r>
            <w:bookmarkStart w:id="0" w:name="FileNum"/>
            <w:bookmarkEnd w:id="0"/>
            <w:r w:rsidRPr="006C58E4">
              <w:rPr>
                <w:rFonts w:ascii="Arial" w:hAnsi="Arial" w:cs="Arial"/>
                <w:lang w:val="fr-FR"/>
              </w:rPr>
              <w:t xml:space="preserve"> </w:t>
            </w:r>
          </w:p>
        </w:tc>
      </w:tr>
      <w:tr w:rsidR="0062357A" w:rsidRPr="006C58E4" w14:paraId="3327CCE8" w14:textId="77777777" w:rsidTr="20C247A6">
        <w:tc>
          <w:tcPr>
            <w:tcW w:w="2160" w:type="dxa"/>
          </w:tcPr>
          <w:p w14:paraId="044D373C" w14:textId="77777777" w:rsidR="0062357A" w:rsidRPr="006C58E4" w:rsidRDefault="0062357A">
            <w:pPr>
              <w:rPr>
                <w:rFonts w:ascii="Arial" w:hAnsi="Arial" w:cs="Arial"/>
                <w:lang w:val="fr-FR"/>
              </w:rPr>
            </w:pPr>
          </w:p>
        </w:tc>
        <w:tc>
          <w:tcPr>
            <w:tcW w:w="4500" w:type="dxa"/>
            <w:tcBorders>
              <w:top w:val="single" w:sz="4" w:space="0" w:color="auto"/>
            </w:tcBorders>
          </w:tcPr>
          <w:p w14:paraId="214CBD5C" w14:textId="77777777" w:rsidR="0062357A" w:rsidRPr="006C58E4" w:rsidRDefault="0062357A">
            <w:pPr>
              <w:pStyle w:val="Heading2"/>
              <w:rPr>
                <w:rFonts w:ascii="Arial" w:hAnsi="Arial" w:cs="Arial"/>
                <w:vanish w:val="0"/>
                <w:color w:val="auto"/>
                <w:lang w:val="fr-FR"/>
              </w:rPr>
            </w:pPr>
          </w:p>
        </w:tc>
        <w:tc>
          <w:tcPr>
            <w:tcW w:w="3600" w:type="dxa"/>
            <w:tcBorders>
              <w:top w:val="single" w:sz="4" w:space="0" w:color="auto"/>
            </w:tcBorders>
          </w:tcPr>
          <w:p w14:paraId="18092D9E" w14:textId="77777777" w:rsidR="0062357A" w:rsidRPr="006C58E4" w:rsidRDefault="0062357A">
            <w:pPr>
              <w:rPr>
                <w:rFonts w:ascii="Arial" w:hAnsi="Arial" w:cs="Arial"/>
                <w:lang w:val="fr-FR"/>
              </w:rPr>
            </w:pPr>
          </w:p>
        </w:tc>
      </w:tr>
      <w:tr w:rsidR="00F56D27" w:rsidRPr="006C58E4" w14:paraId="1F21DE4D" w14:textId="77777777" w:rsidTr="20C247A6">
        <w:tc>
          <w:tcPr>
            <w:tcW w:w="2160" w:type="dxa"/>
          </w:tcPr>
          <w:p w14:paraId="18ECB733" w14:textId="77777777" w:rsidR="00F56D27" w:rsidRPr="006C58E4" w:rsidRDefault="00F56D27">
            <w:pPr>
              <w:rPr>
                <w:rFonts w:ascii="Arial" w:hAnsi="Arial" w:cs="Arial"/>
                <w:lang w:val="fr-FR"/>
              </w:rPr>
            </w:pPr>
            <w:proofErr w:type="spellStart"/>
            <w:r w:rsidRPr="006C58E4">
              <w:rPr>
                <w:rFonts w:ascii="Arial" w:hAnsi="Arial" w:cs="Arial"/>
                <w:lang w:val="fr-FR"/>
              </w:rPr>
              <w:t>From</w:t>
            </w:r>
            <w:proofErr w:type="spellEnd"/>
            <w:r w:rsidRPr="006C58E4">
              <w:rPr>
                <w:rFonts w:ascii="Arial" w:hAnsi="Arial" w:cs="Arial"/>
                <w:lang w:val="fr-FR"/>
              </w:rPr>
              <w:t xml:space="preserve"> / Expéditeur  </w:t>
            </w:r>
          </w:p>
        </w:tc>
        <w:tc>
          <w:tcPr>
            <w:tcW w:w="4500" w:type="dxa"/>
            <w:tcBorders>
              <w:bottom w:val="single" w:sz="4" w:space="0" w:color="auto"/>
            </w:tcBorders>
          </w:tcPr>
          <w:p w14:paraId="7A46B716" w14:textId="7D17FC5B" w:rsidR="00F56D27" w:rsidRPr="006C58E4" w:rsidRDefault="34CA350B" w:rsidP="20C247A6">
            <w:pPr>
              <w:pStyle w:val="Heading2"/>
              <w:rPr>
                <w:rFonts w:ascii="Arial" w:hAnsi="Arial" w:cs="Arial"/>
                <w:color w:val="auto"/>
                <w:lang w:val="fr-FR"/>
              </w:rPr>
            </w:pPr>
            <w:r w:rsidRPr="20C247A6">
              <w:rPr>
                <w:rFonts w:ascii="Arial" w:hAnsi="Arial" w:cs="Arial"/>
                <w:color w:val="auto"/>
                <w:lang w:val="fr-FR"/>
              </w:rPr>
              <w:t xml:space="preserve">Don Herweyer, </w:t>
            </w:r>
          </w:p>
          <w:p w14:paraId="64F5A98D" w14:textId="0D5E1A43" w:rsidR="00F56D27" w:rsidRPr="006C58E4" w:rsidRDefault="34CA350B" w:rsidP="20C247A6">
            <w:pPr>
              <w:pStyle w:val="Heading2"/>
              <w:rPr>
                <w:rFonts w:ascii="Arial" w:hAnsi="Arial" w:cs="Arial"/>
                <w:color w:val="auto"/>
                <w:lang w:val="fr-FR"/>
              </w:rPr>
            </w:pPr>
            <w:r w:rsidRPr="20C247A6">
              <w:rPr>
                <w:rFonts w:ascii="Arial" w:hAnsi="Arial" w:cs="Arial"/>
                <w:color w:val="auto"/>
                <w:lang w:val="fr-FR"/>
              </w:rPr>
              <w:t xml:space="preserve">Interim General Manager, </w:t>
            </w:r>
          </w:p>
          <w:p w14:paraId="4C3CEDFA" w14:textId="43057E40" w:rsidR="00F56D27" w:rsidRPr="006C58E4" w:rsidRDefault="34CA350B">
            <w:pPr>
              <w:pStyle w:val="Heading2"/>
              <w:rPr>
                <w:rFonts w:ascii="Arial" w:hAnsi="Arial" w:cs="Arial"/>
                <w:color w:val="auto"/>
                <w:lang w:val="fr-FR"/>
              </w:rPr>
            </w:pPr>
            <w:r w:rsidRPr="20C247A6">
              <w:rPr>
                <w:rFonts w:ascii="Arial" w:hAnsi="Arial" w:cs="Arial"/>
                <w:color w:val="auto"/>
                <w:lang w:val="fr-FR"/>
              </w:rPr>
              <w:t>Planning, Real Estate and Economic Development Department</w:t>
            </w:r>
          </w:p>
        </w:tc>
        <w:tc>
          <w:tcPr>
            <w:tcW w:w="3600" w:type="dxa"/>
            <w:tcBorders>
              <w:bottom w:val="single" w:sz="4" w:space="0" w:color="auto"/>
            </w:tcBorders>
          </w:tcPr>
          <w:p w14:paraId="5882707A" w14:textId="77777777" w:rsidR="00F56D27" w:rsidRPr="006C58E4" w:rsidRDefault="00F56D27">
            <w:pPr>
              <w:rPr>
                <w:rFonts w:ascii="Arial" w:hAnsi="Arial" w:cs="Arial"/>
                <w:lang w:val="fr-FR"/>
              </w:rPr>
            </w:pPr>
          </w:p>
        </w:tc>
      </w:tr>
      <w:tr w:rsidR="0062357A" w:rsidRPr="006C58E4" w14:paraId="09EA8AD2" w14:textId="77777777" w:rsidTr="20C247A6">
        <w:tc>
          <w:tcPr>
            <w:tcW w:w="2160" w:type="dxa"/>
          </w:tcPr>
          <w:p w14:paraId="7159EB9D" w14:textId="77777777" w:rsidR="0062357A" w:rsidRPr="006C58E4" w:rsidRDefault="0062357A">
            <w:pPr>
              <w:rPr>
                <w:rFonts w:ascii="Arial" w:hAnsi="Arial" w:cs="Arial"/>
                <w:lang w:val="fr-FR"/>
              </w:rPr>
            </w:pPr>
          </w:p>
        </w:tc>
        <w:tc>
          <w:tcPr>
            <w:tcW w:w="4500" w:type="dxa"/>
            <w:tcBorders>
              <w:top w:val="single" w:sz="4" w:space="0" w:color="auto"/>
            </w:tcBorders>
          </w:tcPr>
          <w:p w14:paraId="21B0D65B" w14:textId="77777777" w:rsidR="0062357A" w:rsidRPr="006C58E4" w:rsidRDefault="0062357A">
            <w:pPr>
              <w:pStyle w:val="Heading2"/>
              <w:rPr>
                <w:rFonts w:ascii="Arial" w:hAnsi="Arial" w:cs="Arial"/>
                <w:vanish w:val="0"/>
                <w:color w:val="auto"/>
                <w:lang w:val="fr-FR"/>
              </w:rPr>
            </w:pPr>
          </w:p>
        </w:tc>
        <w:tc>
          <w:tcPr>
            <w:tcW w:w="3600" w:type="dxa"/>
            <w:tcBorders>
              <w:top w:val="single" w:sz="4" w:space="0" w:color="auto"/>
            </w:tcBorders>
          </w:tcPr>
          <w:p w14:paraId="181C1F54" w14:textId="77777777" w:rsidR="0062357A" w:rsidRPr="006C58E4" w:rsidRDefault="0062357A">
            <w:pPr>
              <w:rPr>
                <w:rFonts w:ascii="Arial" w:hAnsi="Arial" w:cs="Arial"/>
                <w:lang w:val="fr-FR"/>
              </w:rPr>
            </w:pPr>
          </w:p>
        </w:tc>
      </w:tr>
      <w:tr w:rsidR="00F56D27" w:rsidRPr="006C58E4" w14:paraId="46133670" w14:textId="77777777" w:rsidTr="20C247A6">
        <w:tc>
          <w:tcPr>
            <w:tcW w:w="2160" w:type="dxa"/>
          </w:tcPr>
          <w:p w14:paraId="05DC61B3" w14:textId="77777777" w:rsidR="00F56D27" w:rsidRPr="006C58E4" w:rsidRDefault="00F56D27">
            <w:pPr>
              <w:rPr>
                <w:rFonts w:ascii="Arial" w:hAnsi="Arial" w:cs="Arial"/>
                <w:lang w:val="fr-FR"/>
              </w:rPr>
            </w:pPr>
            <w:proofErr w:type="spellStart"/>
            <w:r w:rsidRPr="006C58E4">
              <w:rPr>
                <w:rFonts w:ascii="Arial" w:hAnsi="Arial" w:cs="Arial"/>
                <w:lang w:val="fr-FR"/>
              </w:rPr>
              <w:t>Subject</w:t>
            </w:r>
            <w:proofErr w:type="spellEnd"/>
            <w:r w:rsidRPr="006C58E4">
              <w:rPr>
                <w:rFonts w:ascii="Arial" w:hAnsi="Arial" w:cs="Arial"/>
                <w:lang w:val="fr-FR"/>
              </w:rPr>
              <w:t xml:space="preserve"> / Objet</w:t>
            </w:r>
          </w:p>
        </w:tc>
        <w:tc>
          <w:tcPr>
            <w:tcW w:w="4500" w:type="dxa"/>
            <w:tcBorders>
              <w:bottom w:val="single" w:sz="12" w:space="0" w:color="auto"/>
            </w:tcBorders>
          </w:tcPr>
          <w:p w14:paraId="729CC779" w14:textId="5382058B" w:rsidR="00F56D27" w:rsidRPr="006C58E4" w:rsidRDefault="79BA6751">
            <w:pPr>
              <w:pStyle w:val="Heading2"/>
              <w:rPr>
                <w:rFonts w:ascii="Arial" w:hAnsi="Arial" w:cs="Arial"/>
                <w:color w:val="auto"/>
                <w:lang w:val="fr-FR"/>
              </w:rPr>
            </w:pPr>
            <w:bookmarkStart w:id="1" w:name="SubjLine"/>
            <w:bookmarkEnd w:id="1"/>
            <w:r w:rsidRPr="20C247A6">
              <w:rPr>
                <w:rFonts w:ascii="Arial" w:hAnsi="Arial" w:cs="Arial"/>
                <w:color w:val="auto"/>
                <w:lang w:val="fr-FR"/>
              </w:rPr>
              <w:t>Affordable Housing Definition for Development Charges Exemptions</w:t>
            </w:r>
          </w:p>
        </w:tc>
        <w:tc>
          <w:tcPr>
            <w:tcW w:w="3600" w:type="dxa"/>
            <w:tcBorders>
              <w:bottom w:val="single" w:sz="12" w:space="0" w:color="auto"/>
            </w:tcBorders>
          </w:tcPr>
          <w:p w14:paraId="039D56AF" w14:textId="77777777" w:rsidR="00F56D27" w:rsidRPr="006C58E4" w:rsidRDefault="00F56D27" w:rsidP="00397B0C">
            <w:pPr>
              <w:rPr>
                <w:rFonts w:ascii="Arial" w:hAnsi="Arial" w:cs="Arial"/>
                <w:lang w:val="fr-FR"/>
              </w:rPr>
            </w:pPr>
            <w:proofErr w:type="gramStart"/>
            <w:r w:rsidRPr="006C58E4">
              <w:rPr>
                <w:rFonts w:ascii="Arial" w:hAnsi="Arial" w:cs="Arial"/>
                <w:lang w:val="fr-FR"/>
              </w:rPr>
              <w:t>Date:</w:t>
            </w:r>
            <w:proofErr w:type="gramEnd"/>
            <w:r w:rsidRPr="006C58E4">
              <w:rPr>
                <w:rFonts w:ascii="Arial" w:hAnsi="Arial" w:cs="Arial"/>
                <w:lang w:val="fr-FR"/>
              </w:rPr>
              <w:t xml:space="preserve"> </w:t>
            </w:r>
            <w:bookmarkStart w:id="2" w:name="Date"/>
            <w:bookmarkEnd w:id="2"/>
          </w:p>
        </w:tc>
      </w:tr>
    </w:tbl>
    <w:p w14:paraId="6A1C4FBC" w14:textId="77777777" w:rsidR="00F56D27" w:rsidRPr="006C58E4" w:rsidRDefault="00F56D27">
      <w:pPr>
        <w:rPr>
          <w:rFonts w:ascii="Arial" w:hAnsi="Arial" w:cs="Arial"/>
        </w:rPr>
      </w:pPr>
    </w:p>
    <w:p w14:paraId="5B2BD276" w14:textId="77777777" w:rsidR="00F56D27" w:rsidRPr="006C58E4" w:rsidRDefault="00F56D27">
      <w:pPr>
        <w:rPr>
          <w:rFonts w:ascii="Arial" w:hAnsi="Arial" w:cs="Arial"/>
        </w:rPr>
      </w:pPr>
    </w:p>
    <w:p w14:paraId="71508832" w14:textId="75927BD4" w:rsidR="73D8030F" w:rsidRDefault="73D8030F" w:rsidP="20C247A6">
      <w:pPr>
        <w:rPr>
          <w:rFonts w:ascii="Arial" w:eastAsia="Arial" w:hAnsi="Arial" w:cs="Arial"/>
        </w:rPr>
      </w:pPr>
      <w:r w:rsidRPr="20C247A6">
        <w:rPr>
          <w:rFonts w:ascii="Arial" w:eastAsia="Arial" w:hAnsi="Arial" w:cs="Arial"/>
          <w:color w:val="000000" w:themeColor="text1"/>
          <w:lang w:val="en"/>
        </w:rPr>
        <w:t>The Ministry of Municipal Affairs and Housing (MMAH) is proposing to amend the </w:t>
      </w:r>
      <w:r w:rsidRPr="20C247A6">
        <w:rPr>
          <w:rFonts w:ascii="Arial" w:eastAsia="Arial" w:hAnsi="Arial" w:cs="Arial"/>
          <w:i/>
          <w:iCs/>
          <w:color w:val="000000" w:themeColor="text1"/>
          <w:lang w:val="en"/>
        </w:rPr>
        <w:t>Development Charges Act, 1997</w:t>
      </w:r>
      <w:r w:rsidRPr="20C247A6">
        <w:rPr>
          <w:rFonts w:ascii="Arial" w:eastAsia="Arial" w:hAnsi="Arial" w:cs="Arial"/>
          <w:color w:val="000000" w:themeColor="text1"/>
          <w:lang w:val="en"/>
        </w:rPr>
        <w:t> (DCA) to change the definition of an affordable residential unit for the purpose of discounting and exempting these units from municipal development-related charges (MDRCs). MDRCs are development charges, community benefits charges, and parkland dedication requirements. The proposed new definition would consider the housing costs that are affordable for households that, in the Minister of Municipal Affairs and Housing’s opinion, are in the 60</w:t>
      </w:r>
      <w:r w:rsidRPr="20C247A6">
        <w:rPr>
          <w:rFonts w:ascii="Arial" w:eastAsia="Arial" w:hAnsi="Arial" w:cs="Arial"/>
          <w:color w:val="000000" w:themeColor="text1"/>
          <w:vertAlign w:val="superscript"/>
          <w:lang w:val="en"/>
        </w:rPr>
        <w:t>th</w:t>
      </w:r>
      <w:r w:rsidRPr="20C247A6">
        <w:rPr>
          <w:rFonts w:ascii="Arial" w:eastAsia="Arial" w:hAnsi="Arial" w:cs="Arial"/>
          <w:color w:val="000000" w:themeColor="text1"/>
          <w:lang w:val="en"/>
        </w:rPr>
        <w:t> percentile of gross annual income in the applicable local municipality.</w:t>
      </w:r>
    </w:p>
    <w:p w14:paraId="0F180A95" w14:textId="1A4BFCBE" w:rsidR="002F469B" w:rsidRDefault="002F469B">
      <w:pPr>
        <w:rPr>
          <w:rFonts w:ascii="Arial" w:hAnsi="Arial" w:cs="Arial"/>
        </w:rPr>
      </w:pPr>
    </w:p>
    <w:p w14:paraId="7FD9A141" w14:textId="498DE8E7" w:rsidR="002F469B" w:rsidRDefault="002F469B" w:rsidP="20C247A6">
      <w:pPr>
        <w:rPr>
          <w:rFonts w:ascii="Arial" w:eastAsia="Arial" w:hAnsi="Arial" w:cs="Arial"/>
          <w:color w:val="000000" w:themeColor="text1"/>
        </w:rPr>
      </w:pPr>
      <w:r w:rsidRPr="20C247A6">
        <w:rPr>
          <w:rFonts w:ascii="Arial" w:hAnsi="Arial" w:cs="Arial"/>
        </w:rPr>
        <w:t xml:space="preserve">Staff would like to inform Council of </w:t>
      </w:r>
      <w:r w:rsidR="72DBEDD5" w:rsidRPr="20C247A6">
        <w:rPr>
          <w:rFonts w:ascii="Arial" w:hAnsi="Arial" w:cs="Arial"/>
        </w:rPr>
        <w:t xml:space="preserve">its analysis on </w:t>
      </w:r>
      <w:r w:rsidRPr="20C247A6">
        <w:rPr>
          <w:rFonts w:ascii="Arial" w:hAnsi="Arial" w:cs="Arial"/>
        </w:rPr>
        <w:t>Bill 134</w:t>
      </w:r>
      <w:r w:rsidR="327CE841" w:rsidRPr="20C247A6">
        <w:rPr>
          <w:rFonts w:ascii="Arial" w:hAnsi="Arial" w:cs="Arial"/>
        </w:rPr>
        <w:t xml:space="preserve"> and the comment </w:t>
      </w:r>
      <w:r w:rsidR="15643ABC" w:rsidRPr="20C247A6">
        <w:rPr>
          <w:rFonts w:ascii="Arial" w:hAnsi="Arial" w:cs="Arial"/>
        </w:rPr>
        <w:t>provided</w:t>
      </w:r>
      <w:r w:rsidR="327CE841" w:rsidRPr="20C247A6">
        <w:rPr>
          <w:rFonts w:ascii="Arial" w:hAnsi="Arial" w:cs="Arial"/>
        </w:rPr>
        <w:t xml:space="preserve"> to</w:t>
      </w:r>
      <w:r w:rsidR="68820335" w:rsidRPr="20C247A6">
        <w:rPr>
          <w:rFonts w:ascii="Arial" w:eastAsia="Arial" w:hAnsi="Arial" w:cs="Arial"/>
          <w:color w:val="000000" w:themeColor="text1"/>
        </w:rPr>
        <w:t xml:space="preserve"> the Province on </w:t>
      </w:r>
      <w:hyperlink r:id="rId10">
        <w:r w:rsidR="68820335" w:rsidRPr="20C247A6">
          <w:rPr>
            <w:rStyle w:val="Hyperlink"/>
            <w:rFonts w:ascii="Arial" w:eastAsia="Arial" w:hAnsi="Arial" w:cs="Arial"/>
            <w:lang w:val="en"/>
          </w:rPr>
          <w:t>ERO#: 019-7669</w:t>
        </w:r>
      </w:hyperlink>
      <w:r w:rsidR="68820335" w:rsidRPr="20C247A6">
        <w:rPr>
          <w:rFonts w:ascii="Arial" w:eastAsia="Arial" w:hAnsi="Arial" w:cs="Arial"/>
          <w:color w:val="000000" w:themeColor="text1"/>
        </w:rPr>
        <w:t xml:space="preserve"> </w:t>
      </w:r>
      <w:r w:rsidR="104F137E" w:rsidRPr="20C247A6">
        <w:rPr>
          <w:rFonts w:ascii="Arial" w:eastAsia="Arial" w:hAnsi="Arial" w:cs="Arial"/>
          <w:color w:val="000000" w:themeColor="text1"/>
        </w:rPr>
        <w:t xml:space="preserve">which was due and submitted on </w:t>
      </w:r>
      <w:r w:rsidR="68820335" w:rsidRPr="20C247A6">
        <w:rPr>
          <w:rFonts w:ascii="Arial" w:eastAsia="Arial" w:hAnsi="Arial" w:cs="Arial"/>
          <w:color w:val="000000" w:themeColor="text1"/>
        </w:rPr>
        <w:t>October 27, 2023.</w:t>
      </w:r>
    </w:p>
    <w:p w14:paraId="32B68A09" w14:textId="456BAD41" w:rsidR="002F469B" w:rsidRDefault="002F469B" w:rsidP="20C247A6">
      <w:pPr>
        <w:rPr>
          <w:rFonts w:ascii="Arial" w:hAnsi="Arial" w:cs="Arial"/>
        </w:rPr>
      </w:pPr>
    </w:p>
    <w:p w14:paraId="28B032D9" w14:textId="3AC70037" w:rsidR="002F469B" w:rsidRDefault="006C45FD">
      <w:pPr>
        <w:rPr>
          <w:rFonts w:ascii="Arial" w:hAnsi="Arial" w:cs="Arial"/>
        </w:rPr>
      </w:pPr>
      <w:r w:rsidRPr="20C247A6">
        <w:rPr>
          <w:rFonts w:ascii="Arial" w:hAnsi="Arial" w:cs="Arial"/>
        </w:rPr>
        <w:t>We have</w:t>
      </w:r>
      <w:r w:rsidR="00BF45FA" w:rsidRPr="20C247A6">
        <w:rPr>
          <w:rFonts w:ascii="Arial" w:hAnsi="Arial" w:cs="Arial"/>
        </w:rPr>
        <w:t xml:space="preserve"> prepared some analysis of the implications of this legislation in </w:t>
      </w:r>
      <w:r w:rsidR="456133A6" w:rsidRPr="20C247A6">
        <w:rPr>
          <w:rFonts w:ascii="Arial" w:hAnsi="Arial" w:cs="Arial"/>
        </w:rPr>
        <w:t>A</w:t>
      </w:r>
      <w:r w:rsidR="00BF45FA" w:rsidRPr="20C247A6">
        <w:rPr>
          <w:rFonts w:ascii="Arial" w:hAnsi="Arial" w:cs="Arial"/>
        </w:rPr>
        <w:t>ppendix A.</w:t>
      </w:r>
    </w:p>
    <w:p w14:paraId="4C531E70" w14:textId="77777777" w:rsidR="00BF45FA" w:rsidRDefault="00BF45FA">
      <w:pPr>
        <w:rPr>
          <w:rFonts w:ascii="Arial" w:hAnsi="Arial" w:cs="Arial"/>
        </w:rPr>
      </w:pPr>
    </w:p>
    <w:p w14:paraId="0366EF4F" w14:textId="62F6952D" w:rsidR="7214C83E" w:rsidRDefault="7214C83E" w:rsidP="20C247A6">
      <w:pPr>
        <w:spacing w:after="160" w:line="259" w:lineRule="auto"/>
        <w:rPr>
          <w:rFonts w:ascii="Arial" w:eastAsia="Arial" w:hAnsi="Arial" w:cs="Arial"/>
          <w:color w:val="000000" w:themeColor="text1"/>
        </w:rPr>
      </w:pPr>
      <w:r w:rsidRPr="20C247A6">
        <w:rPr>
          <w:rFonts w:ascii="Arial" w:eastAsia="Arial" w:hAnsi="Arial" w:cs="Arial"/>
          <w:color w:val="000000" w:themeColor="text1"/>
        </w:rPr>
        <w:t xml:space="preserve">Affordable residential units that meet the province’s </w:t>
      </w:r>
      <w:r w:rsidR="1B3C9341" w:rsidRPr="20C247A6">
        <w:rPr>
          <w:rFonts w:ascii="Arial" w:eastAsia="Arial" w:hAnsi="Arial" w:cs="Arial"/>
          <w:color w:val="000000" w:themeColor="text1"/>
        </w:rPr>
        <w:t xml:space="preserve">new </w:t>
      </w:r>
      <w:r w:rsidRPr="20C247A6">
        <w:rPr>
          <w:rFonts w:ascii="Arial" w:eastAsia="Arial" w:hAnsi="Arial" w:cs="Arial"/>
          <w:color w:val="000000" w:themeColor="text1"/>
        </w:rPr>
        <w:t>definition would be eligible for discounts and exemptions from MDRCs, to help lower the cost of building, purchasing, and renting affordable homes across the province.</w:t>
      </w:r>
      <w:r w:rsidR="7A8F05D9" w:rsidRPr="20C247A6">
        <w:rPr>
          <w:rFonts w:ascii="Arial" w:eastAsia="Arial" w:hAnsi="Arial" w:cs="Arial"/>
          <w:color w:val="000000" w:themeColor="text1"/>
        </w:rPr>
        <w:t xml:space="preserve"> </w:t>
      </w:r>
      <w:r w:rsidRPr="20C247A6">
        <w:rPr>
          <w:rFonts w:ascii="Arial" w:eastAsia="Arial" w:hAnsi="Arial" w:cs="Arial"/>
          <w:color w:val="000000" w:themeColor="text1"/>
        </w:rPr>
        <w:t>This change would help to enable more Ontarians to find an affordable home based on their household income.</w:t>
      </w:r>
    </w:p>
    <w:p w14:paraId="63E07114" w14:textId="30FF10CE" w:rsidR="00CC74EF" w:rsidRDefault="00CC74EF">
      <w:pPr>
        <w:rPr>
          <w:rFonts w:ascii="Arial" w:hAnsi="Arial" w:cs="Arial"/>
        </w:rPr>
      </w:pPr>
      <w:r w:rsidRPr="20C247A6">
        <w:rPr>
          <w:rFonts w:ascii="Arial" w:hAnsi="Arial" w:cs="Arial"/>
        </w:rPr>
        <w:t>The main comment</w:t>
      </w:r>
      <w:r w:rsidR="7F65864E" w:rsidRPr="20C247A6">
        <w:rPr>
          <w:rFonts w:ascii="Arial" w:hAnsi="Arial" w:cs="Arial"/>
        </w:rPr>
        <w:t>s</w:t>
      </w:r>
      <w:r w:rsidRPr="20C247A6">
        <w:rPr>
          <w:rFonts w:ascii="Arial" w:hAnsi="Arial" w:cs="Arial"/>
        </w:rPr>
        <w:t xml:space="preserve"> to the province </w:t>
      </w:r>
      <w:r w:rsidR="489B244F" w:rsidRPr="20C247A6">
        <w:rPr>
          <w:rFonts w:ascii="Arial" w:hAnsi="Arial" w:cs="Arial"/>
        </w:rPr>
        <w:t>we</w:t>
      </w:r>
      <w:r w:rsidRPr="20C247A6">
        <w:rPr>
          <w:rFonts w:ascii="Arial" w:hAnsi="Arial" w:cs="Arial"/>
        </w:rPr>
        <w:t>re:</w:t>
      </w:r>
    </w:p>
    <w:p w14:paraId="6062B6F3" w14:textId="2A978827" w:rsidR="00CC74EF" w:rsidRDefault="19E1D887" w:rsidP="20C247A6">
      <w:pPr>
        <w:pStyle w:val="ListParagraph"/>
        <w:numPr>
          <w:ilvl w:val="0"/>
          <w:numId w:val="1"/>
        </w:numPr>
        <w:rPr>
          <w:rFonts w:ascii="Arial" w:hAnsi="Arial" w:cs="Arial"/>
        </w:rPr>
      </w:pPr>
      <w:r w:rsidRPr="20C247A6">
        <w:rPr>
          <w:rFonts w:ascii="Arial" w:hAnsi="Arial" w:cs="Arial"/>
        </w:rPr>
        <w:t xml:space="preserve">Staff support the intent of the change of definition towards renter income </w:t>
      </w:r>
      <w:proofErr w:type="gramStart"/>
      <w:r w:rsidRPr="20C247A6">
        <w:rPr>
          <w:rFonts w:ascii="Arial" w:hAnsi="Arial" w:cs="Arial"/>
        </w:rPr>
        <w:t>households</w:t>
      </w:r>
      <w:proofErr w:type="gramEnd"/>
    </w:p>
    <w:p w14:paraId="5DA17292" w14:textId="43BCD70F" w:rsidR="00CC74EF" w:rsidRDefault="67FBE703" w:rsidP="20C247A6">
      <w:pPr>
        <w:pStyle w:val="ListParagraph"/>
        <w:numPr>
          <w:ilvl w:val="0"/>
          <w:numId w:val="1"/>
        </w:numPr>
        <w:rPr>
          <w:rFonts w:ascii="Arial" w:hAnsi="Arial" w:cs="Arial"/>
        </w:rPr>
      </w:pPr>
      <w:r w:rsidRPr="20C247A6">
        <w:rPr>
          <w:rFonts w:ascii="Arial" w:hAnsi="Arial" w:cs="Arial"/>
        </w:rPr>
        <w:t>Staff would like to raise that the new definition does not speak to unit size and may disincentiv</w:t>
      </w:r>
      <w:r w:rsidR="6AA3E386" w:rsidRPr="20C247A6">
        <w:rPr>
          <w:rFonts w:ascii="Arial" w:hAnsi="Arial" w:cs="Arial"/>
        </w:rPr>
        <w:t>ize units with additional bedrooms.</w:t>
      </w:r>
    </w:p>
    <w:p w14:paraId="60370D19" w14:textId="787A1100" w:rsidR="00CC74EF" w:rsidRDefault="2948C8B8" w:rsidP="20C247A6">
      <w:pPr>
        <w:pStyle w:val="ListParagraph"/>
        <w:numPr>
          <w:ilvl w:val="0"/>
          <w:numId w:val="1"/>
        </w:numPr>
        <w:rPr>
          <w:rFonts w:ascii="Arial" w:hAnsi="Arial" w:cs="Arial"/>
        </w:rPr>
      </w:pPr>
      <w:r w:rsidRPr="20C247A6">
        <w:rPr>
          <w:rFonts w:ascii="Arial" w:hAnsi="Arial" w:cs="Arial"/>
        </w:rPr>
        <w:t xml:space="preserve">Staff would like to raise concerns about </w:t>
      </w:r>
      <w:r w:rsidR="56C382E7" w:rsidRPr="20C247A6">
        <w:rPr>
          <w:rFonts w:ascii="Arial" w:hAnsi="Arial" w:cs="Arial"/>
        </w:rPr>
        <w:t xml:space="preserve">duration of </w:t>
      </w:r>
      <w:r w:rsidRPr="20C247A6">
        <w:rPr>
          <w:rFonts w:ascii="Arial" w:hAnsi="Arial" w:cs="Arial"/>
        </w:rPr>
        <w:t>afford</w:t>
      </w:r>
      <w:r w:rsidR="182A267A" w:rsidRPr="20C247A6">
        <w:rPr>
          <w:rFonts w:ascii="Arial" w:hAnsi="Arial" w:cs="Arial"/>
        </w:rPr>
        <w:t>ab</w:t>
      </w:r>
      <w:r w:rsidRPr="20C247A6">
        <w:rPr>
          <w:rFonts w:ascii="Arial" w:hAnsi="Arial" w:cs="Arial"/>
        </w:rPr>
        <w:t>ility</w:t>
      </w:r>
      <w:r w:rsidR="0F01D1B5" w:rsidRPr="20C247A6">
        <w:rPr>
          <w:rFonts w:ascii="Arial" w:hAnsi="Arial" w:cs="Arial"/>
        </w:rPr>
        <w:t xml:space="preserve"> to ensure that any discounts given translate into affordable units in perpetuity. </w:t>
      </w:r>
    </w:p>
    <w:p w14:paraId="32DA7FC8" w14:textId="5F5FD316" w:rsidR="20C247A6" w:rsidRDefault="20C247A6" w:rsidP="20C247A6">
      <w:pPr>
        <w:rPr>
          <w:rFonts w:ascii="Arial" w:hAnsi="Arial" w:cs="Arial"/>
        </w:rPr>
      </w:pPr>
    </w:p>
    <w:p w14:paraId="60FD62A3" w14:textId="4F236297" w:rsidR="0F01D1B5" w:rsidRDefault="0F01D1B5" w:rsidP="20C247A6">
      <w:pPr>
        <w:rPr>
          <w:rFonts w:ascii="Arial" w:hAnsi="Arial" w:cs="Arial"/>
        </w:rPr>
      </w:pPr>
      <w:r w:rsidRPr="20C247A6">
        <w:rPr>
          <w:rFonts w:ascii="Arial" w:hAnsi="Arial" w:cs="Arial"/>
        </w:rPr>
        <w:t xml:space="preserve">In </w:t>
      </w:r>
      <w:r w:rsidR="74ACA197" w:rsidRPr="20C247A6">
        <w:rPr>
          <w:rFonts w:ascii="Arial" w:hAnsi="Arial" w:cs="Arial"/>
        </w:rPr>
        <w:t>addition,</w:t>
      </w:r>
      <w:r w:rsidRPr="20C247A6">
        <w:rPr>
          <w:rFonts w:ascii="Arial" w:hAnsi="Arial" w:cs="Arial"/>
        </w:rPr>
        <w:t xml:space="preserve"> staff have questions concerning reporting and monitoring which we hope the Province will address through future regulations. </w:t>
      </w:r>
    </w:p>
    <w:p w14:paraId="5AAC8652" w14:textId="7318A611" w:rsidR="20C247A6" w:rsidRDefault="20C247A6" w:rsidP="20C247A6">
      <w:pPr>
        <w:rPr>
          <w:rFonts w:ascii="Arial" w:hAnsi="Arial" w:cs="Arial"/>
        </w:rPr>
      </w:pPr>
    </w:p>
    <w:p w14:paraId="41364FDD" w14:textId="6DAFDFE5" w:rsidR="377EE954" w:rsidRDefault="377EE954" w:rsidP="20C247A6">
      <w:pPr>
        <w:rPr>
          <w:rFonts w:ascii="Arial" w:hAnsi="Arial" w:cs="Arial"/>
        </w:rPr>
      </w:pPr>
      <w:r w:rsidRPr="20C247A6">
        <w:rPr>
          <w:rFonts w:ascii="Arial" w:hAnsi="Arial" w:cs="Arial"/>
        </w:rPr>
        <w:t>Sincerely,</w:t>
      </w:r>
    </w:p>
    <w:p w14:paraId="0C35E167" w14:textId="4D062C69" w:rsidR="20C247A6" w:rsidRDefault="20C247A6" w:rsidP="20C247A6">
      <w:pPr>
        <w:rPr>
          <w:rFonts w:ascii="Arial" w:hAnsi="Arial" w:cs="Arial"/>
        </w:rPr>
      </w:pPr>
    </w:p>
    <w:p w14:paraId="65578E98" w14:textId="27611306" w:rsidR="377EE954" w:rsidRDefault="377EE954" w:rsidP="20C247A6">
      <w:r w:rsidRPr="20C247A6">
        <w:rPr>
          <w:rFonts w:ascii="Arial" w:hAnsi="Arial" w:cs="Arial"/>
        </w:rPr>
        <w:t>Don Herweyer, MCIP, RPP</w:t>
      </w:r>
    </w:p>
    <w:p w14:paraId="52F7A551" w14:textId="5E96AA05" w:rsidR="377EE954" w:rsidRDefault="377EE954" w:rsidP="20C247A6">
      <w:r w:rsidRPr="20C247A6">
        <w:rPr>
          <w:rFonts w:ascii="Arial" w:hAnsi="Arial" w:cs="Arial"/>
        </w:rPr>
        <w:lastRenderedPageBreak/>
        <w:t>Interim General Manager, Planning, Real Estate and Economic Development Department</w:t>
      </w:r>
    </w:p>
    <w:p w14:paraId="5D4615D1" w14:textId="77777777" w:rsidR="00F56D27" w:rsidRDefault="00F56D27">
      <w:pPr>
        <w:rPr>
          <w:rFonts w:ascii="Arial" w:hAnsi="Arial" w:cs="Arial"/>
        </w:rPr>
      </w:pPr>
      <w:bookmarkStart w:id="3" w:name="AuthorNM"/>
      <w:bookmarkEnd w:id="3"/>
    </w:p>
    <w:p w14:paraId="4FE60C68" w14:textId="5554860D" w:rsidR="20C247A6" w:rsidRDefault="20C247A6">
      <w:r>
        <w:br w:type="page"/>
      </w:r>
    </w:p>
    <w:p w14:paraId="149620E9" w14:textId="5ADBE4F5" w:rsidR="00F56D27" w:rsidRPr="006C58E4" w:rsidRDefault="00CC74EF" w:rsidP="20C247A6">
      <w:pPr>
        <w:rPr>
          <w:rFonts w:ascii="Arial" w:eastAsia="Arial" w:hAnsi="Arial" w:cs="Arial"/>
          <w:color w:val="000000" w:themeColor="text1"/>
        </w:rPr>
      </w:pPr>
      <w:r w:rsidRPr="20C247A6">
        <w:rPr>
          <w:rFonts w:ascii="Arial" w:hAnsi="Arial" w:cs="Arial"/>
          <w:b/>
          <w:bCs/>
        </w:rPr>
        <w:t>Appendix 1</w:t>
      </w:r>
      <w:r w:rsidR="629F9EF3" w:rsidRPr="20C247A6">
        <w:rPr>
          <w:rFonts w:ascii="Arial" w:hAnsi="Arial" w:cs="Arial"/>
          <w:b/>
          <w:bCs/>
        </w:rPr>
        <w:t>:</w:t>
      </w:r>
      <w:r w:rsidR="629F9EF3" w:rsidRPr="20C247A6">
        <w:rPr>
          <w:rFonts w:ascii="Arial" w:eastAsia="Arial" w:hAnsi="Arial" w:cs="Arial"/>
          <w:b/>
          <w:bCs/>
          <w:color w:val="000000" w:themeColor="text1"/>
        </w:rPr>
        <w:t xml:space="preserve"> City of Ottawa – Draft Response to the Change of Definition of Affordable for DC purposes</w:t>
      </w:r>
    </w:p>
    <w:p w14:paraId="53AAD9E4" w14:textId="298F71F2" w:rsidR="00F56D27" w:rsidRPr="006C58E4" w:rsidRDefault="00F56D27" w:rsidP="20C247A6">
      <w:pPr>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06"/>
        <w:gridCol w:w="3217"/>
        <w:gridCol w:w="2943"/>
      </w:tblGrid>
      <w:tr w:rsidR="20C247A6" w14:paraId="4C49DC2E" w14:textId="77777777" w:rsidTr="20C247A6">
        <w:trPr>
          <w:trHeight w:val="300"/>
        </w:trPr>
        <w:tc>
          <w:tcPr>
            <w:tcW w:w="4206" w:type="dxa"/>
            <w:tcMar>
              <w:left w:w="105" w:type="dxa"/>
              <w:right w:w="105" w:type="dxa"/>
            </w:tcMar>
          </w:tcPr>
          <w:p w14:paraId="06DC17B5" w14:textId="0B1B6429" w:rsidR="20C247A6" w:rsidRDefault="20C247A6" w:rsidP="20C247A6">
            <w:pPr>
              <w:rPr>
                <w:rFonts w:ascii="Arial" w:eastAsia="Arial" w:hAnsi="Arial" w:cs="Arial"/>
              </w:rPr>
            </w:pPr>
            <w:r w:rsidRPr="20C247A6">
              <w:rPr>
                <w:rFonts w:ascii="Arial" w:eastAsia="Arial" w:hAnsi="Arial" w:cs="Arial"/>
                <w:b/>
                <w:bCs/>
              </w:rPr>
              <w:t>Proposed Changes</w:t>
            </w:r>
          </w:p>
        </w:tc>
        <w:tc>
          <w:tcPr>
            <w:tcW w:w="3217" w:type="dxa"/>
            <w:tcMar>
              <w:left w:w="105" w:type="dxa"/>
              <w:right w:w="105" w:type="dxa"/>
            </w:tcMar>
          </w:tcPr>
          <w:p w14:paraId="7129918C" w14:textId="103AEBF4" w:rsidR="20C247A6" w:rsidRDefault="20C247A6" w:rsidP="20C247A6">
            <w:pPr>
              <w:rPr>
                <w:rFonts w:ascii="Arial" w:eastAsia="Arial" w:hAnsi="Arial" w:cs="Arial"/>
              </w:rPr>
            </w:pPr>
            <w:r w:rsidRPr="20C247A6">
              <w:rPr>
                <w:rFonts w:ascii="Arial" w:eastAsia="Arial" w:hAnsi="Arial" w:cs="Arial"/>
                <w:b/>
                <w:bCs/>
              </w:rPr>
              <w:t xml:space="preserve">City of Ottawa Analysis </w:t>
            </w:r>
          </w:p>
        </w:tc>
        <w:tc>
          <w:tcPr>
            <w:tcW w:w="2943" w:type="dxa"/>
            <w:tcMar>
              <w:left w:w="105" w:type="dxa"/>
              <w:right w:w="105" w:type="dxa"/>
            </w:tcMar>
          </w:tcPr>
          <w:p w14:paraId="6B5E2A01" w14:textId="240C0205" w:rsidR="20C247A6" w:rsidRDefault="20C247A6" w:rsidP="20C247A6">
            <w:pPr>
              <w:rPr>
                <w:rFonts w:ascii="Arial" w:eastAsia="Arial" w:hAnsi="Arial" w:cs="Arial"/>
              </w:rPr>
            </w:pPr>
            <w:r w:rsidRPr="20C247A6">
              <w:rPr>
                <w:rFonts w:ascii="Arial" w:eastAsia="Arial" w:hAnsi="Arial" w:cs="Arial"/>
                <w:b/>
                <w:bCs/>
              </w:rPr>
              <w:t>City of Ottawa Comment to the Province</w:t>
            </w:r>
          </w:p>
        </w:tc>
      </w:tr>
      <w:tr w:rsidR="20C247A6" w14:paraId="224C108F" w14:textId="77777777" w:rsidTr="20C247A6">
        <w:trPr>
          <w:trHeight w:val="300"/>
        </w:trPr>
        <w:tc>
          <w:tcPr>
            <w:tcW w:w="4206" w:type="dxa"/>
            <w:tcMar>
              <w:left w:w="105" w:type="dxa"/>
              <w:right w:w="105" w:type="dxa"/>
            </w:tcMar>
          </w:tcPr>
          <w:p w14:paraId="7F6AAAA4" w14:textId="2E8535EF" w:rsidR="20C247A6" w:rsidRDefault="20C247A6" w:rsidP="20C247A6">
            <w:pPr>
              <w:rPr>
                <w:rFonts w:ascii="Arial" w:eastAsia="Arial" w:hAnsi="Arial" w:cs="Arial"/>
              </w:rPr>
            </w:pPr>
            <w:r w:rsidRPr="20C247A6">
              <w:rPr>
                <w:rFonts w:ascii="Arial" w:eastAsia="Arial" w:hAnsi="Arial" w:cs="Arial"/>
              </w:rPr>
              <w:t>For rental housing, where the rent is no greater than the lesser of,</w:t>
            </w:r>
          </w:p>
          <w:p w14:paraId="1CCF6204" w14:textId="351280F8" w:rsidR="20C247A6" w:rsidRDefault="20C247A6" w:rsidP="20C247A6">
            <w:pPr>
              <w:pStyle w:val="ListParagraph"/>
              <w:numPr>
                <w:ilvl w:val="0"/>
                <w:numId w:val="24"/>
              </w:numPr>
              <w:rPr>
                <w:rFonts w:ascii="Arial" w:eastAsia="Arial" w:hAnsi="Arial" w:cs="Arial"/>
              </w:rPr>
            </w:pPr>
            <w:r w:rsidRPr="20C247A6">
              <w:rPr>
                <w:rFonts w:ascii="Arial" w:eastAsia="Arial" w:hAnsi="Arial" w:cs="Arial"/>
              </w:rPr>
              <w:t>the income-based affordable rent for the residential unit set out in the Affordable Residential Units bulletin, as identified by the Minister of Municipal Affairs and Housing, and</w:t>
            </w:r>
          </w:p>
          <w:p w14:paraId="462154C8" w14:textId="60C3E2E7" w:rsidR="20C247A6" w:rsidRDefault="20C247A6" w:rsidP="20C247A6">
            <w:pPr>
              <w:pStyle w:val="ListParagraph"/>
              <w:numPr>
                <w:ilvl w:val="0"/>
                <w:numId w:val="24"/>
              </w:numPr>
              <w:rPr>
                <w:rFonts w:ascii="Arial" w:eastAsia="Arial" w:hAnsi="Arial" w:cs="Arial"/>
              </w:rPr>
            </w:pPr>
            <w:r w:rsidRPr="20C247A6">
              <w:rPr>
                <w:rFonts w:ascii="Arial" w:eastAsia="Arial" w:hAnsi="Arial" w:cs="Arial"/>
              </w:rPr>
              <w:t>the average market rent identified for the residential unit set out in the Affordable Residential Units bulletin.</w:t>
            </w:r>
          </w:p>
          <w:p w14:paraId="4D151399" w14:textId="7F2A00E4" w:rsidR="20C247A6" w:rsidRDefault="20C247A6" w:rsidP="20C247A6">
            <w:pPr>
              <w:rPr>
                <w:rFonts w:ascii="Arial" w:eastAsia="Arial" w:hAnsi="Arial" w:cs="Arial"/>
              </w:rPr>
            </w:pPr>
          </w:p>
        </w:tc>
        <w:tc>
          <w:tcPr>
            <w:tcW w:w="3217" w:type="dxa"/>
            <w:tcMar>
              <w:left w:w="105" w:type="dxa"/>
              <w:right w:w="105" w:type="dxa"/>
            </w:tcMar>
          </w:tcPr>
          <w:p w14:paraId="2AB66EFE" w14:textId="12047839" w:rsidR="20C247A6" w:rsidRDefault="20C247A6" w:rsidP="20C247A6">
            <w:pPr>
              <w:ind w:left="70"/>
              <w:rPr>
                <w:rFonts w:ascii="Arial" w:eastAsia="Arial" w:hAnsi="Arial" w:cs="Arial"/>
              </w:rPr>
            </w:pPr>
            <w:r w:rsidRPr="20C247A6">
              <w:rPr>
                <w:rFonts w:ascii="Arial" w:eastAsia="Arial" w:hAnsi="Arial" w:cs="Arial"/>
              </w:rPr>
              <w:t>The comparison of renter household (HH) 60</w:t>
            </w:r>
            <w:r w:rsidRPr="20C247A6">
              <w:rPr>
                <w:rFonts w:ascii="Arial" w:eastAsia="Arial" w:hAnsi="Arial" w:cs="Arial"/>
                <w:vertAlign w:val="superscript"/>
              </w:rPr>
              <w:t>th</w:t>
            </w:r>
            <w:r w:rsidRPr="20C247A6">
              <w:rPr>
                <w:rFonts w:ascii="Arial" w:eastAsia="Arial" w:hAnsi="Arial" w:cs="Arial"/>
              </w:rPr>
              <w:t xml:space="preserve"> income percentile from the PPS 2022 Housing Table and the 2016 Census reported HH 2015 income data extrapolated to 2022 based on the Consumer Price Index (CPI) reveals a significant gap. PPS 2022 Housing Table for the 60th HH income percentile is 38% more than the extrapolated income.</w:t>
            </w:r>
          </w:p>
          <w:p w14:paraId="09BD4A77" w14:textId="56397729" w:rsidR="20C247A6" w:rsidRDefault="20C247A6" w:rsidP="20C247A6">
            <w:pPr>
              <w:ind w:left="70"/>
              <w:rPr>
                <w:rFonts w:ascii="Arial" w:eastAsia="Arial" w:hAnsi="Arial" w:cs="Arial"/>
              </w:rPr>
            </w:pPr>
          </w:p>
          <w:p w14:paraId="53BA8FBA" w14:textId="4DCC8244" w:rsidR="20C247A6" w:rsidRDefault="20C247A6" w:rsidP="20C247A6">
            <w:pPr>
              <w:ind w:left="70"/>
              <w:rPr>
                <w:rFonts w:ascii="Arial" w:eastAsia="Arial" w:hAnsi="Arial" w:cs="Arial"/>
                <w:color w:val="498205"/>
              </w:rPr>
            </w:pPr>
            <w:r w:rsidRPr="20C247A6">
              <w:rPr>
                <w:rFonts w:ascii="Arial" w:eastAsia="Arial" w:hAnsi="Arial" w:cs="Arial"/>
              </w:rPr>
              <w:t>2020 income data from the 2021 Census is unique in that it includes short-term pandemic relief benefits such as the Canada Emergency Response Benefit (CERB). This has caused the 2022 incomes reported in the PPS Housing Table to be notably higher than actual, meaning that affordability of average market rent is being overstated.</w:t>
            </w:r>
          </w:p>
          <w:p w14:paraId="296472A2" w14:textId="230034EB" w:rsidR="20C247A6" w:rsidRDefault="20C247A6" w:rsidP="20C247A6">
            <w:pPr>
              <w:rPr>
                <w:rFonts w:ascii="Arial" w:eastAsia="Arial" w:hAnsi="Arial" w:cs="Arial"/>
              </w:rPr>
            </w:pPr>
          </w:p>
        </w:tc>
        <w:tc>
          <w:tcPr>
            <w:tcW w:w="2943" w:type="dxa"/>
            <w:tcMar>
              <w:left w:w="105" w:type="dxa"/>
              <w:right w:w="105" w:type="dxa"/>
            </w:tcMar>
          </w:tcPr>
          <w:p w14:paraId="00682EC3" w14:textId="04ECCEF3" w:rsidR="5B58A560" w:rsidRDefault="5B58A560" w:rsidP="20C247A6">
            <w:pPr>
              <w:rPr>
                <w:rFonts w:ascii="Arial" w:eastAsia="Arial" w:hAnsi="Arial" w:cs="Arial"/>
              </w:rPr>
            </w:pPr>
            <w:r w:rsidRPr="20C247A6">
              <w:rPr>
                <w:rFonts w:ascii="Arial" w:eastAsia="Arial" w:hAnsi="Arial" w:cs="Arial"/>
              </w:rPr>
              <w:t>Monitoring and Reporting</w:t>
            </w:r>
          </w:p>
          <w:p w14:paraId="5B41AD55" w14:textId="68A01A20" w:rsidR="20C247A6" w:rsidRDefault="20C247A6" w:rsidP="20C247A6">
            <w:pPr>
              <w:pStyle w:val="ListParagraph"/>
              <w:numPr>
                <w:ilvl w:val="0"/>
                <w:numId w:val="22"/>
              </w:numPr>
              <w:rPr>
                <w:rFonts w:ascii="Arial" w:eastAsia="Arial" w:hAnsi="Arial" w:cs="Arial"/>
              </w:rPr>
            </w:pPr>
            <w:r w:rsidRPr="20C247A6">
              <w:rPr>
                <w:rFonts w:ascii="Arial" w:eastAsia="Arial" w:hAnsi="Arial" w:cs="Arial"/>
              </w:rPr>
              <w:t>Will the bulletin be released annually or every 5-years?</w:t>
            </w:r>
          </w:p>
          <w:p w14:paraId="3C2246EF" w14:textId="1698D9F3" w:rsidR="20C247A6" w:rsidRDefault="20C247A6" w:rsidP="20C247A6">
            <w:pPr>
              <w:pStyle w:val="ListParagraph"/>
              <w:numPr>
                <w:ilvl w:val="0"/>
                <w:numId w:val="22"/>
              </w:numPr>
              <w:rPr>
                <w:rFonts w:ascii="Arial" w:eastAsia="Arial" w:hAnsi="Arial" w:cs="Arial"/>
              </w:rPr>
            </w:pPr>
            <w:r w:rsidRPr="20C247A6">
              <w:rPr>
                <w:rFonts w:ascii="Arial" w:eastAsia="Arial" w:hAnsi="Arial" w:cs="Arial"/>
              </w:rPr>
              <w:t>How quickly post-data release will the bulletin be revised?</w:t>
            </w:r>
          </w:p>
          <w:p w14:paraId="43925B43" w14:textId="09A382DD" w:rsidR="20C247A6" w:rsidRDefault="20C247A6" w:rsidP="20C247A6">
            <w:pPr>
              <w:rPr>
                <w:rFonts w:ascii="Arial" w:eastAsia="Arial" w:hAnsi="Arial" w:cs="Arial"/>
              </w:rPr>
            </w:pPr>
          </w:p>
          <w:p w14:paraId="055C6047" w14:textId="75DE1A32" w:rsidR="20C247A6" w:rsidRDefault="20C247A6" w:rsidP="20C247A6">
            <w:pPr>
              <w:rPr>
                <w:rFonts w:ascii="Arial" w:eastAsia="Arial" w:hAnsi="Arial" w:cs="Arial"/>
              </w:rPr>
            </w:pPr>
          </w:p>
        </w:tc>
      </w:tr>
      <w:tr w:rsidR="20C247A6" w14:paraId="45878357" w14:textId="77777777" w:rsidTr="20C247A6">
        <w:trPr>
          <w:trHeight w:val="300"/>
        </w:trPr>
        <w:tc>
          <w:tcPr>
            <w:tcW w:w="4206" w:type="dxa"/>
            <w:tcMar>
              <w:left w:w="105" w:type="dxa"/>
              <w:right w:w="105" w:type="dxa"/>
            </w:tcMar>
          </w:tcPr>
          <w:p w14:paraId="18FC0456" w14:textId="255BA6C5" w:rsidR="20C247A6" w:rsidRDefault="20C247A6" w:rsidP="20C247A6">
            <w:pPr>
              <w:rPr>
                <w:rFonts w:ascii="Arial" w:eastAsia="Arial" w:hAnsi="Arial" w:cs="Arial"/>
              </w:rPr>
            </w:pPr>
            <w:r w:rsidRPr="20C247A6">
              <w:rPr>
                <w:rFonts w:ascii="Arial" w:eastAsia="Arial" w:hAnsi="Arial" w:cs="Arial"/>
                <w:lang w:val="en-GB"/>
              </w:rPr>
              <w:t>In identifying the income-based affordable rent applicable to a residential unit, the Minister of Municipal Affairs and Housing shall,</w:t>
            </w:r>
          </w:p>
          <w:p w14:paraId="03A6914F" w14:textId="56F7A090" w:rsidR="20C247A6" w:rsidRDefault="20C247A6" w:rsidP="20C247A6">
            <w:pPr>
              <w:pStyle w:val="ListParagraph"/>
              <w:numPr>
                <w:ilvl w:val="0"/>
                <w:numId w:val="20"/>
              </w:numPr>
              <w:rPr>
                <w:rFonts w:ascii="Arial" w:eastAsia="Arial" w:hAnsi="Arial" w:cs="Arial"/>
              </w:rPr>
            </w:pPr>
            <w:r w:rsidRPr="20C247A6">
              <w:rPr>
                <w:rFonts w:ascii="Arial" w:eastAsia="Arial" w:hAnsi="Arial" w:cs="Arial"/>
                <w:lang w:val="en-GB"/>
              </w:rPr>
              <w:t>determine the income of a household that, in the Minister’s opinion, is at the 60th percentile of gross annual incomes for renter households in the applicable local municipality; and</w:t>
            </w:r>
          </w:p>
          <w:p w14:paraId="38E9CFCF" w14:textId="0D7FD075" w:rsidR="20C247A6" w:rsidRDefault="20C247A6" w:rsidP="20C247A6">
            <w:pPr>
              <w:pStyle w:val="ListParagraph"/>
              <w:numPr>
                <w:ilvl w:val="0"/>
                <w:numId w:val="20"/>
              </w:numPr>
              <w:rPr>
                <w:rFonts w:ascii="Arial" w:eastAsia="Arial" w:hAnsi="Arial" w:cs="Arial"/>
              </w:rPr>
            </w:pPr>
            <w:r w:rsidRPr="20C247A6">
              <w:rPr>
                <w:rFonts w:ascii="Arial" w:eastAsia="Arial" w:hAnsi="Arial" w:cs="Arial"/>
                <w:lang w:val="en-GB"/>
              </w:rPr>
              <w:t>identify the rent that, in the Minister’s opinion, is equal to 30 per cent of the income of the household referred to in clause (a).</w:t>
            </w:r>
          </w:p>
          <w:p w14:paraId="58EDCA40" w14:textId="763E07D3" w:rsidR="20C247A6" w:rsidRDefault="20C247A6" w:rsidP="20C247A6">
            <w:pPr>
              <w:rPr>
                <w:rFonts w:ascii="Arial" w:eastAsia="Arial" w:hAnsi="Arial" w:cs="Arial"/>
              </w:rPr>
            </w:pPr>
          </w:p>
        </w:tc>
        <w:tc>
          <w:tcPr>
            <w:tcW w:w="3217" w:type="dxa"/>
            <w:tcMar>
              <w:left w:w="105" w:type="dxa"/>
              <w:right w:w="105" w:type="dxa"/>
            </w:tcMar>
          </w:tcPr>
          <w:p w14:paraId="3688B0E2" w14:textId="4C3E10F1" w:rsidR="20C247A6" w:rsidRDefault="20C247A6" w:rsidP="20C247A6">
            <w:pPr>
              <w:rPr>
                <w:rFonts w:ascii="Arial" w:eastAsia="Arial" w:hAnsi="Arial" w:cs="Arial"/>
              </w:rPr>
            </w:pPr>
            <w:r w:rsidRPr="20C247A6">
              <w:rPr>
                <w:rFonts w:ascii="Arial" w:eastAsia="Arial" w:hAnsi="Arial" w:cs="Arial"/>
              </w:rPr>
              <w:t>The PPS Housing Table for 2022 notes affordable rent for the 60th percentile renter households to be $2,130, which is higher than the current Average Market Rent (AMR) of $1,479. Ottawa is currently targeting 80% of AMR for affordable housing units, which only addresses the housing needs of moderate-income households between the 40th and 60th percentiles in the PPS Housing Table for 2022.</w:t>
            </w:r>
          </w:p>
          <w:p w14:paraId="1346DF82" w14:textId="4CAE3770" w:rsidR="20C247A6" w:rsidRDefault="20C247A6" w:rsidP="20C247A6">
            <w:pPr>
              <w:rPr>
                <w:rFonts w:ascii="Arial" w:eastAsia="Arial" w:hAnsi="Arial" w:cs="Arial"/>
              </w:rPr>
            </w:pPr>
          </w:p>
          <w:p w14:paraId="27FC0B6F" w14:textId="1D09AE80" w:rsidR="20C247A6" w:rsidRDefault="20C247A6" w:rsidP="20C247A6">
            <w:pPr>
              <w:rPr>
                <w:rFonts w:ascii="Arial" w:eastAsia="Arial" w:hAnsi="Arial" w:cs="Arial"/>
              </w:rPr>
            </w:pPr>
            <w:r w:rsidRPr="20C247A6">
              <w:rPr>
                <w:rFonts w:ascii="Arial" w:eastAsia="Arial" w:hAnsi="Arial" w:cs="Arial"/>
              </w:rPr>
              <w:t>Non-profit housing developments already exempt from DCs. This AH definition only impacts the delivery of units by the private sector.</w:t>
            </w:r>
          </w:p>
        </w:tc>
        <w:tc>
          <w:tcPr>
            <w:tcW w:w="2943" w:type="dxa"/>
            <w:tcMar>
              <w:left w:w="105" w:type="dxa"/>
              <w:right w:w="105" w:type="dxa"/>
            </w:tcMar>
          </w:tcPr>
          <w:p w14:paraId="76ECB39E" w14:textId="3CE5997C" w:rsidR="581E3DA1" w:rsidRDefault="581E3DA1" w:rsidP="20C247A6">
            <w:pPr>
              <w:rPr>
                <w:rFonts w:ascii="Arial" w:hAnsi="Arial" w:cs="Arial"/>
              </w:rPr>
            </w:pPr>
            <w:r w:rsidRPr="20C247A6">
              <w:rPr>
                <w:rFonts w:ascii="Arial" w:hAnsi="Arial" w:cs="Arial"/>
              </w:rPr>
              <w:t>Key Comments</w:t>
            </w:r>
          </w:p>
          <w:p w14:paraId="490B6077" w14:textId="2EF3DAE3" w:rsidR="581E3DA1" w:rsidRDefault="581E3DA1" w:rsidP="20C247A6">
            <w:pPr>
              <w:pStyle w:val="ListParagraph"/>
              <w:numPr>
                <w:ilvl w:val="0"/>
                <w:numId w:val="18"/>
              </w:numPr>
              <w:rPr>
                <w:rFonts w:ascii="Arial" w:hAnsi="Arial" w:cs="Arial"/>
              </w:rPr>
            </w:pPr>
            <w:r w:rsidRPr="20C247A6">
              <w:rPr>
                <w:rFonts w:ascii="Arial" w:hAnsi="Arial" w:cs="Arial"/>
              </w:rPr>
              <w:t xml:space="preserve">Staff support the intent of the change of definition towards renter income </w:t>
            </w:r>
            <w:proofErr w:type="gramStart"/>
            <w:r w:rsidRPr="20C247A6">
              <w:rPr>
                <w:rFonts w:ascii="Arial" w:hAnsi="Arial" w:cs="Arial"/>
              </w:rPr>
              <w:t>households</w:t>
            </w:r>
            <w:proofErr w:type="gramEnd"/>
          </w:p>
          <w:p w14:paraId="1946B523" w14:textId="48C392B1" w:rsidR="581E3DA1" w:rsidRDefault="581E3DA1" w:rsidP="20C247A6">
            <w:pPr>
              <w:pStyle w:val="ListParagraph"/>
              <w:numPr>
                <w:ilvl w:val="0"/>
                <w:numId w:val="18"/>
              </w:numPr>
              <w:rPr>
                <w:rFonts w:ascii="Arial" w:eastAsia="Arial" w:hAnsi="Arial" w:cs="Arial"/>
              </w:rPr>
            </w:pPr>
            <w:r w:rsidRPr="20C247A6">
              <w:rPr>
                <w:rFonts w:ascii="Arial" w:eastAsia="Arial" w:hAnsi="Arial" w:cs="Arial"/>
              </w:rPr>
              <w:t>If rental rates are not specific to unit size, the delivery of larger units will be disincentivized.</w:t>
            </w:r>
          </w:p>
          <w:p w14:paraId="2E163C73" w14:textId="641858E3" w:rsidR="581E3DA1" w:rsidRDefault="581E3DA1" w:rsidP="20C247A6">
            <w:pPr>
              <w:pStyle w:val="ListParagraph"/>
              <w:numPr>
                <w:ilvl w:val="0"/>
                <w:numId w:val="18"/>
              </w:numPr>
              <w:rPr>
                <w:rFonts w:ascii="Arial" w:eastAsia="Arial" w:hAnsi="Arial" w:cs="Arial"/>
              </w:rPr>
            </w:pPr>
            <w:r w:rsidRPr="20C247A6">
              <w:rPr>
                <w:rFonts w:ascii="Arial" w:eastAsia="Arial" w:hAnsi="Arial" w:cs="Arial"/>
              </w:rPr>
              <w:t xml:space="preserve">Affordability term should be maximized, preferably in </w:t>
            </w:r>
            <w:proofErr w:type="gramStart"/>
            <w:r w:rsidRPr="20C247A6">
              <w:rPr>
                <w:rFonts w:ascii="Arial" w:eastAsia="Arial" w:hAnsi="Arial" w:cs="Arial"/>
              </w:rPr>
              <w:t>perpetuity</w:t>
            </w:r>
            <w:proofErr w:type="gramEnd"/>
          </w:p>
          <w:p w14:paraId="143649EB" w14:textId="22B137A7" w:rsidR="20C247A6" w:rsidRDefault="20C247A6" w:rsidP="20C247A6">
            <w:pPr>
              <w:rPr>
                <w:rFonts w:ascii="Arial" w:eastAsia="Arial" w:hAnsi="Arial" w:cs="Arial"/>
              </w:rPr>
            </w:pPr>
          </w:p>
          <w:p w14:paraId="3FE0B6AF" w14:textId="1876BBC7" w:rsidR="581E3DA1" w:rsidRDefault="581E3DA1" w:rsidP="20C247A6">
            <w:pPr>
              <w:rPr>
                <w:rFonts w:ascii="Arial" w:eastAsia="Arial" w:hAnsi="Arial" w:cs="Arial"/>
              </w:rPr>
            </w:pPr>
            <w:r w:rsidRPr="20C247A6">
              <w:rPr>
                <w:rFonts w:ascii="Arial" w:eastAsia="Arial" w:hAnsi="Arial" w:cs="Arial"/>
              </w:rPr>
              <w:t>Additional Comments</w:t>
            </w:r>
          </w:p>
          <w:p w14:paraId="1C07A746" w14:textId="6B733D7A" w:rsidR="20C247A6" w:rsidRDefault="20C247A6" w:rsidP="20C247A6">
            <w:pPr>
              <w:pStyle w:val="ListParagraph"/>
              <w:numPr>
                <w:ilvl w:val="0"/>
                <w:numId w:val="18"/>
              </w:numPr>
              <w:rPr>
                <w:rFonts w:ascii="Arial" w:eastAsia="Arial" w:hAnsi="Arial" w:cs="Arial"/>
              </w:rPr>
            </w:pPr>
            <w:r w:rsidRPr="20C247A6">
              <w:rPr>
                <w:rFonts w:ascii="Arial" w:eastAsia="Arial" w:hAnsi="Arial" w:cs="Arial"/>
              </w:rPr>
              <w:t>While 60</w:t>
            </w:r>
            <w:r w:rsidRPr="20C247A6">
              <w:rPr>
                <w:rFonts w:ascii="Arial" w:eastAsia="Arial" w:hAnsi="Arial" w:cs="Arial"/>
                <w:vertAlign w:val="superscript"/>
              </w:rPr>
              <w:t>th</w:t>
            </w:r>
            <w:r w:rsidRPr="20C247A6">
              <w:rPr>
                <w:rFonts w:ascii="Arial" w:eastAsia="Arial" w:hAnsi="Arial" w:cs="Arial"/>
              </w:rPr>
              <w:t xml:space="preserve"> percentile is the upper limit of moderate-income households, this doesn’t incentivize deeper levels of affordability.</w:t>
            </w:r>
          </w:p>
          <w:p w14:paraId="31DA1313" w14:textId="2C5B1D75" w:rsidR="20C247A6" w:rsidRDefault="20C247A6" w:rsidP="20C247A6">
            <w:pPr>
              <w:pStyle w:val="ListParagraph"/>
              <w:numPr>
                <w:ilvl w:val="0"/>
                <w:numId w:val="18"/>
              </w:numPr>
              <w:rPr>
                <w:rFonts w:ascii="Arial" w:eastAsia="Arial" w:hAnsi="Arial" w:cs="Arial"/>
              </w:rPr>
            </w:pPr>
            <w:r w:rsidRPr="20C247A6">
              <w:rPr>
                <w:rFonts w:ascii="Arial" w:eastAsia="Arial" w:hAnsi="Arial" w:cs="Arial"/>
              </w:rPr>
              <w:t xml:space="preserve">City would prefer to see a tiered approach to waivers based on level of affordability. E.g., 50% waived at AMR, 100% waived at 80% of AMR. This is the approach taken on an affordable housing CIP. </w:t>
            </w:r>
          </w:p>
        </w:tc>
      </w:tr>
    </w:tbl>
    <w:p w14:paraId="33681DC2" w14:textId="27DDDDAE" w:rsidR="00F56D27" w:rsidRPr="006C58E4" w:rsidRDefault="00F56D27" w:rsidP="20C247A6">
      <w:pPr>
        <w:rPr>
          <w:rFonts w:ascii="Calibri" w:eastAsia="Calibri" w:hAnsi="Calibri" w:cs="Calibri"/>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25"/>
        <w:gridCol w:w="3098"/>
        <w:gridCol w:w="2943"/>
      </w:tblGrid>
      <w:tr w:rsidR="20C247A6" w14:paraId="4F405EF2" w14:textId="77777777" w:rsidTr="20C247A6">
        <w:trPr>
          <w:trHeight w:val="300"/>
        </w:trPr>
        <w:tc>
          <w:tcPr>
            <w:tcW w:w="4325" w:type="dxa"/>
            <w:tcMar>
              <w:left w:w="105" w:type="dxa"/>
              <w:right w:w="105" w:type="dxa"/>
            </w:tcMar>
          </w:tcPr>
          <w:p w14:paraId="67CB54A0" w14:textId="42EEF88D" w:rsidR="20C247A6" w:rsidRDefault="20C247A6" w:rsidP="20C247A6">
            <w:pPr>
              <w:rPr>
                <w:rFonts w:ascii="Arial" w:eastAsia="Arial" w:hAnsi="Arial" w:cs="Arial"/>
              </w:rPr>
            </w:pPr>
            <w:r w:rsidRPr="20C247A6">
              <w:rPr>
                <w:rFonts w:ascii="Arial" w:eastAsia="Arial" w:hAnsi="Arial" w:cs="Arial"/>
              </w:rPr>
              <w:t>For ownership housing, where the price of the residential unit is no greater than the lesser of,</w:t>
            </w:r>
          </w:p>
          <w:p w14:paraId="22D05E92" w14:textId="0CBE425C" w:rsidR="20C247A6" w:rsidRDefault="20C247A6" w:rsidP="20C247A6">
            <w:pPr>
              <w:pStyle w:val="ListParagraph"/>
              <w:numPr>
                <w:ilvl w:val="0"/>
                <w:numId w:val="12"/>
              </w:numPr>
              <w:rPr>
                <w:rFonts w:ascii="Arial" w:eastAsia="Arial" w:hAnsi="Arial" w:cs="Arial"/>
              </w:rPr>
            </w:pPr>
            <w:r w:rsidRPr="20C247A6">
              <w:rPr>
                <w:rFonts w:ascii="Arial" w:eastAsia="Arial" w:hAnsi="Arial" w:cs="Arial"/>
              </w:rPr>
              <w:t>the income-based affordable purchase price for the residential unit set out in the Affordable Residential Units bulletin, as identified by the Minister of Municipal Affairs and Housing, and</w:t>
            </w:r>
          </w:p>
          <w:p w14:paraId="3722058E" w14:textId="31A69F37" w:rsidR="20C247A6" w:rsidRDefault="20C247A6" w:rsidP="20C247A6">
            <w:pPr>
              <w:pStyle w:val="ListParagraph"/>
              <w:numPr>
                <w:ilvl w:val="0"/>
                <w:numId w:val="12"/>
              </w:numPr>
              <w:rPr>
                <w:rFonts w:ascii="Arial" w:eastAsia="Arial" w:hAnsi="Arial" w:cs="Arial"/>
              </w:rPr>
            </w:pPr>
            <w:r w:rsidRPr="20C247A6">
              <w:rPr>
                <w:rFonts w:ascii="Arial" w:eastAsia="Arial" w:hAnsi="Arial" w:cs="Arial"/>
              </w:rPr>
              <w:t>90 per cent of the average purchase price identified for the residential unit set out in the Affordable Residential Units bulletin.</w:t>
            </w:r>
          </w:p>
          <w:p w14:paraId="1F5698BB" w14:textId="57E83EE2" w:rsidR="20C247A6" w:rsidRDefault="20C247A6" w:rsidP="20C247A6">
            <w:pPr>
              <w:rPr>
                <w:rFonts w:ascii="Arial" w:eastAsia="Arial" w:hAnsi="Arial" w:cs="Arial"/>
              </w:rPr>
            </w:pPr>
          </w:p>
        </w:tc>
        <w:tc>
          <w:tcPr>
            <w:tcW w:w="3098" w:type="dxa"/>
            <w:tcMar>
              <w:left w:w="105" w:type="dxa"/>
              <w:right w:w="105" w:type="dxa"/>
            </w:tcMar>
          </w:tcPr>
          <w:p w14:paraId="4CB80FA8" w14:textId="35DB5181" w:rsidR="20C247A6" w:rsidRDefault="20C247A6" w:rsidP="20C247A6">
            <w:pPr>
              <w:rPr>
                <w:rFonts w:ascii="Arial" w:eastAsia="Arial" w:hAnsi="Arial" w:cs="Arial"/>
              </w:rPr>
            </w:pPr>
          </w:p>
        </w:tc>
        <w:tc>
          <w:tcPr>
            <w:tcW w:w="2943" w:type="dxa"/>
            <w:tcMar>
              <w:left w:w="105" w:type="dxa"/>
              <w:right w:w="105" w:type="dxa"/>
            </w:tcMar>
          </w:tcPr>
          <w:p w14:paraId="50625A57" w14:textId="72F0FB4A" w:rsidR="20C247A6" w:rsidRDefault="20C247A6" w:rsidP="20C247A6">
            <w:pPr>
              <w:rPr>
                <w:rFonts w:ascii="Arial" w:eastAsia="Arial" w:hAnsi="Arial" w:cs="Arial"/>
              </w:rPr>
            </w:pPr>
          </w:p>
        </w:tc>
      </w:tr>
      <w:tr w:rsidR="20C247A6" w14:paraId="1B7232E8" w14:textId="77777777" w:rsidTr="20C247A6">
        <w:trPr>
          <w:trHeight w:val="300"/>
        </w:trPr>
        <w:tc>
          <w:tcPr>
            <w:tcW w:w="4325" w:type="dxa"/>
            <w:tcMar>
              <w:left w:w="105" w:type="dxa"/>
              <w:right w:w="105" w:type="dxa"/>
            </w:tcMar>
          </w:tcPr>
          <w:p w14:paraId="42F4FC06" w14:textId="500C40CA" w:rsidR="20C247A6" w:rsidRDefault="20C247A6" w:rsidP="20C247A6">
            <w:pPr>
              <w:rPr>
                <w:rFonts w:ascii="Arial" w:eastAsia="Arial" w:hAnsi="Arial" w:cs="Arial"/>
              </w:rPr>
            </w:pPr>
            <w:r w:rsidRPr="20C247A6">
              <w:rPr>
                <w:rFonts w:ascii="Arial" w:eastAsia="Arial" w:hAnsi="Arial" w:cs="Arial"/>
                <w:lang w:val="en-GB"/>
              </w:rPr>
              <w:t>In identifying the income-based affordable purchase price applicable to a residential unit, the Minister of Municipal Affairs and Housing shall,</w:t>
            </w:r>
          </w:p>
          <w:p w14:paraId="27AF0BB0" w14:textId="764F3696" w:rsidR="20C247A6" w:rsidRDefault="20C247A6" w:rsidP="20C247A6">
            <w:pPr>
              <w:pStyle w:val="ListParagraph"/>
              <w:numPr>
                <w:ilvl w:val="0"/>
                <w:numId w:val="10"/>
              </w:numPr>
              <w:rPr>
                <w:rFonts w:ascii="Arial" w:eastAsia="Arial" w:hAnsi="Arial" w:cs="Arial"/>
              </w:rPr>
            </w:pPr>
            <w:r w:rsidRPr="20C247A6">
              <w:rPr>
                <w:rFonts w:ascii="Arial" w:eastAsia="Arial" w:hAnsi="Arial" w:cs="Arial"/>
                <w:lang w:val="en-GB"/>
              </w:rPr>
              <w:t> determine the income of a household that, in the Minister’s opinion, is at the 60</w:t>
            </w:r>
            <w:r w:rsidRPr="20C247A6">
              <w:rPr>
                <w:rFonts w:ascii="Arial" w:eastAsia="Arial" w:hAnsi="Arial" w:cs="Arial"/>
                <w:vertAlign w:val="superscript"/>
                <w:lang w:val="en-GB"/>
              </w:rPr>
              <w:t>th</w:t>
            </w:r>
            <w:r w:rsidRPr="20C247A6">
              <w:rPr>
                <w:rFonts w:ascii="Arial" w:eastAsia="Arial" w:hAnsi="Arial" w:cs="Arial"/>
                <w:lang w:val="en-GB"/>
              </w:rPr>
              <w:t> percentile of gross annual incomes for households in the applicable local municipality; and</w:t>
            </w:r>
          </w:p>
          <w:p w14:paraId="3C3A16DD" w14:textId="69A80A9D" w:rsidR="20C247A6" w:rsidRDefault="20C247A6" w:rsidP="20C247A6">
            <w:pPr>
              <w:pStyle w:val="ListParagraph"/>
              <w:numPr>
                <w:ilvl w:val="0"/>
                <w:numId w:val="10"/>
              </w:numPr>
              <w:rPr>
                <w:rFonts w:ascii="Arial" w:eastAsia="Arial" w:hAnsi="Arial" w:cs="Arial"/>
              </w:rPr>
            </w:pPr>
            <w:r w:rsidRPr="20C247A6">
              <w:rPr>
                <w:rFonts w:ascii="Arial" w:eastAsia="Arial" w:hAnsi="Arial" w:cs="Arial"/>
                <w:lang w:val="en-GB"/>
              </w:rPr>
              <w:t>identify the purchase price that, in the Minister’s opinion, would result in annual accommodation costs equal to 30 per cent of the income of the household referred to in clause (a).</w:t>
            </w:r>
          </w:p>
        </w:tc>
        <w:tc>
          <w:tcPr>
            <w:tcW w:w="3098" w:type="dxa"/>
            <w:tcMar>
              <w:left w:w="105" w:type="dxa"/>
              <w:right w:w="105" w:type="dxa"/>
            </w:tcMar>
          </w:tcPr>
          <w:p w14:paraId="14746A45" w14:textId="511868AE" w:rsidR="20C247A6" w:rsidRDefault="20C247A6" w:rsidP="20C247A6">
            <w:pPr>
              <w:rPr>
                <w:rFonts w:ascii="Arial" w:eastAsia="Arial" w:hAnsi="Arial" w:cs="Arial"/>
              </w:rPr>
            </w:pPr>
            <w:r w:rsidRPr="20C247A6">
              <w:rPr>
                <w:rFonts w:ascii="Arial" w:eastAsia="Arial" w:hAnsi="Arial" w:cs="Arial"/>
              </w:rPr>
              <w:t>The PPS Housing Table for 2022 reveals that the affordable housing price for households in the 60th percentile is $463,700, and the 90% average resale price is $603,800. The significant gap between the two numbers suggests a combination of two definitions could incentivize different unit types. For a smaller unit, an income-based approach would be useful, but to incentivize the construction of family-size 3+bedroom units, 90% of the average sale price could be useful.</w:t>
            </w:r>
          </w:p>
        </w:tc>
        <w:tc>
          <w:tcPr>
            <w:tcW w:w="2943" w:type="dxa"/>
            <w:tcMar>
              <w:left w:w="105" w:type="dxa"/>
              <w:right w:w="105" w:type="dxa"/>
            </w:tcMar>
          </w:tcPr>
          <w:p w14:paraId="275AF785" w14:textId="7AA199A0" w:rsidR="5EE9A149" w:rsidRDefault="5EE9A149" w:rsidP="20C247A6">
            <w:pPr>
              <w:rPr>
                <w:rFonts w:ascii="Arial" w:hAnsi="Arial" w:cs="Arial"/>
              </w:rPr>
            </w:pPr>
            <w:r w:rsidRPr="20C247A6">
              <w:rPr>
                <w:rFonts w:ascii="Arial" w:hAnsi="Arial" w:cs="Arial"/>
              </w:rPr>
              <w:t>Key comment</w:t>
            </w:r>
          </w:p>
          <w:p w14:paraId="4C672534" w14:textId="0943EEB7" w:rsidR="5EE9A149" w:rsidRDefault="5EE9A149" w:rsidP="20C247A6">
            <w:pPr>
              <w:pStyle w:val="ListParagraph"/>
              <w:numPr>
                <w:ilvl w:val="0"/>
                <w:numId w:val="8"/>
              </w:numPr>
              <w:rPr>
                <w:rFonts w:ascii="Arial" w:hAnsi="Arial" w:cs="Arial"/>
              </w:rPr>
            </w:pPr>
            <w:r w:rsidRPr="20C247A6">
              <w:rPr>
                <w:rFonts w:ascii="Arial" w:hAnsi="Arial" w:cs="Arial"/>
              </w:rPr>
              <w:t>Staff would like to raise concerns about duration of affordability to ensure that any discounts given translate into affordable units in perpetuity.</w:t>
            </w:r>
          </w:p>
          <w:p w14:paraId="1F54F540" w14:textId="335DF762" w:rsidR="20C247A6" w:rsidRDefault="20C247A6" w:rsidP="20C247A6">
            <w:pPr>
              <w:rPr>
                <w:rFonts w:ascii="Arial" w:hAnsi="Arial" w:cs="Arial"/>
              </w:rPr>
            </w:pPr>
          </w:p>
          <w:p w14:paraId="1C9EA938" w14:textId="70833B1E" w:rsidR="5EE9A149" w:rsidRDefault="5EE9A149" w:rsidP="20C247A6">
            <w:pPr>
              <w:rPr>
                <w:rFonts w:ascii="Arial" w:hAnsi="Arial" w:cs="Arial"/>
              </w:rPr>
            </w:pPr>
            <w:r w:rsidRPr="20C247A6">
              <w:rPr>
                <w:rFonts w:ascii="Arial" w:hAnsi="Arial" w:cs="Arial"/>
              </w:rPr>
              <w:t>Additional Comment</w:t>
            </w:r>
          </w:p>
          <w:p w14:paraId="12F79661" w14:textId="26C6CD49" w:rsidR="20C247A6" w:rsidRDefault="20C247A6" w:rsidP="20C247A6">
            <w:pPr>
              <w:pStyle w:val="ListParagraph"/>
              <w:numPr>
                <w:ilvl w:val="0"/>
                <w:numId w:val="8"/>
              </w:numPr>
              <w:rPr>
                <w:rFonts w:ascii="Arial" w:eastAsia="Arial" w:hAnsi="Arial" w:cs="Arial"/>
              </w:rPr>
            </w:pPr>
            <w:r w:rsidRPr="20C247A6">
              <w:rPr>
                <w:rFonts w:ascii="Arial" w:eastAsia="Arial" w:hAnsi="Arial" w:cs="Arial"/>
              </w:rPr>
              <w:t>How to ensure diversity of housing forms? Proposed formula may only incentivize affordability for condo builds (missing middle housing forms and larger units are the greatest need- need to incentive these units)</w:t>
            </w:r>
          </w:p>
        </w:tc>
      </w:tr>
    </w:tbl>
    <w:p w14:paraId="2DC6E550" w14:textId="013E2E27" w:rsidR="00F56D27" w:rsidRPr="006C58E4" w:rsidRDefault="00F56D27" w:rsidP="20C247A6">
      <w:pPr>
        <w:rPr>
          <w:rFonts w:ascii="Arial" w:eastAsia="Arial" w:hAnsi="Arial" w:cs="Arial"/>
          <w:color w:val="000000" w:themeColor="text1"/>
        </w:rPr>
      </w:pPr>
    </w:p>
    <w:p w14:paraId="42A6B09A" w14:textId="3E98787D" w:rsidR="00F56D27" w:rsidRPr="006C58E4" w:rsidRDefault="00F56D27" w:rsidP="20C247A6">
      <w:pPr>
        <w:rPr>
          <w:rFonts w:ascii="Arial" w:eastAsia="Arial" w:hAnsi="Arial" w:cs="Arial"/>
          <w:color w:val="000000" w:themeColor="text1"/>
        </w:rPr>
      </w:pPr>
    </w:p>
    <w:p w14:paraId="64521220" w14:textId="52845C54" w:rsidR="00F56D27" w:rsidRPr="006C58E4" w:rsidRDefault="629F9EF3" w:rsidP="20C247A6">
      <w:pPr>
        <w:rPr>
          <w:rFonts w:ascii="Arial" w:eastAsia="Arial" w:hAnsi="Arial" w:cs="Arial"/>
          <w:color w:val="D13438"/>
        </w:rPr>
      </w:pPr>
      <w:r w:rsidRPr="20C247A6">
        <w:rPr>
          <w:rFonts w:ascii="Arial" w:eastAsia="Arial" w:hAnsi="Arial" w:cs="Arial"/>
          <w:color w:val="000000" w:themeColor="text1"/>
        </w:rPr>
        <w:t>Additional City comments:</w:t>
      </w:r>
    </w:p>
    <w:p w14:paraId="38D45D8E" w14:textId="20C6F509" w:rsidR="00F56D27" w:rsidRPr="006C58E4" w:rsidRDefault="629F9EF3" w:rsidP="20C247A6">
      <w:pPr>
        <w:pStyle w:val="ListParagraph"/>
        <w:numPr>
          <w:ilvl w:val="0"/>
          <w:numId w:val="5"/>
        </w:numPr>
        <w:rPr>
          <w:rFonts w:ascii="Arial" w:eastAsia="Arial" w:hAnsi="Arial" w:cs="Arial"/>
          <w:color w:val="000000" w:themeColor="text1"/>
        </w:rPr>
      </w:pPr>
      <w:r w:rsidRPr="20C247A6">
        <w:rPr>
          <w:rFonts w:ascii="Arial" w:eastAsia="Arial" w:hAnsi="Arial" w:cs="Arial"/>
          <w:color w:val="000000" w:themeColor="text1"/>
        </w:rPr>
        <w:t>Housing Services staff would appreciate the opportunity to participate in future discussions regarding implementation and oversight required to ensure units remain affordable over the defined term.</w:t>
      </w:r>
    </w:p>
    <w:p w14:paraId="04665BA2" w14:textId="30904E89" w:rsidR="00F56D27" w:rsidRPr="006C58E4" w:rsidRDefault="629F9EF3" w:rsidP="20C247A6">
      <w:pPr>
        <w:pStyle w:val="ListParagraph"/>
        <w:numPr>
          <w:ilvl w:val="0"/>
          <w:numId w:val="5"/>
        </w:numPr>
        <w:rPr>
          <w:rFonts w:ascii="Arial" w:eastAsia="Arial" w:hAnsi="Arial" w:cs="Arial"/>
          <w:color w:val="000000" w:themeColor="text1"/>
        </w:rPr>
      </w:pPr>
      <w:r w:rsidRPr="20C247A6">
        <w:rPr>
          <w:rFonts w:ascii="Arial" w:eastAsia="Arial" w:hAnsi="Arial" w:cs="Arial"/>
          <w:color w:val="000000" w:themeColor="text1"/>
        </w:rPr>
        <w:t>As these definitions will apply only to for-profit builders, there is no incentive to provide prices or rents lower than the defined thresholds. The defined thresholds are based on the 60</w:t>
      </w:r>
      <w:r w:rsidRPr="20C247A6">
        <w:rPr>
          <w:rFonts w:ascii="Arial" w:eastAsia="Arial" w:hAnsi="Arial" w:cs="Arial"/>
          <w:color w:val="000000" w:themeColor="text1"/>
          <w:vertAlign w:val="superscript"/>
        </w:rPr>
        <w:t>th</w:t>
      </w:r>
      <w:r w:rsidRPr="20C247A6">
        <w:rPr>
          <w:rFonts w:ascii="Arial" w:eastAsia="Arial" w:hAnsi="Arial" w:cs="Arial"/>
          <w:color w:val="000000" w:themeColor="text1"/>
        </w:rPr>
        <w:t xml:space="preserve"> household income percentile or the market average being the “ceiling” for affordable housing. But as the threshold for eligibility for DC exemption, these prices and rents will be the “floor” for for-profit builders.</w:t>
      </w:r>
    </w:p>
    <w:p w14:paraId="78A89180" w14:textId="1FB966EA" w:rsidR="00F56D27" w:rsidRPr="006C58E4" w:rsidRDefault="629F9EF3" w:rsidP="20C247A6">
      <w:pPr>
        <w:pStyle w:val="ListParagraph"/>
        <w:numPr>
          <w:ilvl w:val="0"/>
          <w:numId w:val="5"/>
        </w:numPr>
        <w:rPr>
          <w:rFonts w:ascii="Arial" w:eastAsia="Arial" w:hAnsi="Arial" w:cs="Arial"/>
          <w:color w:val="000000" w:themeColor="text1"/>
        </w:rPr>
      </w:pPr>
      <w:r w:rsidRPr="20C247A6">
        <w:rPr>
          <w:rFonts w:ascii="Arial" w:eastAsia="Arial" w:hAnsi="Arial" w:cs="Arial"/>
          <w:color w:val="000000" w:themeColor="text1"/>
        </w:rPr>
        <w:t>A tiered exemption that begins at the 60</w:t>
      </w:r>
      <w:r w:rsidRPr="20C247A6">
        <w:rPr>
          <w:rFonts w:ascii="Arial" w:eastAsia="Arial" w:hAnsi="Arial" w:cs="Arial"/>
          <w:color w:val="000000" w:themeColor="text1"/>
          <w:vertAlign w:val="superscript"/>
        </w:rPr>
        <w:t>th</w:t>
      </w:r>
      <w:r w:rsidRPr="20C247A6">
        <w:rPr>
          <w:rFonts w:ascii="Arial" w:eastAsia="Arial" w:hAnsi="Arial" w:cs="Arial"/>
          <w:color w:val="000000" w:themeColor="text1"/>
        </w:rPr>
        <w:t xml:space="preserve"> household income percentile or average market prices/rents will provide an incentive to incorporate a wider range of affordability for local markets rather than solely at the 60</w:t>
      </w:r>
      <w:r w:rsidRPr="20C247A6">
        <w:rPr>
          <w:rFonts w:ascii="Arial" w:eastAsia="Arial" w:hAnsi="Arial" w:cs="Arial"/>
          <w:color w:val="000000" w:themeColor="text1"/>
          <w:vertAlign w:val="superscript"/>
        </w:rPr>
        <w:t>th</w:t>
      </w:r>
      <w:r w:rsidRPr="20C247A6">
        <w:rPr>
          <w:rFonts w:ascii="Arial" w:eastAsia="Arial" w:hAnsi="Arial" w:cs="Arial"/>
          <w:color w:val="000000" w:themeColor="text1"/>
        </w:rPr>
        <w:t xml:space="preserve"> household income percentile or average market.</w:t>
      </w:r>
    </w:p>
    <w:p w14:paraId="5128C1B0" w14:textId="5CEA0A99" w:rsidR="00F56D27" w:rsidRPr="006C58E4" w:rsidRDefault="629F9EF3" w:rsidP="20C247A6">
      <w:pPr>
        <w:pStyle w:val="ListParagraph"/>
        <w:numPr>
          <w:ilvl w:val="0"/>
          <w:numId w:val="5"/>
        </w:numPr>
        <w:rPr>
          <w:rFonts w:ascii="Arial" w:eastAsia="Arial" w:hAnsi="Arial" w:cs="Arial"/>
          <w:color w:val="000000" w:themeColor="text1"/>
        </w:rPr>
      </w:pPr>
      <w:r w:rsidRPr="20C247A6">
        <w:rPr>
          <w:rFonts w:ascii="Arial" w:eastAsia="Arial" w:hAnsi="Arial" w:cs="Arial"/>
          <w:color w:val="000000" w:themeColor="text1"/>
        </w:rPr>
        <w:t>A</w:t>
      </w:r>
      <w:r w:rsidR="0263A196" w:rsidRPr="20C247A6">
        <w:rPr>
          <w:rFonts w:ascii="Arial" w:eastAsia="Arial" w:hAnsi="Arial" w:cs="Arial"/>
          <w:color w:val="000000" w:themeColor="text1"/>
        </w:rPr>
        <w:t xml:space="preserve">n </w:t>
      </w:r>
      <w:r w:rsidRPr="20C247A6">
        <w:rPr>
          <w:rFonts w:ascii="Arial" w:eastAsia="Arial" w:hAnsi="Arial" w:cs="Arial"/>
          <w:color w:val="000000" w:themeColor="text1"/>
        </w:rPr>
        <w:t xml:space="preserve">effective incentive for affordable housing </w:t>
      </w:r>
      <w:r w:rsidR="22BA08E8" w:rsidRPr="20C247A6">
        <w:rPr>
          <w:rFonts w:ascii="Arial" w:eastAsia="Arial" w:hAnsi="Arial" w:cs="Arial"/>
          <w:color w:val="000000" w:themeColor="text1"/>
        </w:rPr>
        <w:t xml:space="preserve">to consider </w:t>
      </w:r>
      <w:r w:rsidRPr="20C247A6">
        <w:rPr>
          <w:rFonts w:ascii="Arial" w:eastAsia="Arial" w:hAnsi="Arial" w:cs="Arial"/>
          <w:color w:val="000000" w:themeColor="text1"/>
        </w:rPr>
        <w:t>is a reduction/exemption/credit in provincial capital gains taxation that tiers with the level of affordability rather than development charges.</w:t>
      </w:r>
    </w:p>
    <w:p w14:paraId="64BFE3FE" w14:textId="77377D2C" w:rsidR="00F56D27" w:rsidRPr="006C58E4" w:rsidRDefault="00F56D27" w:rsidP="20C247A6">
      <w:pPr>
        <w:rPr>
          <w:rFonts w:ascii="Arial" w:hAnsi="Arial" w:cs="Arial"/>
        </w:rPr>
      </w:pPr>
    </w:p>
    <w:p w14:paraId="309A64C9" w14:textId="77777777" w:rsidR="00F56D27" w:rsidRPr="006C58E4" w:rsidRDefault="00F56D27">
      <w:pPr>
        <w:rPr>
          <w:rFonts w:ascii="Arial" w:hAnsi="Arial" w:cs="Arial"/>
        </w:rPr>
      </w:pPr>
    </w:p>
    <w:p w14:paraId="2E1940DF" w14:textId="77777777" w:rsidR="00F56D27" w:rsidRPr="006C58E4" w:rsidRDefault="00F56D27">
      <w:pPr>
        <w:rPr>
          <w:rFonts w:ascii="Arial" w:hAnsi="Arial" w:cs="Arial"/>
        </w:rPr>
      </w:pPr>
    </w:p>
    <w:p w14:paraId="19DA7A4A" w14:textId="77777777" w:rsidR="00F56D27" w:rsidRPr="006C58E4" w:rsidRDefault="00F56D27">
      <w:pPr>
        <w:rPr>
          <w:rFonts w:ascii="Arial" w:hAnsi="Arial" w:cs="Arial"/>
        </w:rPr>
      </w:pPr>
      <w:bookmarkStart w:id="4" w:name="Attach"/>
      <w:bookmarkEnd w:id="4"/>
    </w:p>
    <w:p w14:paraId="6D92231A" w14:textId="77777777" w:rsidR="00F56D27" w:rsidRPr="006C58E4" w:rsidRDefault="00F56D27">
      <w:pPr>
        <w:rPr>
          <w:rFonts w:ascii="Arial" w:hAnsi="Arial" w:cs="Arial"/>
        </w:rPr>
      </w:pPr>
    </w:p>
    <w:p w14:paraId="1A597B75" w14:textId="77777777" w:rsidR="00F56D27" w:rsidRPr="006C58E4" w:rsidRDefault="00F56D27">
      <w:pPr>
        <w:rPr>
          <w:rFonts w:ascii="Arial" w:hAnsi="Arial" w:cs="Arial"/>
        </w:rPr>
      </w:pPr>
    </w:p>
    <w:p w14:paraId="75E1F744" w14:textId="77777777" w:rsidR="00F56D27" w:rsidRPr="006C58E4" w:rsidRDefault="00F56D27">
      <w:pPr>
        <w:rPr>
          <w:rFonts w:ascii="Arial" w:hAnsi="Arial" w:cs="Arial"/>
        </w:rPr>
      </w:pPr>
    </w:p>
    <w:sectPr w:rsidR="00F56D27" w:rsidRPr="006C58E4">
      <w:headerReference w:type="first" r:id="rId11"/>
      <w:pgSz w:w="12240" w:h="15840"/>
      <w:pgMar w:top="1009" w:right="720" w:bottom="1440" w:left="11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2C01" w14:textId="77777777" w:rsidR="004C0944" w:rsidRDefault="004C0944">
      <w:r>
        <w:separator/>
      </w:r>
    </w:p>
  </w:endnote>
  <w:endnote w:type="continuationSeparator" w:id="0">
    <w:p w14:paraId="1C4382A2" w14:textId="77777777" w:rsidR="004C0944" w:rsidRDefault="004C0944">
      <w:r>
        <w:continuationSeparator/>
      </w:r>
    </w:p>
  </w:endnote>
  <w:endnote w:type="continuationNotice" w:id="1">
    <w:p w14:paraId="7BE41D92" w14:textId="77777777" w:rsidR="004C0944" w:rsidRDefault="004C0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9698" w14:textId="77777777" w:rsidR="004C0944" w:rsidRDefault="004C0944">
      <w:r>
        <w:separator/>
      </w:r>
    </w:p>
  </w:footnote>
  <w:footnote w:type="continuationSeparator" w:id="0">
    <w:p w14:paraId="15815411" w14:textId="77777777" w:rsidR="004C0944" w:rsidRDefault="004C0944">
      <w:r>
        <w:continuationSeparator/>
      </w:r>
    </w:p>
  </w:footnote>
  <w:footnote w:type="continuationNotice" w:id="1">
    <w:p w14:paraId="3F982CCF" w14:textId="77777777" w:rsidR="004C0944" w:rsidRDefault="004C0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7488"/>
      <w:gridCol w:w="2773"/>
    </w:tblGrid>
    <w:tr w:rsidR="00F56D27" w:rsidRPr="006C58E4" w14:paraId="1364DB94" w14:textId="77777777">
      <w:tc>
        <w:tcPr>
          <w:tcW w:w="7488" w:type="dxa"/>
        </w:tcPr>
        <w:p w14:paraId="22FF3134" w14:textId="77777777" w:rsidR="00F56D27" w:rsidRPr="006C58E4" w:rsidRDefault="00F56D27">
          <w:pPr>
            <w:pStyle w:val="Heading1"/>
            <w:spacing w:before="240"/>
            <w:rPr>
              <w:rFonts w:ascii="Arial" w:hAnsi="Arial" w:cs="Arial"/>
            </w:rPr>
          </w:pPr>
          <w:bookmarkStart w:id="5" w:name="Confidential"/>
          <w:bookmarkEnd w:id="5"/>
        </w:p>
        <w:p w14:paraId="330F6A50" w14:textId="77777777" w:rsidR="0062357A" w:rsidRDefault="0062357A">
          <w:pPr>
            <w:pStyle w:val="Heading1"/>
            <w:spacing w:before="120"/>
            <w:rPr>
              <w:rFonts w:ascii="Arial" w:hAnsi="Arial" w:cs="Arial"/>
            </w:rPr>
          </w:pPr>
        </w:p>
        <w:p w14:paraId="716E5168" w14:textId="77777777" w:rsidR="008B60D7" w:rsidRDefault="008B60D7">
          <w:pPr>
            <w:pStyle w:val="Heading1"/>
            <w:spacing w:before="120"/>
            <w:rPr>
              <w:rFonts w:ascii="Arial" w:hAnsi="Arial" w:cs="Arial"/>
            </w:rPr>
          </w:pPr>
        </w:p>
        <w:p w14:paraId="3035F486" w14:textId="77777777" w:rsidR="00F56D27" w:rsidRPr="006C58E4" w:rsidRDefault="00F56D27">
          <w:pPr>
            <w:pStyle w:val="Heading1"/>
            <w:spacing w:before="120"/>
            <w:rPr>
              <w:rFonts w:ascii="Arial" w:hAnsi="Arial" w:cs="Arial"/>
            </w:rPr>
          </w:pPr>
          <w:r w:rsidRPr="006C58E4">
            <w:rPr>
              <w:rFonts w:ascii="Arial" w:hAnsi="Arial" w:cs="Arial"/>
            </w:rPr>
            <w:t>M E M O   /   N O T E   D E   S E R V I C E</w:t>
          </w:r>
        </w:p>
      </w:tc>
      <w:tc>
        <w:tcPr>
          <w:tcW w:w="2773" w:type="dxa"/>
        </w:tcPr>
        <w:p w14:paraId="20F28855" w14:textId="77777777" w:rsidR="00F56D27" w:rsidRPr="006C58E4" w:rsidRDefault="00F25F76">
          <w:pPr>
            <w:pStyle w:val="Header"/>
            <w:rPr>
              <w:rFonts w:ascii="Arial" w:hAnsi="Arial" w:cs="Arial"/>
            </w:rPr>
          </w:pPr>
          <w:r>
            <w:rPr>
              <w:rFonts w:ascii="Arial" w:hAnsi="Arial" w:cs="Arial"/>
              <w:noProof/>
              <w:lang w:val="en-CA" w:eastAsia="en-CA"/>
            </w:rPr>
            <w:drawing>
              <wp:inline distT="0" distB="0" distL="0" distR="0" wp14:anchorId="6699BADB" wp14:editId="32A2523B">
                <wp:extent cx="13906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28650"/>
                        </a:xfrm>
                        <a:prstGeom prst="rect">
                          <a:avLst/>
                        </a:prstGeom>
                        <a:noFill/>
                        <a:ln>
                          <a:noFill/>
                        </a:ln>
                      </pic:spPr>
                    </pic:pic>
                  </a:graphicData>
                </a:graphic>
              </wp:inline>
            </w:drawing>
          </w:r>
        </w:p>
      </w:tc>
    </w:tr>
  </w:tbl>
  <w:p w14:paraId="1F48872C" w14:textId="77777777" w:rsidR="00F56D27" w:rsidRPr="006C58E4" w:rsidRDefault="00F56D27">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FB18"/>
    <w:multiLevelType w:val="hybridMultilevel"/>
    <w:tmpl w:val="32B0F656"/>
    <w:lvl w:ilvl="0" w:tplc="E9AADB00">
      <w:numFmt w:val="bullet"/>
      <w:lvlText w:val="-"/>
      <w:lvlJc w:val="left"/>
      <w:pPr>
        <w:ind w:left="360" w:hanging="360"/>
      </w:pPr>
      <w:rPr>
        <w:rFonts w:ascii="Arial" w:hAnsi="Arial" w:hint="default"/>
      </w:rPr>
    </w:lvl>
    <w:lvl w:ilvl="1" w:tplc="405099A8">
      <w:start w:val="1"/>
      <w:numFmt w:val="bullet"/>
      <w:lvlText w:val="o"/>
      <w:lvlJc w:val="left"/>
      <w:pPr>
        <w:ind w:left="1440" w:hanging="360"/>
      </w:pPr>
      <w:rPr>
        <w:rFonts w:ascii="Courier New" w:hAnsi="Courier New" w:hint="default"/>
      </w:rPr>
    </w:lvl>
    <w:lvl w:ilvl="2" w:tplc="70F609BA">
      <w:start w:val="1"/>
      <w:numFmt w:val="bullet"/>
      <w:lvlText w:val=""/>
      <w:lvlJc w:val="left"/>
      <w:pPr>
        <w:ind w:left="2160" w:hanging="360"/>
      </w:pPr>
      <w:rPr>
        <w:rFonts w:ascii="Wingdings" w:hAnsi="Wingdings" w:hint="default"/>
      </w:rPr>
    </w:lvl>
    <w:lvl w:ilvl="3" w:tplc="7A6AA5E6">
      <w:start w:val="1"/>
      <w:numFmt w:val="bullet"/>
      <w:lvlText w:val=""/>
      <w:lvlJc w:val="left"/>
      <w:pPr>
        <w:ind w:left="2880" w:hanging="360"/>
      </w:pPr>
      <w:rPr>
        <w:rFonts w:ascii="Symbol" w:hAnsi="Symbol" w:hint="default"/>
      </w:rPr>
    </w:lvl>
    <w:lvl w:ilvl="4" w:tplc="E6640710">
      <w:start w:val="1"/>
      <w:numFmt w:val="bullet"/>
      <w:lvlText w:val="o"/>
      <w:lvlJc w:val="left"/>
      <w:pPr>
        <w:ind w:left="3600" w:hanging="360"/>
      </w:pPr>
      <w:rPr>
        <w:rFonts w:ascii="Courier New" w:hAnsi="Courier New" w:hint="default"/>
      </w:rPr>
    </w:lvl>
    <w:lvl w:ilvl="5" w:tplc="2B829FD0">
      <w:start w:val="1"/>
      <w:numFmt w:val="bullet"/>
      <w:lvlText w:val=""/>
      <w:lvlJc w:val="left"/>
      <w:pPr>
        <w:ind w:left="4320" w:hanging="360"/>
      </w:pPr>
      <w:rPr>
        <w:rFonts w:ascii="Wingdings" w:hAnsi="Wingdings" w:hint="default"/>
      </w:rPr>
    </w:lvl>
    <w:lvl w:ilvl="6" w:tplc="5990476C">
      <w:start w:val="1"/>
      <w:numFmt w:val="bullet"/>
      <w:lvlText w:val=""/>
      <w:lvlJc w:val="left"/>
      <w:pPr>
        <w:ind w:left="5040" w:hanging="360"/>
      </w:pPr>
      <w:rPr>
        <w:rFonts w:ascii="Symbol" w:hAnsi="Symbol" w:hint="default"/>
      </w:rPr>
    </w:lvl>
    <w:lvl w:ilvl="7" w:tplc="5694F2D6">
      <w:start w:val="1"/>
      <w:numFmt w:val="bullet"/>
      <w:lvlText w:val="o"/>
      <w:lvlJc w:val="left"/>
      <w:pPr>
        <w:ind w:left="5760" w:hanging="360"/>
      </w:pPr>
      <w:rPr>
        <w:rFonts w:ascii="Courier New" w:hAnsi="Courier New" w:hint="default"/>
      </w:rPr>
    </w:lvl>
    <w:lvl w:ilvl="8" w:tplc="9522BF24">
      <w:start w:val="1"/>
      <w:numFmt w:val="bullet"/>
      <w:lvlText w:val=""/>
      <w:lvlJc w:val="left"/>
      <w:pPr>
        <w:ind w:left="6480" w:hanging="360"/>
      </w:pPr>
      <w:rPr>
        <w:rFonts w:ascii="Wingdings" w:hAnsi="Wingdings" w:hint="default"/>
      </w:rPr>
    </w:lvl>
  </w:abstractNum>
  <w:abstractNum w:abstractNumId="1" w15:restartNumberingAfterBreak="0">
    <w:nsid w:val="1116553B"/>
    <w:multiLevelType w:val="multilevel"/>
    <w:tmpl w:val="0A2EC0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B334B00"/>
    <w:multiLevelType w:val="multilevel"/>
    <w:tmpl w:val="16A8754C"/>
    <w:lvl w:ilvl="0">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C5484"/>
    <w:multiLevelType w:val="multilevel"/>
    <w:tmpl w:val="7B1092FE"/>
    <w:lvl w:ilvl="0">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0882DE"/>
    <w:multiLevelType w:val="multilevel"/>
    <w:tmpl w:val="D95C6134"/>
    <w:lvl w:ilvl="0">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9D0DDE"/>
    <w:multiLevelType w:val="hybridMultilevel"/>
    <w:tmpl w:val="D5281546"/>
    <w:lvl w:ilvl="0" w:tplc="60BEF10E">
      <w:start w:val="1"/>
      <w:numFmt w:val="bullet"/>
      <w:lvlText w:val=""/>
      <w:lvlJc w:val="left"/>
      <w:pPr>
        <w:ind w:left="720" w:hanging="360"/>
      </w:pPr>
      <w:rPr>
        <w:rFonts w:ascii="Symbol" w:hAnsi="Symbol" w:hint="default"/>
      </w:rPr>
    </w:lvl>
    <w:lvl w:ilvl="1" w:tplc="536A6C10">
      <w:start w:val="1"/>
      <w:numFmt w:val="bullet"/>
      <w:lvlText w:val="o"/>
      <w:lvlJc w:val="left"/>
      <w:pPr>
        <w:ind w:left="1440" w:hanging="360"/>
      </w:pPr>
      <w:rPr>
        <w:rFonts w:ascii="Courier New" w:hAnsi="Courier New" w:hint="default"/>
      </w:rPr>
    </w:lvl>
    <w:lvl w:ilvl="2" w:tplc="171E4BA8">
      <w:start w:val="1"/>
      <w:numFmt w:val="bullet"/>
      <w:lvlText w:val=""/>
      <w:lvlJc w:val="left"/>
      <w:pPr>
        <w:ind w:left="2160" w:hanging="360"/>
      </w:pPr>
      <w:rPr>
        <w:rFonts w:ascii="Wingdings" w:hAnsi="Wingdings" w:hint="default"/>
      </w:rPr>
    </w:lvl>
    <w:lvl w:ilvl="3" w:tplc="F60828D6">
      <w:start w:val="1"/>
      <w:numFmt w:val="bullet"/>
      <w:lvlText w:val=""/>
      <w:lvlJc w:val="left"/>
      <w:pPr>
        <w:ind w:left="2880" w:hanging="360"/>
      </w:pPr>
      <w:rPr>
        <w:rFonts w:ascii="Symbol" w:hAnsi="Symbol" w:hint="default"/>
      </w:rPr>
    </w:lvl>
    <w:lvl w:ilvl="4" w:tplc="0F0457EE">
      <w:start w:val="1"/>
      <w:numFmt w:val="bullet"/>
      <w:lvlText w:val="o"/>
      <w:lvlJc w:val="left"/>
      <w:pPr>
        <w:ind w:left="3600" w:hanging="360"/>
      </w:pPr>
      <w:rPr>
        <w:rFonts w:ascii="Courier New" w:hAnsi="Courier New" w:hint="default"/>
      </w:rPr>
    </w:lvl>
    <w:lvl w:ilvl="5" w:tplc="DA36E254">
      <w:start w:val="1"/>
      <w:numFmt w:val="bullet"/>
      <w:lvlText w:val=""/>
      <w:lvlJc w:val="left"/>
      <w:pPr>
        <w:ind w:left="4320" w:hanging="360"/>
      </w:pPr>
      <w:rPr>
        <w:rFonts w:ascii="Wingdings" w:hAnsi="Wingdings" w:hint="default"/>
      </w:rPr>
    </w:lvl>
    <w:lvl w:ilvl="6" w:tplc="438A7F18">
      <w:start w:val="1"/>
      <w:numFmt w:val="bullet"/>
      <w:lvlText w:val=""/>
      <w:lvlJc w:val="left"/>
      <w:pPr>
        <w:ind w:left="5040" w:hanging="360"/>
      </w:pPr>
      <w:rPr>
        <w:rFonts w:ascii="Symbol" w:hAnsi="Symbol" w:hint="default"/>
      </w:rPr>
    </w:lvl>
    <w:lvl w:ilvl="7" w:tplc="4612B466">
      <w:start w:val="1"/>
      <w:numFmt w:val="bullet"/>
      <w:lvlText w:val="o"/>
      <w:lvlJc w:val="left"/>
      <w:pPr>
        <w:ind w:left="5760" w:hanging="360"/>
      </w:pPr>
      <w:rPr>
        <w:rFonts w:ascii="Courier New" w:hAnsi="Courier New" w:hint="default"/>
      </w:rPr>
    </w:lvl>
    <w:lvl w:ilvl="8" w:tplc="55DC3E08">
      <w:start w:val="1"/>
      <w:numFmt w:val="bullet"/>
      <w:lvlText w:val=""/>
      <w:lvlJc w:val="left"/>
      <w:pPr>
        <w:ind w:left="6480" w:hanging="360"/>
      </w:pPr>
      <w:rPr>
        <w:rFonts w:ascii="Wingdings" w:hAnsi="Wingdings" w:hint="default"/>
      </w:rPr>
    </w:lvl>
  </w:abstractNum>
  <w:abstractNum w:abstractNumId="6" w15:restartNumberingAfterBreak="0">
    <w:nsid w:val="2E8D48B3"/>
    <w:multiLevelType w:val="multilevel"/>
    <w:tmpl w:val="CF0A6F62"/>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43FB73"/>
    <w:multiLevelType w:val="hybridMultilevel"/>
    <w:tmpl w:val="91AE5226"/>
    <w:lvl w:ilvl="0" w:tplc="EA1276DA">
      <w:start w:val="1"/>
      <w:numFmt w:val="bullet"/>
      <w:lvlText w:val=""/>
      <w:lvlJc w:val="left"/>
      <w:pPr>
        <w:ind w:left="720" w:hanging="360"/>
      </w:pPr>
      <w:rPr>
        <w:rFonts w:ascii="Symbol" w:hAnsi="Symbol" w:hint="default"/>
      </w:rPr>
    </w:lvl>
    <w:lvl w:ilvl="1" w:tplc="F16A1C58">
      <w:start w:val="1"/>
      <w:numFmt w:val="bullet"/>
      <w:lvlText w:val="o"/>
      <w:lvlJc w:val="left"/>
      <w:pPr>
        <w:ind w:left="1440" w:hanging="360"/>
      </w:pPr>
      <w:rPr>
        <w:rFonts w:ascii="Courier New" w:hAnsi="Courier New" w:hint="default"/>
      </w:rPr>
    </w:lvl>
    <w:lvl w:ilvl="2" w:tplc="C660F138">
      <w:start w:val="1"/>
      <w:numFmt w:val="bullet"/>
      <w:lvlText w:val=""/>
      <w:lvlJc w:val="left"/>
      <w:pPr>
        <w:ind w:left="2160" w:hanging="360"/>
      </w:pPr>
      <w:rPr>
        <w:rFonts w:ascii="Wingdings" w:hAnsi="Wingdings" w:hint="default"/>
      </w:rPr>
    </w:lvl>
    <w:lvl w:ilvl="3" w:tplc="824ACACA">
      <w:start w:val="1"/>
      <w:numFmt w:val="bullet"/>
      <w:lvlText w:val=""/>
      <w:lvlJc w:val="left"/>
      <w:pPr>
        <w:ind w:left="2880" w:hanging="360"/>
      </w:pPr>
      <w:rPr>
        <w:rFonts w:ascii="Symbol" w:hAnsi="Symbol" w:hint="default"/>
      </w:rPr>
    </w:lvl>
    <w:lvl w:ilvl="4" w:tplc="4DD0A170">
      <w:start w:val="1"/>
      <w:numFmt w:val="bullet"/>
      <w:lvlText w:val="o"/>
      <w:lvlJc w:val="left"/>
      <w:pPr>
        <w:ind w:left="3600" w:hanging="360"/>
      </w:pPr>
      <w:rPr>
        <w:rFonts w:ascii="Courier New" w:hAnsi="Courier New" w:hint="default"/>
      </w:rPr>
    </w:lvl>
    <w:lvl w:ilvl="5" w:tplc="CB309C4E">
      <w:start w:val="1"/>
      <w:numFmt w:val="bullet"/>
      <w:lvlText w:val=""/>
      <w:lvlJc w:val="left"/>
      <w:pPr>
        <w:ind w:left="4320" w:hanging="360"/>
      </w:pPr>
      <w:rPr>
        <w:rFonts w:ascii="Wingdings" w:hAnsi="Wingdings" w:hint="default"/>
      </w:rPr>
    </w:lvl>
    <w:lvl w:ilvl="6" w:tplc="CFAC6F68">
      <w:start w:val="1"/>
      <w:numFmt w:val="bullet"/>
      <w:lvlText w:val=""/>
      <w:lvlJc w:val="left"/>
      <w:pPr>
        <w:ind w:left="5040" w:hanging="360"/>
      </w:pPr>
      <w:rPr>
        <w:rFonts w:ascii="Symbol" w:hAnsi="Symbol" w:hint="default"/>
      </w:rPr>
    </w:lvl>
    <w:lvl w:ilvl="7" w:tplc="54A6D3C0">
      <w:start w:val="1"/>
      <w:numFmt w:val="bullet"/>
      <w:lvlText w:val="o"/>
      <w:lvlJc w:val="left"/>
      <w:pPr>
        <w:ind w:left="5760" w:hanging="360"/>
      </w:pPr>
      <w:rPr>
        <w:rFonts w:ascii="Courier New" w:hAnsi="Courier New" w:hint="default"/>
      </w:rPr>
    </w:lvl>
    <w:lvl w:ilvl="8" w:tplc="214833F6">
      <w:start w:val="1"/>
      <w:numFmt w:val="bullet"/>
      <w:lvlText w:val=""/>
      <w:lvlJc w:val="left"/>
      <w:pPr>
        <w:ind w:left="6480" w:hanging="360"/>
      </w:pPr>
      <w:rPr>
        <w:rFonts w:ascii="Wingdings" w:hAnsi="Wingdings" w:hint="default"/>
      </w:rPr>
    </w:lvl>
  </w:abstractNum>
  <w:abstractNum w:abstractNumId="8" w15:restartNumberingAfterBreak="0">
    <w:nsid w:val="31E1D08C"/>
    <w:multiLevelType w:val="hybridMultilevel"/>
    <w:tmpl w:val="37343310"/>
    <w:lvl w:ilvl="0" w:tplc="4B76602A">
      <w:start w:val="1"/>
      <w:numFmt w:val="bullet"/>
      <w:lvlText w:val=""/>
      <w:lvlJc w:val="left"/>
      <w:pPr>
        <w:ind w:left="720" w:hanging="360"/>
      </w:pPr>
      <w:rPr>
        <w:rFonts w:ascii="Symbol" w:hAnsi="Symbol" w:hint="default"/>
      </w:rPr>
    </w:lvl>
    <w:lvl w:ilvl="1" w:tplc="B5342652">
      <w:start w:val="1"/>
      <w:numFmt w:val="bullet"/>
      <w:lvlText w:val="o"/>
      <w:lvlJc w:val="left"/>
      <w:pPr>
        <w:ind w:left="1440" w:hanging="360"/>
      </w:pPr>
      <w:rPr>
        <w:rFonts w:ascii="Courier New" w:hAnsi="Courier New" w:hint="default"/>
      </w:rPr>
    </w:lvl>
    <w:lvl w:ilvl="2" w:tplc="72440590">
      <w:start w:val="1"/>
      <w:numFmt w:val="bullet"/>
      <w:lvlText w:val=""/>
      <w:lvlJc w:val="left"/>
      <w:pPr>
        <w:ind w:left="2160" w:hanging="360"/>
      </w:pPr>
      <w:rPr>
        <w:rFonts w:ascii="Wingdings" w:hAnsi="Wingdings" w:hint="default"/>
      </w:rPr>
    </w:lvl>
    <w:lvl w:ilvl="3" w:tplc="BD4EE236">
      <w:start w:val="1"/>
      <w:numFmt w:val="bullet"/>
      <w:lvlText w:val=""/>
      <w:lvlJc w:val="left"/>
      <w:pPr>
        <w:ind w:left="2880" w:hanging="360"/>
      </w:pPr>
      <w:rPr>
        <w:rFonts w:ascii="Symbol" w:hAnsi="Symbol" w:hint="default"/>
      </w:rPr>
    </w:lvl>
    <w:lvl w:ilvl="4" w:tplc="D1D2E9AC">
      <w:start w:val="1"/>
      <w:numFmt w:val="bullet"/>
      <w:lvlText w:val="o"/>
      <w:lvlJc w:val="left"/>
      <w:pPr>
        <w:ind w:left="3600" w:hanging="360"/>
      </w:pPr>
      <w:rPr>
        <w:rFonts w:ascii="Courier New" w:hAnsi="Courier New" w:hint="default"/>
      </w:rPr>
    </w:lvl>
    <w:lvl w:ilvl="5" w:tplc="13781EAC">
      <w:start w:val="1"/>
      <w:numFmt w:val="bullet"/>
      <w:lvlText w:val=""/>
      <w:lvlJc w:val="left"/>
      <w:pPr>
        <w:ind w:left="4320" w:hanging="360"/>
      </w:pPr>
      <w:rPr>
        <w:rFonts w:ascii="Wingdings" w:hAnsi="Wingdings" w:hint="default"/>
      </w:rPr>
    </w:lvl>
    <w:lvl w:ilvl="6" w:tplc="1DACCA6A">
      <w:start w:val="1"/>
      <w:numFmt w:val="bullet"/>
      <w:lvlText w:val=""/>
      <w:lvlJc w:val="left"/>
      <w:pPr>
        <w:ind w:left="5040" w:hanging="360"/>
      </w:pPr>
      <w:rPr>
        <w:rFonts w:ascii="Symbol" w:hAnsi="Symbol" w:hint="default"/>
      </w:rPr>
    </w:lvl>
    <w:lvl w:ilvl="7" w:tplc="C6509F0E">
      <w:start w:val="1"/>
      <w:numFmt w:val="bullet"/>
      <w:lvlText w:val="o"/>
      <w:lvlJc w:val="left"/>
      <w:pPr>
        <w:ind w:left="5760" w:hanging="360"/>
      </w:pPr>
      <w:rPr>
        <w:rFonts w:ascii="Courier New" w:hAnsi="Courier New" w:hint="default"/>
      </w:rPr>
    </w:lvl>
    <w:lvl w:ilvl="8" w:tplc="72F0F702">
      <w:start w:val="1"/>
      <w:numFmt w:val="bullet"/>
      <w:lvlText w:val=""/>
      <w:lvlJc w:val="left"/>
      <w:pPr>
        <w:ind w:left="6480" w:hanging="360"/>
      </w:pPr>
      <w:rPr>
        <w:rFonts w:ascii="Wingdings" w:hAnsi="Wingdings" w:hint="default"/>
      </w:rPr>
    </w:lvl>
  </w:abstractNum>
  <w:abstractNum w:abstractNumId="9" w15:restartNumberingAfterBreak="0">
    <w:nsid w:val="39290F73"/>
    <w:multiLevelType w:val="multilevel"/>
    <w:tmpl w:val="E3F02786"/>
    <w:lvl w:ilvl="0">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F875AB"/>
    <w:multiLevelType w:val="multilevel"/>
    <w:tmpl w:val="CC5A118A"/>
    <w:lvl w:ilvl="0">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D232CAA"/>
    <w:multiLevelType w:val="hybridMultilevel"/>
    <w:tmpl w:val="FF18FECE"/>
    <w:lvl w:ilvl="0" w:tplc="ECA620F2">
      <w:numFmt w:val="bullet"/>
      <w:lvlText w:val="-"/>
      <w:lvlJc w:val="left"/>
      <w:pPr>
        <w:ind w:left="360" w:hanging="360"/>
      </w:pPr>
      <w:rPr>
        <w:rFonts w:ascii="Arial" w:hAnsi="Arial" w:hint="default"/>
      </w:rPr>
    </w:lvl>
    <w:lvl w:ilvl="1" w:tplc="57FA8466">
      <w:start w:val="1"/>
      <w:numFmt w:val="bullet"/>
      <w:lvlText w:val="o"/>
      <w:lvlJc w:val="left"/>
      <w:pPr>
        <w:ind w:left="1440" w:hanging="360"/>
      </w:pPr>
      <w:rPr>
        <w:rFonts w:ascii="Courier New" w:hAnsi="Courier New" w:hint="default"/>
      </w:rPr>
    </w:lvl>
    <w:lvl w:ilvl="2" w:tplc="B6EE6106">
      <w:start w:val="1"/>
      <w:numFmt w:val="bullet"/>
      <w:lvlText w:val=""/>
      <w:lvlJc w:val="left"/>
      <w:pPr>
        <w:ind w:left="2160" w:hanging="360"/>
      </w:pPr>
      <w:rPr>
        <w:rFonts w:ascii="Wingdings" w:hAnsi="Wingdings" w:hint="default"/>
      </w:rPr>
    </w:lvl>
    <w:lvl w:ilvl="3" w:tplc="8A44BBF6">
      <w:start w:val="1"/>
      <w:numFmt w:val="bullet"/>
      <w:lvlText w:val=""/>
      <w:lvlJc w:val="left"/>
      <w:pPr>
        <w:ind w:left="2880" w:hanging="360"/>
      </w:pPr>
      <w:rPr>
        <w:rFonts w:ascii="Symbol" w:hAnsi="Symbol" w:hint="default"/>
      </w:rPr>
    </w:lvl>
    <w:lvl w:ilvl="4" w:tplc="735870AE">
      <w:start w:val="1"/>
      <w:numFmt w:val="bullet"/>
      <w:lvlText w:val="o"/>
      <w:lvlJc w:val="left"/>
      <w:pPr>
        <w:ind w:left="3600" w:hanging="360"/>
      </w:pPr>
      <w:rPr>
        <w:rFonts w:ascii="Courier New" w:hAnsi="Courier New" w:hint="default"/>
      </w:rPr>
    </w:lvl>
    <w:lvl w:ilvl="5" w:tplc="2C10EAF8">
      <w:start w:val="1"/>
      <w:numFmt w:val="bullet"/>
      <w:lvlText w:val=""/>
      <w:lvlJc w:val="left"/>
      <w:pPr>
        <w:ind w:left="4320" w:hanging="360"/>
      </w:pPr>
      <w:rPr>
        <w:rFonts w:ascii="Wingdings" w:hAnsi="Wingdings" w:hint="default"/>
      </w:rPr>
    </w:lvl>
    <w:lvl w:ilvl="6" w:tplc="BCA0FA98">
      <w:start w:val="1"/>
      <w:numFmt w:val="bullet"/>
      <w:lvlText w:val=""/>
      <w:lvlJc w:val="left"/>
      <w:pPr>
        <w:ind w:left="5040" w:hanging="360"/>
      </w:pPr>
      <w:rPr>
        <w:rFonts w:ascii="Symbol" w:hAnsi="Symbol" w:hint="default"/>
      </w:rPr>
    </w:lvl>
    <w:lvl w:ilvl="7" w:tplc="4BF4329C">
      <w:start w:val="1"/>
      <w:numFmt w:val="bullet"/>
      <w:lvlText w:val="o"/>
      <w:lvlJc w:val="left"/>
      <w:pPr>
        <w:ind w:left="5760" w:hanging="360"/>
      </w:pPr>
      <w:rPr>
        <w:rFonts w:ascii="Courier New" w:hAnsi="Courier New" w:hint="default"/>
      </w:rPr>
    </w:lvl>
    <w:lvl w:ilvl="8" w:tplc="1AEE87C6">
      <w:start w:val="1"/>
      <w:numFmt w:val="bullet"/>
      <w:lvlText w:val=""/>
      <w:lvlJc w:val="left"/>
      <w:pPr>
        <w:ind w:left="6480" w:hanging="360"/>
      </w:pPr>
      <w:rPr>
        <w:rFonts w:ascii="Wingdings" w:hAnsi="Wingdings" w:hint="default"/>
      </w:rPr>
    </w:lvl>
  </w:abstractNum>
  <w:abstractNum w:abstractNumId="12" w15:restartNumberingAfterBreak="0">
    <w:nsid w:val="4383E3E5"/>
    <w:multiLevelType w:val="multilevel"/>
    <w:tmpl w:val="94D2C67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1668A8"/>
    <w:multiLevelType w:val="multilevel"/>
    <w:tmpl w:val="61AEA434"/>
    <w:lvl w:ilvl="0">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1DA423"/>
    <w:multiLevelType w:val="multilevel"/>
    <w:tmpl w:val="04048A8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D0E3F5"/>
    <w:multiLevelType w:val="multilevel"/>
    <w:tmpl w:val="8D30F66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2AC4E6"/>
    <w:multiLevelType w:val="multilevel"/>
    <w:tmpl w:val="452ABF74"/>
    <w:lvl w:ilvl="0">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285C66"/>
    <w:multiLevelType w:val="multilevel"/>
    <w:tmpl w:val="AAA054EA"/>
    <w:lvl w:ilvl="0">
      <w:start w:val="2"/>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6B5D30"/>
    <w:multiLevelType w:val="multilevel"/>
    <w:tmpl w:val="11B23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FC0D868"/>
    <w:multiLevelType w:val="hybridMultilevel"/>
    <w:tmpl w:val="95541EB6"/>
    <w:lvl w:ilvl="0" w:tplc="9B12A54A">
      <w:start w:val="1"/>
      <w:numFmt w:val="bullet"/>
      <w:lvlText w:val=""/>
      <w:lvlJc w:val="left"/>
      <w:pPr>
        <w:ind w:left="720" w:hanging="360"/>
      </w:pPr>
      <w:rPr>
        <w:rFonts w:ascii="Symbol" w:hAnsi="Symbol" w:hint="default"/>
      </w:rPr>
    </w:lvl>
    <w:lvl w:ilvl="1" w:tplc="871EEFD2">
      <w:start w:val="1"/>
      <w:numFmt w:val="bullet"/>
      <w:lvlText w:val="o"/>
      <w:lvlJc w:val="left"/>
      <w:pPr>
        <w:ind w:left="1440" w:hanging="360"/>
      </w:pPr>
      <w:rPr>
        <w:rFonts w:ascii="Courier New" w:hAnsi="Courier New" w:hint="default"/>
      </w:rPr>
    </w:lvl>
    <w:lvl w:ilvl="2" w:tplc="D74C3072">
      <w:start w:val="1"/>
      <w:numFmt w:val="bullet"/>
      <w:lvlText w:val=""/>
      <w:lvlJc w:val="left"/>
      <w:pPr>
        <w:ind w:left="2160" w:hanging="360"/>
      </w:pPr>
      <w:rPr>
        <w:rFonts w:ascii="Wingdings" w:hAnsi="Wingdings" w:hint="default"/>
      </w:rPr>
    </w:lvl>
    <w:lvl w:ilvl="3" w:tplc="147E9912">
      <w:start w:val="1"/>
      <w:numFmt w:val="bullet"/>
      <w:lvlText w:val=""/>
      <w:lvlJc w:val="left"/>
      <w:pPr>
        <w:ind w:left="2880" w:hanging="360"/>
      </w:pPr>
      <w:rPr>
        <w:rFonts w:ascii="Symbol" w:hAnsi="Symbol" w:hint="default"/>
      </w:rPr>
    </w:lvl>
    <w:lvl w:ilvl="4" w:tplc="C0CE2216">
      <w:start w:val="1"/>
      <w:numFmt w:val="bullet"/>
      <w:lvlText w:val="o"/>
      <w:lvlJc w:val="left"/>
      <w:pPr>
        <w:ind w:left="3600" w:hanging="360"/>
      </w:pPr>
      <w:rPr>
        <w:rFonts w:ascii="Courier New" w:hAnsi="Courier New" w:hint="default"/>
      </w:rPr>
    </w:lvl>
    <w:lvl w:ilvl="5" w:tplc="EEEEBEEA">
      <w:start w:val="1"/>
      <w:numFmt w:val="bullet"/>
      <w:lvlText w:val=""/>
      <w:lvlJc w:val="left"/>
      <w:pPr>
        <w:ind w:left="4320" w:hanging="360"/>
      </w:pPr>
      <w:rPr>
        <w:rFonts w:ascii="Wingdings" w:hAnsi="Wingdings" w:hint="default"/>
      </w:rPr>
    </w:lvl>
    <w:lvl w:ilvl="6" w:tplc="B7CA5402">
      <w:start w:val="1"/>
      <w:numFmt w:val="bullet"/>
      <w:lvlText w:val=""/>
      <w:lvlJc w:val="left"/>
      <w:pPr>
        <w:ind w:left="5040" w:hanging="360"/>
      </w:pPr>
      <w:rPr>
        <w:rFonts w:ascii="Symbol" w:hAnsi="Symbol" w:hint="default"/>
      </w:rPr>
    </w:lvl>
    <w:lvl w:ilvl="7" w:tplc="56D6AFE2">
      <w:start w:val="1"/>
      <w:numFmt w:val="bullet"/>
      <w:lvlText w:val="o"/>
      <w:lvlJc w:val="left"/>
      <w:pPr>
        <w:ind w:left="5760" w:hanging="360"/>
      </w:pPr>
      <w:rPr>
        <w:rFonts w:ascii="Courier New" w:hAnsi="Courier New" w:hint="default"/>
      </w:rPr>
    </w:lvl>
    <w:lvl w:ilvl="8" w:tplc="1A34B1E6">
      <w:start w:val="1"/>
      <w:numFmt w:val="bullet"/>
      <w:lvlText w:val=""/>
      <w:lvlJc w:val="left"/>
      <w:pPr>
        <w:ind w:left="6480" w:hanging="360"/>
      </w:pPr>
      <w:rPr>
        <w:rFonts w:ascii="Wingdings" w:hAnsi="Wingdings" w:hint="default"/>
      </w:rPr>
    </w:lvl>
  </w:abstractNum>
  <w:abstractNum w:abstractNumId="20" w15:restartNumberingAfterBreak="0">
    <w:nsid w:val="60A8C7BD"/>
    <w:multiLevelType w:val="multilevel"/>
    <w:tmpl w:val="175C6626"/>
    <w:lvl w:ilvl="0">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B1D412A"/>
    <w:multiLevelType w:val="multilevel"/>
    <w:tmpl w:val="5248F44A"/>
    <w:lvl w:ilvl="0">
      <w:numFmt w:val="bullet"/>
      <w:lvlText w:val="-"/>
      <w:lvlJc w:val="left"/>
      <w:pPr>
        <w:ind w:left="36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718506F"/>
    <w:multiLevelType w:val="multilevel"/>
    <w:tmpl w:val="9EA2415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0CC2A9"/>
    <w:multiLevelType w:val="multilevel"/>
    <w:tmpl w:val="9C421B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09953113">
    <w:abstractNumId w:val="1"/>
  </w:num>
  <w:num w:numId="2" w16cid:durableId="355426842">
    <w:abstractNumId w:val="5"/>
  </w:num>
  <w:num w:numId="3" w16cid:durableId="134035546">
    <w:abstractNumId w:val="7"/>
  </w:num>
  <w:num w:numId="4" w16cid:durableId="2113745232">
    <w:abstractNumId w:val="19"/>
  </w:num>
  <w:num w:numId="5" w16cid:durableId="777724960">
    <w:abstractNumId w:val="8"/>
  </w:num>
  <w:num w:numId="6" w16cid:durableId="362172145">
    <w:abstractNumId w:val="13"/>
  </w:num>
  <w:num w:numId="7" w16cid:durableId="1448037926">
    <w:abstractNumId w:val="20"/>
  </w:num>
  <w:num w:numId="8" w16cid:durableId="746727319">
    <w:abstractNumId w:val="2"/>
  </w:num>
  <w:num w:numId="9" w16cid:durableId="1982692079">
    <w:abstractNumId w:val="15"/>
  </w:num>
  <w:num w:numId="10" w16cid:durableId="1258634549">
    <w:abstractNumId w:val="23"/>
  </w:num>
  <w:num w:numId="11" w16cid:durableId="392851207">
    <w:abstractNumId w:val="17"/>
  </w:num>
  <w:num w:numId="12" w16cid:durableId="2108229593">
    <w:abstractNumId w:val="22"/>
  </w:num>
  <w:num w:numId="13" w16cid:durableId="1347362481">
    <w:abstractNumId w:val="16"/>
  </w:num>
  <w:num w:numId="14" w16cid:durableId="2030594182">
    <w:abstractNumId w:val="9"/>
  </w:num>
  <w:num w:numId="15" w16cid:durableId="1907766472">
    <w:abstractNumId w:val="4"/>
  </w:num>
  <w:num w:numId="16" w16cid:durableId="1632976019">
    <w:abstractNumId w:val="10"/>
  </w:num>
  <w:num w:numId="17" w16cid:durableId="360015253">
    <w:abstractNumId w:val="3"/>
  </w:num>
  <w:num w:numId="18" w16cid:durableId="558171230">
    <w:abstractNumId w:val="21"/>
  </w:num>
  <w:num w:numId="19" w16cid:durableId="191848064">
    <w:abstractNumId w:val="12"/>
  </w:num>
  <w:num w:numId="20" w16cid:durableId="213077914">
    <w:abstractNumId w:val="18"/>
  </w:num>
  <w:num w:numId="21" w16cid:durableId="1544634316">
    <w:abstractNumId w:val="0"/>
  </w:num>
  <w:num w:numId="22" w16cid:durableId="1436828788">
    <w:abstractNumId w:val="11"/>
  </w:num>
  <w:num w:numId="23" w16cid:durableId="331488298">
    <w:abstractNumId w:val="6"/>
  </w:num>
  <w:num w:numId="24" w16cid:durableId="3037776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attachedTemplate r:id="rId1"/>
  <w:defaultTabStop w:val="720"/>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16"/>
    <w:rsid w:val="0010021E"/>
    <w:rsid w:val="00147E16"/>
    <w:rsid w:val="00156CF7"/>
    <w:rsid w:val="00175A2B"/>
    <w:rsid w:val="00205088"/>
    <w:rsid w:val="00213728"/>
    <w:rsid w:val="002F469B"/>
    <w:rsid w:val="00354504"/>
    <w:rsid w:val="00360A24"/>
    <w:rsid w:val="00397B0C"/>
    <w:rsid w:val="004844D8"/>
    <w:rsid w:val="004C0944"/>
    <w:rsid w:val="004F28DD"/>
    <w:rsid w:val="005F6374"/>
    <w:rsid w:val="0062357A"/>
    <w:rsid w:val="006C45FD"/>
    <w:rsid w:val="006C58E4"/>
    <w:rsid w:val="00705260"/>
    <w:rsid w:val="00710B09"/>
    <w:rsid w:val="00722D4F"/>
    <w:rsid w:val="007265F7"/>
    <w:rsid w:val="008470AC"/>
    <w:rsid w:val="008B262E"/>
    <w:rsid w:val="008B60D7"/>
    <w:rsid w:val="0092551B"/>
    <w:rsid w:val="00952D94"/>
    <w:rsid w:val="00AF4470"/>
    <w:rsid w:val="00B36B10"/>
    <w:rsid w:val="00B9000C"/>
    <w:rsid w:val="00BF45FA"/>
    <w:rsid w:val="00C43ED6"/>
    <w:rsid w:val="00C505C5"/>
    <w:rsid w:val="00CC74EF"/>
    <w:rsid w:val="00D57125"/>
    <w:rsid w:val="00D750E8"/>
    <w:rsid w:val="00E36C45"/>
    <w:rsid w:val="00E7547E"/>
    <w:rsid w:val="00EE39BD"/>
    <w:rsid w:val="00EF33A2"/>
    <w:rsid w:val="00F25F76"/>
    <w:rsid w:val="00F56D27"/>
    <w:rsid w:val="00F60463"/>
    <w:rsid w:val="01B6F25D"/>
    <w:rsid w:val="0263A196"/>
    <w:rsid w:val="03E99555"/>
    <w:rsid w:val="04EE931F"/>
    <w:rsid w:val="0B4386E4"/>
    <w:rsid w:val="0D9A5D5F"/>
    <w:rsid w:val="0F01D1B5"/>
    <w:rsid w:val="1039334C"/>
    <w:rsid w:val="104F137E"/>
    <w:rsid w:val="11D503AD"/>
    <w:rsid w:val="15643ABC"/>
    <w:rsid w:val="15807478"/>
    <w:rsid w:val="1592DC3A"/>
    <w:rsid w:val="163A499D"/>
    <w:rsid w:val="172B4A09"/>
    <w:rsid w:val="182A267A"/>
    <w:rsid w:val="19E1D887"/>
    <w:rsid w:val="1A62EACB"/>
    <w:rsid w:val="1B26E222"/>
    <w:rsid w:val="1B3C9341"/>
    <w:rsid w:val="1C4E9303"/>
    <w:rsid w:val="1D95608E"/>
    <w:rsid w:val="1FC80386"/>
    <w:rsid w:val="20C247A6"/>
    <w:rsid w:val="22BA08E8"/>
    <w:rsid w:val="2948C8B8"/>
    <w:rsid w:val="317299ED"/>
    <w:rsid w:val="31C2EAAF"/>
    <w:rsid w:val="327CE841"/>
    <w:rsid w:val="33599011"/>
    <w:rsid w:val="3372B86E"/>
    <w:rsid w:val="33C7BB44"/>
    <w:rsid w:val="34098B05"/>
    <w:rsid w:val="34CA350B"/>
    <w:rsid w:val="35A55B66"/>
    <w:rsid w:val="377EE954"/>
    <w:rsid w:val="3BDABAAF"/>
    <w:rsid w:val="3EA4303E"/>
    <w:rsid w:val="40FB14A9"/>
    <w:rsid w:val="42CCD16C"/>
    <w:rsid w:val="451E4031"/>
    <w:rsid w:val="45445F05"/>
    <w:rsid w:val="456133A6"/>
    <w:rsid w:val="4604722E"/>
    <w:rsid w:val="4715BED8"/>
    <w:rsid w:val="47A0428F"/>
    <w:rsid w:val="489B244F"/>
    <w:rsid w:val="4AD7E351"/>
    <w:rsid w:val="4B698AE9"/>
    <w:rsid w:val="4C87B110"/>
    <w:rsid w:val="4E5F5BEA"/>
    <w:rsid w:val="51C56687"/>
    <w:rsid w:val="56C382E7"/>
    <w:rsid w:val="581E3DA1"/>
    <w:rsid w:val="5AF0C9A2"/>
    <w:rsid w:val="5B58A560"/>
    <w:rsid w:val="5BB839FC"/>
    <w:rsid w:val="5BDB1711"/>
    <w:rsid w:val="5C789CA5"/>
    <w:rsid w:val="5E286A64"/>
    <w:rsid w:val="5E7D6D3A"/>
    <w:rsid w:val="5EE9A149"/>
    <w:rsid w:val="5F143FD1"/>
    <w:rsid w:val="6237E335"/>
    <w:rsid w:val="629F9EF3"/>
    <w:rsid w:val="62FBDB87"/>
    <w:rsid w:val="666F56C2"/>
    <w:rsid w:val="66CA4EE0"/>
    <w:rsid w:val="67B6244D"/>
    <w:rsid w:val="67CF4CAA"/>
    <w:rsid w:val="67FBE703"/>
    <w:rsid w:val="680B2723"/>
    <w:rsid w:val="68820335"/>
    <w:rsid w:val="68A1F9BA"/>
    <w:rsid w:val="6A01EFA2"/>
    <w:rsid w:val="6AA3E386"/>
    <w:rsid w:val="7214C83E"/>
    <w:rsid w:val="72DBEDD5"/>
    <w:rsid w:val="73D8030F"/>
    <w:rsid w:val="74ACA197"/>
    <w:rsid w:val="79BA6751"/>
    <w:rsid w:val="7A06D895"/>
    <w:rsid w:val="7A8F05D9"/>
    <w:rsid w:val="7D7F7ECF"/>
    <w:rsid w:val="7E2A4EC4"/>
    <w:rsid w:val="7F6586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C0D90"/>
  <w15:chartTrackingRefBased/>
  <w15:docId w15:val="{50425933-3303-4C87-B368-8374C3CF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357A"/>
    <w:rPr>
      <w:sz w:val="24"/>
      <w:szCs w:val="24"/>
      <w:lang w:val="en-US" w:eastAsia="en-U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ro.ontario.ca/notice/019-766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OfficeTemplates\Templates\CITY-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ED Legislative Agenda Resources Document" ma:contentTypeID="0x010100A85AD0C04AA142B6BAF633C1CED63B71F2003480CB1E2E6E7B4B807C5AE0351A1464" ma:contentTypeVersion="9" ma:contentTypeDescription=" " ma:contentTypeScope="" ma:versionID="07b3dcfd226763f7d6ef630eeddb873d">
  <xsd:schema xmlns:xsd="http://www.w3.org/2001/XMLSchema" xmlns:xs="http://www.w3.org/2001/XMLSchema" xmlns:p="http://schemas.microsoft.com/office/2006/metadata/properties" xmlns:ns2="b8b71fe8-ec6a-4b68-a168-8984f99f4c1c" xmlns:ns3="afca3d88-0f6c-4593-9ede-15282e376e34" targetNamespace="http://schemas.microsoft.com/office/2006/metadata/properties" ma:root="true" ma:fieldsID="5422f20bf83c4226be0bf48f4b21beb4" ns2:_="" ns3:_="">
    <xsd:import namespace="b8b71fe8-ec6a-4b68-a168-8984f99f4c1c"/>
    <xsd:import namespace="afca3d88-0f6c-4593-9ede-15282e376e34"/>
    <xsd:element name="properties">
      <xsd:complexType>
        <xsd:sequence>
          <xsd:element name="documentManagement">
            <xsd:complexType>
              <xsd:all>
                <xsd:element ref="ns2:Closed_x0020_Date" minOccurs="0"/>
                <xsd:element ref="ns2:cf723cf4f6294ac786df8ce0a748dce8" minOccurs="0"/>
                <xsd:element ref="ns2:TaxCatchAll" minOccurs="0"/>
                <xsd:element ref="ns2:TaxCatchAllLabel" minOccurs="0"/>
                <xsd:element ref="ns2:jb0de648659b4ccc8315826f37e199da" minOccurs="0"/>
                <xsd:element ref="ns2:m1bdb726da954dfa9d55701cdf0afd1a"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71fe8-ec6a-4b68-a168-8984f99f4c1c" elementFormDefault="qualified">
    <xsd:import namespace="http://schemas.microsoft.com/office/2006/documentManagement/types"/>
    <xsd:import namespace="http://schemas.microsoft.com/office/infopath/2007/PartnerControls"/>
    <xsd:element name="Closed_x0020_Date" ma:index="8" nillable="true" ma:displayName="Closed Date" ma:description="" ma:format="DateOnly" ma:internalName="Closed_x0020_Date" ma:readOnly="false">
      <xsd:simpleType>
        <xsd:restriction base="dms:DateTime"/>
      </xsd:simpleType>
    </xsd:element>
    <xsd:element name="cf723cf4f6294ac786df8ce0a748dce8" ma:index="9" ma:taxonomy="true" ma:internalName="cf723cf4f6294ac786df8ce0a748dce8" ma:taxonomyFieldName="Year" ma:displayName="Year" ma:readOnly="false" ma:default="1;#2023|1c905c19-da71-4784-9e0d-d26fac63e1c2" ma:fieldId="{cf723cf4-f629-4ac7-86df-8ce0a748dce8}" ma:sspId="6be35c7e-fc95-41ab-9e72-a2445f84d619" ma:termSetId="cd130b44-332d-48b5-a541-332e3698f6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9e71b2a-a497-4346-b908-08acc4f506c5}" ma:internalName="TaxCatchAll" ma:showField="CatchAllData" ma:web="b8b71fe8-ec6a-4b68-a168-8984f99f4c1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9e71b2a-a497-4346-b908-08acc4f506c5}" ma:internalName="TaxCatchAllLabel" ma:readOnly="true" ma:showField="CatchAllDataLabel" ma:web="b8b71fe8-ec6a-4b68-a168-8984f99f4c1c">
      <xsd:complexType>
        <xsd:complexContent>
          <xsd:extension base="dms:MultiChoiceLookup">
            <xsd:sequence>
              <xsd:element name="Value" type="dms:Lookup" maxOccurs="unbounded" minOccurs="0" nillable="true"/>
            </xsd:sequence>
          </xsd:extension>
        </xsd:complexContent>
      </xsd:complexType>
    </xsd:element>
    <xsd:element name="jb0de648659b4ccc8315826f37e199da" ma:index="13" ma:taxonomy="true" ma:internalName="jb0de648659b4ccc8315826f37e199da" ma:taxonomyFieldName="Document_x0020_Status" ma:displayName="Document Status" ma:readOnly="false" ma:default="-1;#Draft|2b4831c4-5e06-4503-882e-b0854dc977be" ma:fieldId="{3b0de648-659b-4ccc-8315-826f37e199da}" ma:sspId="6be35c7e-fc95-41ab-9e72-a2445f84d619" ma:termSetId="56ecd3ec-27cf-4732-8d9c-e53480740cb1" ma:anchorId="00000000-0000-0000-0000-000000000000" ma:open="false" ma:isKeyword="false">
      <xsd:complexType>
        <xsd:sequence>
          <xsd:element ref="pc:Terms" minOccurs="0" maxOccurs="1"/>
        </xsd:sequence>
      </xsd:complexType>
    </xsd:element>
    <xsd:element name="m1bdb726da954dfa9d55701cdf0afd1a" ma:index="15" nillable="true" ma:taxonomy="true" ma:internalName="m1bdb726da954dfa9d55701cdf0afd1a" ma:taxonomyFieldName="Knowledge_x0020_Base_x0020_Document_x0020_Topic" ma:displayName="Knowledge Base Document Topic" ma:readOnly="false" ma:default="" ma:fieldId="{61bdb726-da95-4dfa-9d55-701cdf0afd1a}" ma:sspId="6be35c7e-fc95-41ab-9e72-a2445f84d619" ma:termSetId="e4d88f7d-ad26-4d46-bad1-165f5382d007" ma:anchorId="f0e8ac92-0880-42e4-b83d-b33fd2924a36"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ca3d88-0f6c-4593-9ede-15282e376e3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1bdb726da954dfa9d55701cdf0afd1a xmlns="b8b71fe8-ec6a-4b68-a168-8984f99f4c1c">
      <Terms xmlns="http://schemas.microsoft.com/office/infopath/2007/PartnerControls"/>
    </m1bdb726da954dfa9d55701cdf0afd1a>
    <Closed_x0020_Date xmlns="b8b71fe8-ec6a-4b68-a168-8984f99f4c1c" xsi:nil="true"/>
    <jb0de648659b4ccc8315826f37e199da xmlns="b8b71fe8-ec6a-4b68-a168-8984f99f4c1c">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2b4831c4-5e06-4503-882e-b0854dc977be</TermId>
        </TermInfo>
      </Terms>
    </jb0de648659b4ccc8315826f37e199da>
    <TaxCatchAll xmlns="b8b71fe8-ec6a-4b68-a168-8984f99f4c1c">
      <Value>5</Value>
      <Value>2</Value>
    </TaxCatchAll>
    <cf723cf4f6294ac786df8ce0a748dce8 xmlns="b8b71fe8-ec6a-4b68-a168-8984f99f4c1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1c905c19-da71-4784-9e0d-d26fac63e1c2</TermId>
        </TermInfo>
      </Terms>
    </cf723cf4f6294ac786df8ce0a748dce8>
  </documentManagement>
</p:properties>
</file>

<file path=customXml/itemProps1.xml><?xml version="1.0" encoding="utf-8"?>
<ds:datastoreItem xmlns:ds="http://schemas.openxmlformats.org/officeDocument/2006/customXml" ds:itemID="{B05544E3-7B05-4120-9B4A-A720997DE3C3}">
  <ds:schemaRefs>
    <ds:schemaRef ds:uri="http://schemas.microsoft.com/sharepoint/v3/contenttype/forms"/>
  </ds:schemaRefs>
</ds:datastoreItem>
</file>

<file path=customXml/itemProps2.xml><?xml version="1.0" encoding="utf-8"?>
<ds:datastoreItem xmlns:ds="http://schemas.openxmlformats.org/officeDocument/2006/customXml" ds:itemID="{C18938B4-F6DA-4EE2-9CCC-D5B12421D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71fe8-ec6a-4b68-a168-8984f99f4c1c"/>
    <ds:schemaRef ds:uri="afca3d88-0f6c-4593-9ede-15282e376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C4D30-F6D6-4D0F-A088-ADAAC2AF37B7}">
  <ds:schemaRefs>
    <ds:schemaRef ds:uri="http://www.w3.org/XML/1998/namespace"/>
    <ds:schemaRef ds:uri="http://schemas.microsoft.com/office/2006/documentManagement/types"/>
    <ds:schemaRef ds:uri="http://schemas.microsoft.com/office/2006/metadata/properties"/>
    <ds:schemaRef ds:uri="afca3d88-0f6c-4593-9ede-15282e376e34"/>
    <ds:schemaRef ds:uri="b8b71fe8-ec6a-4b68-a168-8984f99f4c1c"/>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CITY-Memo.dotm</Template>
  <TotalTime>1</TotalTime>
  <Pages>5</Pages>
  <Words>1222</Words>
  <Characters>6880</Characters>
  <Application>Microsoft Office Word</Application>
  <DocSecurity>4</DocSecurity>
  <Lines>57</Lines>
  <Paragraphs>16</Paragraphs>
  <ScaleCrop>false</ScaleCrop>
  <Company>City Of Ottawa</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Chiarello, Anthony</dc:creator>
  <cp:keywords/>
  <cp:lastModifiedBy>LeBlanc, Alexandre</cp:lastModifiedBy>
  <cp:revision>2</cp:revision>
  <cp:lastPrinted>2001-01-16T20:47:00Z</cp:lastPrinted>
  <dcterms:created xsi:type="dcterms:W3CDTF">2023-10-27T19:43:00Z</dcterms:created>
  <dcterms:modified xsi:type="dcterms:W3CDTF">2023-10-27T19:43:00Z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0x010100A85AD0C04AA142B6BAF633C1CED63B71F2003480CB1E2E6E7B4B807C5AE0351A1464</vt:lpwstr>
  </property>
  <property fmtid="{D5CDD505-2E9C-101B-9397-08002B2CF9AE}" pid="3" name="Year">
    <vt:lpwstr>5;#2023|1c905c19-da71-4784-9e0d-d26fac63e1c2</vt:lpwstr>
  </property>
  <property fmtid="{D5CDD505-2E9C-101B-9397-08002B2CF9AE}" pid="4" name="Knowledge Base Document Topic">
    <vt:lpwstr/>
  </property>
  <property fmtid="{D5CDD505-2E9C-101B-9397-08002B2CF9AE}" pid="5" name="Document Status">
    <vt:lpwstr>2;#Draft|2b4831c4-5e06-4503-882e-b0854dc977be</vt:lpwstr>
  </property>
</Properties>
</file>