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2569" w:rsidP="2D28E233" w:rsidRDefault="3F2F4B8B" w14:paraId="2C078E63" w14:textId="4DA48C65">
      <w:pPr>
        <w:jc w:val="right"/>
      </w:pPr>
      <w:r w:rsidRPr="5CAE8E1E" w:rsidR="16B423D8">
        <w:rPr>
          <w:sz w:val="48"/>
          <w:szCs w:val="48"/>
        </w:rPr>
        <w:t>COMMENT</w:t>
      </w:r>
      <w:r>
        <w:tab/>
      </w:r>
      <w:r>
        <w:tab/>
      </w:r>
      <w:r>
        <w:tab/>
      </w:r>
      <w:r>
        <w:tab/>
      </w:r>
      <w:r>
        <w:tab/>
      </w:r>
      <w:r w:rsidR="764DCD72">
        <w:drawing>
          <wp:inline wp14:editId="5CAE8E1E" wp14:anchorId="23F198DE">
            <wp:extent cx="1822405" cy="1076526"/>
            <wp:effectExtent l="0" t="0" r="0" b="0"/>
            <wp:docPr id="2062533465" name="Picture 206253346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062533465"/>
                    <pic:cNvPicPr/>
                  </pic:nvPicPr>
                  <pic:blipFill>
                    <a:blip r:embed="R1e09998e8d6a487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2405" cy="107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2A9065A" w:rsidP="5CAE8E1E" w:rsidRDefault="62A9065A" w14:paraId="1D482D03" w14:textId="1624D3BF">
      <w:pPr>
        <w:pStyle w:val="Normal"/>
        <w:spacing w:after="0"/>
        <w:rPr>
          <w:rFonts w:ascii="Cambria" w:hAnsi="Cambria" w:eastAsia="Cambria" w:cs="Cambria"/>
          <w:sz w:val="24"/>
          <w:szCs w:val="24"/>
        </w:rPr>
      </w:pPr>
    </w:p>
    <w:p w:rsidR="62A9065A" w:rsidP="5CAE8E1E" w:rsidRDefault="62A9065A" w14:paraId="31812CEF" w14:textId="1608AE59">
      <w:pPr>
        <w:pStyle w:val="Normal"/>
        <w:spacing w:after="0"/>
        <w:rPr>
          <w:rFonts w:ascii="Cambria" w:hAnsi="Cambria" w:eastAsia="Cambria" w:cs="Cambria"/>
          <w:sz w:val="24"/>
          <w:szCs w:val="24"/>
        </w:rPr>
      </w:pPr>
      <w:bookmarkStart w:name="_Int_MTiUjRe4" w:id="1349236538"/>
      <w:r w:rsidRPr="2CA62BA2" w:rsidR="363BA12D">
        <w:rPr>
          <w:rFonts w:ascii="Cambria" w:hAnsi="Cambria" w:eastAsia="Cambria" w:cs="Cambria"/>
          <w:sz w:val="24"/>
          <w:szCs w:val="24"/>
        </w:rPr>
        <w:t>To:</w:t>
      </w:r>
      <w:r>
        <w:tab/>
      </w:r>
      <w:bookmarkEnd w:id="1349236538"/>
      <w:r w:rsidRPr="2CA62BA2" w:rsidR="363BA12D">
        <w:rPr>
          <w:rFonts w:ascii="Cambria" w:hAnsi="Cambria" w:eastAsia="Cambria" w:cs="Cambria"/>
          <w:sz w:val="24"/>
          <w:szCs w:val="24"/>
        </w:rPr>
        <w:t xml:space="preserve">Municipal Finance Policy Branch, Attn: Ruchi </w:t>
      </w:r>
      <w:r w:rsidRPr="2CA62BA2" w:rsidR="31A44045">
        <w:rPr>
          <w:rFonts w:ascii="Cambria" w:hAnsi="Cambria" w:eastAsia="Cambria" w:cs="Cambria"/>
          <w:sz w:val="24"/>
          <w:szCs w:val="24"/>
        </w:rPr>
        <w:t>Parkash</w:t>
      </w:r>
      <w:r w:rsidRPr="2CA62BA2" w:rsidR="31A44045">
        <w:rPr>
          <w:rFonts w:ascii="Cambria" w:hAnsi="Cambria" w:eastAsia="Cambria" w:cs="Cambria"/>
          <w:sz w:val="24"/>
          <w:szCs w:val="24"/>
        </w:rPr>
        <w:t>.</w:t>
      </w:r>
    </w:p>
    <w:p w:rsidR="62A9065A" w:rsidP="2D28E233" w:rsidRDefault="62A9065A" w14:paraId="5066F63C" w14:textId="68D921D5">
      <w:pPr>
        <w:spacing w:after="0"/>
        <w:rPr>
          <w:rFonts w:ascii="Cambria" w:hAnsi="Cambria" w:eastAsia="Cambria" w:cs="Cambria"/>
          <w:sz w:val="24"/>
          <w:szCs w:val="24"/>
        </w:rPr>
      </w:pPr>
      <w:bookmarkStart w:name="_Int_yqWLk9ZM" w:id="2125495972"/>
      <w:r w:rsidRPr="2CA62BA2" w:rsidR="448AAF9D">
        <w:rPr>
          <w:rFonts w:ascii="Cambria" w:hAnsi="Cambria" w:eastAsia="Cambria" w:cs="Cambria"/>
          <w:sz w:val="24"/>
          <w:szCs w:val="24"/>
        </w:rPr>
        <w:t>Date:</w:t>
      </w:r>
      <w:r>
        <w:tab/>
      </w:r>
      <w:bookmarkEnd w:id="2125495972"/>
      <w:r w:rsidRPr="2CA62BA2" w:rsidR="5713B97B">
        <w:rPr>
          <w:rFonts w:ascii="Cambria" w:hAnsi="Cambria" w:eastAsia="Cambria" w:cs="Cambria"/>
          <w:sz w:val="24"/>
          <w:szCs w:val="24"/>
        </w:rPr>
        <w:t>Satur</w:t>
      </w:r>
      <w:r w:rsidRPr="2CA62BA2" w:rsidR="33FD7C96">
        <w:rPr>
          <w:rFonts w:ascii="Cambria" w:hAnsi="Cambria" w:eastAsia="Cambria" w:cs="Cambria"/>
          <w:sz w:val="24"/>
          <w:szCs w:val="24"/>
        </w:rPr>
        <w:t xml:space="preserve">day, </w:t>
      </w:r>
      <w:r w:rsidRPr="2CA62BA2" w:rsidR="7DF3967E">
        <w:rPr>
          <w:rFonts w:ascii="Cambria" w:hAnsi="Cambria" w:eastAsia="Cambria" w:cs="Cambria"/>
          <w:sz w:val="24"/>
          <w:szCs w:val="24"/>
        </w:rPr>
        <w:t>Octo</w:t>
      </w:r>
      <w:r w:rsidRPr="2CA62BA2" w:rsidR="33FD7C96">
        <w:rPr>
          <w:rFonts w:ascii="Cambria" w:hAnsi="Cambria" w:eastAsia="Cambria" w:cs="Cambria"/>
          <w:sz w:val="24"/>
          <w:szCs w:val="24"/>
        </w:rPr>
        <w:t>ber 2</w:t>
      </w:r>
      <w:r w:rsidRPr="2CA62BA2" w:rsidR="525C85A5">
        <w:rPr>
          <w:rFonts w:ascii="Cambria" w:hAnsi="Cambria" w:eastAsia="Cambria" w:cs="Cambria"/>
          <w:sz w:val="24"/>
          <w:szCs w:val="24"/>
        </w:rPr>
        <w:t>8</w:t>
      </w:r>
      <w:r w:rsidRPr="2CA62BA2" w:rsidR="33FD7C96">
        <w:rPr>
          <w:rFonts w:ascii="Cambria" w:hAnsi="Cambria" w:eastAsia="Cambria" w:cs="Cambria"/>
          <w:sz w:val="24"/>
          <w:szCs w:val="24"/>
        </w:rPr>
        <w:t>, 2023</w:t>
      </w:r>
      <w:r w:rsidRPr="2CA62BA2" w:rsidR="629FB7C5">
        <w:rPr>
          <w:rFonts w:ascii="Cambria" w:hAnsi="Cambria" w:eastAsia="Cambria" w:cs="Cambria"/>
          <w:sz w:val="24"/>
          <w:szCs w:val="24"/>
        </w:rPr>
        <w:t>.</w:t>
      </w:r>
    </w:p>
    <w:p w:rsidR="5FF2D0BD" w:rsidP="5CAE8E1E" w:rsidRDefault="5FF2D0BD" w14:paraId="19EE6E85" w14:textId="0E544C73">
      <w:pPr>
        <w:spacing w:after="0"/>
        <w:rPr>
          <w:rFonts w:ascii="Cambria" w:hAnsi="Cambria" w:eastAsia="Cambria" w:cs="Cambria"/>
          <w:sz w:val="24"/>
          <w:szCs w:val="24"/>
        </w:rPr>
      </w:pPr>
      <w:bookmarkStart w:name="_Int_hyKbfP22" w:id="1327329183"/>
      <w:r w:rsidRPr="2CA62BA2" w:rsidR="62A9065A">
        <w:rPr>
          <w:rFonts w:ascii="Cambria" w:hAnsi="Cambria" w:eastAsia="Cambria" w:cs="Cambria"/>
          <w:sz w:val="24"/>
          <w:szCs w:val="24"/>
        </w:rPr>
        <w:t>Re:</w:t>
      </w:r>
      <w:r>
        <w:tab/>
      </w:r>
      <w:bookmarkEnd w:id="1327329183"/>
      <w:r w:rsidRPr="2CA62BA2" w:rsidR="2FBF5A1A">
        <w:rPr>
          <w:rFonts w:ascii="Cambria" w:hAnsi="Cambria" w:eastAsia="Cambria" w:cs="Cambria"/>
          <w:sz w:val="24"/>
          <w:szCs w:val="24"/>
        </w:rPr>
        <w:t xml:space="preserve">Changes to the definition of an “Affordable </w:t>
      </w:r>
      <w:r w:rsidRPr="2CA62BA2" w:rsidR="1489C304">
        <w:rPr>
          <w:rFonts w:ascii="Cambria" w:hAnsi="Cambria" w:eastAsia="Cambria" w:cs="Cambria"/>
          <w:sz w:val="24"/>
          <w:szCs w:val="24"/>
        </w:rPr>
        <w:t xml:space="preserve">Residential </w:t>
      </w:r>
      <w:r w:rsidRPr="2CA62BA2" w:rsidR="2FBF5A1A">
        <w:rPr>
          <w:rFonts w:ascii="Cambria" w:hAnsi="Cambria" w:eastAsia="Cambria" w:cs="Cambria"/>
          <w:sz w:val="24"/>
          <w:szCs w:val="24"/>
        </w:rPr>
        <w:t xml:space="preserve">Unit” in the </w:t>
      </w:r>
      <w:r w:rsidRPr="2CA62BA2" w:rsidR="2FBF5A1A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Development </w:t>
      </w:r>
      <w:r>
        <w:tab/>
      </w:r>
      <w:r w:rsidRPr="2CA62BA2" w:rsidR="2FBF5A1A">
        <w:rPr>
          <w:rFonts w:ascii="Cambria" w:hAnsi="Cambria" w:eastAsia="Cambria" w:cs="Cambria"/>
          <w:i w:val="1"/>
          <w:iCs w:val="1"/>
          <w:sz w:val="24"/>
          <w:szCs w:val="24"/>
        </w:rPr>
        <w:t>Charges Act,</w:t>
      </w:r>
      <w:r w:rsidRPr="2CA62BA2" w:rsidR="7D79FE7A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 </w:t>
      </w:r>
      <w:r w:rsidRPr="2CA62BA2" w:rsidR="2FBF5A1A">
        <w:rPr>
          <w:rFonts w:ascii="Cambria" w:hAnsi="Cambria" w:eastAsia="Cambria" w:cs="Cambria"/>
          <w:i w:val="1"/>
          <w:iCs w:val="1"/>
          <w:sz w:val="24"/>
          <w:szCs w:val="24"/>
        </w:rPr>
        <w:t>1997</w:t>
      </w:r>
      <w:r w:rsidRPr="2CA62BA2" w:rsidR="2FBF5A1A">
        <w:rPr>
          <w:rFonts w:ascii="Cambria" w:hAnsi="Cambria" w:eastAsia="Cambria" w:cs="Cambria"/>
          <w:sz w:val="24"/>
          <w:szCs w:val="24"/>
        </w:rPr>
        <w:t xml:space="preserve"> for the purpose of municipal development-related charge</w:t>
      </w:r>
      <w:r w:rsidRPr="2CA62BA2" w:rsidR="25B58279">
        <w:rPr>
          <w:rFonts w:ascii="Cambria" w:hAnsi="Cambria" w:eastAsia="Cambria" w:cs="Cambria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2CA62BA2" w:rsidR="5BB4AE41">
        <w:rPr>
          <w:rFonts w:ascii="Cambria" w:hAnsi="Cambria" w:eastAsia="Cambria" w:cs="Cambria"/>
          <w:sz w:val="24"/>
          <w:szCs w:val="24"/>
        </w:rPr>
        <w:t>d</w:t>
      </w:r>
      <w:r w:rsidRPr="2CA62BA2" w:rsidR="5BB4AE41">
        <w:rPr>
          <w:rFonts w:ascii="Cambria" w:hAnsi="Cambria" w:eastAsia="Cambria" w:cs="Cambria"/>
          <w:sz w:val="24"/>
          <w:szCs w:val="24"/>
        </w:rPr>
        <w:t xml:space="preserve">iscounts and </w:t>
      </w:r>
      <w:r w:rsidRPr="2CA62BA2" w:rsidR="5BB4AE41">
        <w:rPr>
          <w:rFonts w:ascii="Cambria" w:hAnsi="Cambria" w:eastAsia="Cambria" w:cs="Cambria"/>
          <w:sz w:val="24"/>
          <w:szCs w:val="24"/>
        </w:rPr>
        <w:t xml:space="preserve">exemptions. - </w:t>
      </w:r>
      <w:r w:rsidRPr="2CA62BA2" w:rsidR="5BB4AE41">
        <w:rPr>
          <w:rFonts w:ascii="Cambria" w:hAnsi="Cambria" w:eastAsia="Cambria" w:cs="Cambria"/>
          <w:i w:val="1"/>
          <w:iCs w:val="1"/>
          <w:sz w:val="24"/>
          <w:szCs w:val="24"/>
        </w:rPr>
        <w:t>Ministry of Municipal Affairs and Housing</w:t>
      </w:r>
      <w:r w:rsidRPr="2CA62BA2" w:rsidR="5BB4AE41">
        <w:rPr>
          <w:rFonts w:ascii="Cambria" w:hAnsi="Cambria" w:eastAsia="Cambria" w:cs="Cambria"/>
          <w:sz w:val="24"/>
          <w:szCs w:val="24"/>
        </w:rPr>
        <w:t>.</w:t>
      </w:r>
    </w:p>
    <w:p w:rsidR="5FF2D0BD" w:rsidP="5CAE8E1E" w:rsidRDefault="5FF2D0BD" w14:paraId="6E523987" w14:textId="751C90DB">
      <w:pPr>
        <w:pStyle w:val="Normal"/>
        <w:spacing w:after="0"/>
        <w:rPr>
          <w:rFonts w:ascii="Cambria" w:hAnsi="Cambria" w:eastAsia="Cambria" w:cs="Cambria"/>
          <w:sz w:val="24"/>
          <w:szCs w:val="24"/>
        </w:rPr>
      </w:pPr>
      <w:bookmarkStart w:name="_Int_c9qhfeQr" w:id="991376519"/>
      <w:r w:rsidRPr="2CA62BA2" w:rsidR="1EF4AF3B">
        <w:rPr>
          <w:rFonts w:ascii="Cambria" w:hAnsi="Cambria" w:eastAsia="Cambria" w:cs="Cambria"/>
          <w:sz w:val="24"/>
          <w:szCs w:val="24"/>
        </w:rPr>
        <w:t>ERO:</w:t>
      </w:r>
      <w:r>
        <w:tab/>
      </w:r>
      <w:bookmarkEnd w:id="991376519"/>
      <w:r w:rsidRPr="2CA62BA2" w:rsidR="1EF4AF3B">
        <w:rPr>
          <w:rFonts w:ascii="Cambria" w:hAnsi="Cambria" w:eastAsia="Cambria" w:cs="Cambria"/>
          <w:sz w:val="24"/>
          <w:szCs w:val="24"/>
        </w:rPr>
        <w:t>019-7669</w:t>
      </w:r>
    </w:p>
    <w:p w:rsidR="5FF2D0BD" w:rsidP="2D28E233" w:rsidRDefault="5FF2D0BD" w14:paraId="78948253" w14:textId="033AA1D0">
      <w:pPr>
        <w:spacing w:after="0"/>
        <w:rPr>
          <w:rFonts w:ascii="Cambria" w:hAnsi="Cambria" w:eastAsia="Cambria" w:cs="Cambria"/>
          <w:sz w:val="24"/>
          <w:szCs w:val="24"/>
        </w:rPr>
      </w:pPr>
      <w:r w:rsidRPr="5CAE8E1E" w:rsidR="5FF2D0BD">
        <w:rPr>
          <w:rFonts w:ascii="Cambria" w:hAnsi="Cambria" w:eastAsia="Cambria" w:cs="Cambria"/>
          <w:sz w:val="24"/>
          <w:szCs w:val="24"/>
        </w:rPr>
        <w:t>________________________________________________________________________________________________________</w:t>
      </w:r>
    </w:p>
    <w:p w:rsidR="2D28E233" w:rsidP="2D28E233" w:rsidRDefault="2D28E233" w14:paraId="1031E668" w14:textId="4E02285A">
      <w:pPr>
        <w:spacing w:after="0"/>
        <w:rPr>
          <w:rFonts w:ascii="Cambria" w:hAnsi="Cambria" w:eastAsia="Cambria" w:cs="Cambria"/>
          <w:sz w:val="24"/>
          <w:szCs w:val="24"/>
        </w:rPr>
      </w:pPr>
    </w:p>
    <w:p w:rsidR="357610C9" w:rsidP="5CAE8E1E" w:rsidRDefault="357610C9" w14:paraId="649E4B69" w14:textId="7D72365E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357610C9">
        <w:rPr>
          <w:rFonts w:ascii="Cambria" w:hAnsi="Cambria" w:eastAsia="Cambria" w:cs="Cambria"/>
          <w:sz w:val="24"/>
          <w:szCs w:val="24"/>
        </w:rPr>
        <w:t>T</w:t>
      </w:r>
      <w:r w:rsidRPr="2CA62BA2" w:rsidR="24BEE715">
        <w:rPr>
          <w:rFonts w:ascii="Cambria" w:hAnsi="Cambria" w:eastAsia="Cambria" w:cs="Cambria"/>
          <w:sz w:val="24"/>
          <w:szCs w:val="24"/>
        </w:rPr>
        <w:t>he Toronto Alliance to End Homelessness</w:t>
      </w:r>
      <w:r w:rsidRPr="2CA62BA2" w:rsidR="3E906702">
        <w:rPr>
          <w:rFonts w:ascii="Cambria" w:hAnsi="Cambria" w:eastAsia="Cambria" w:cs="Cambria"/>
          <w:sz w:val="24"/>
          <w:szCs w:val="24"/>
        </w:rPr>
        <w:t xml:space="preserve"> (TAEH)</w:t>
      </w:r>
      <w:r w:rsidRPr="2CA62BA2" w:rsidR="401D1661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401D1661">
        <w:rPr>
          <w:rFonts w:ascii="Cambria" w:hAnsi="Cambria" w:eastAsia="Cambria" w:cs="Cambria"/>
          <w:sz w:val="24"/>
          <w:szCs w:val="24"/>
        </w:rPr>
        <w:t>is</w:t>
      </w:r>
      <w:r w:rsidRPr="2CA62BA2" w:rsidR="66772D79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45C9A012">
        <w:rPr>
          <w:rFonts w:ascii="Cambria" w:hAnsi="Cambria" w:eastAsia="Cambria" w:cs="Cambria"/>
          <w:sz w:val="24"/>
          <w:szCs w:val="24"/>
        </w:rPr>
        <w:t>a community-based collective impact initiative committed to ending homelessness in Toronto</w:t>
      </w:r>
      <w:r w:rsidRPr="2CA62BA2" w:rsidR="3017E3C2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0E6ADBA8">
        <w:rPr>
          <w:rFonts w:ascii="Cambria" w:hAnsi="Cambria" w:eastAsia="Cambria" w:cs="Cambria"/>
          <w:sz w:val="24"/>
          <w:szCs w:val="24"/>
        </w:rPr>
        <w:t>Our network includes</w:t>
      </w:r>
      <w:r w:rsidRPr="2CA62BA2" w:rsidR="45C9A012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0235516B">
        <w:rPr>
          <w:rFonts w:ascii="Cambria" w:hAnsi="Cambria" w:eastAsia="Cambria" w:cs="Cambria"/>
          <w:sz w:val="24"/>
          <w:szCs w:val="24"/>
        </w:rPr>
        <w:t xml:space="preserve">not-for–profit organisations that </w:t>
      </w:r>
      <w:r w:rsidRPr="2CA62BA2" w:rsidR="553EC95D">
        <w:rPr>
          <w:rFonts w:ascii="Cambria" w:hAnsi="Cambria" w:eastAsia="Cambria" w:cs="Cambria"/>
          <w:sz w:val="24"/>
          <w:szCs w:val="24"/>
        </w:rPr>
        <w:t xml:space="preserve">support those living with homelessness and those who are housed and </w:t>
      </w:r>
      <w:r w:rsidRPr="2CA62BA2" w:rsidR="079AB3E9">
        <w:rPr>
          <w:rFonts w:ascii="Cambria" w:hAnsi="Cambria" w:eastAsia="Cambria" w:cs="Cambria"/>
          <w:sz w:val="24"/>
          <w:szCs w:val="24"/>
        </w:rPr>
        <w:t>who must spend a disproportionate amount of income on housing</w:t>
      </w:r>
      <w:r w:rsidRPr="2CA62BA2" w:rsidR="79B90092">
        <w:rPr>
          <w:rFonts w:ascii="Cambria" w:hAnsi="Cambria" w:eastAsia="Cambria" w:cs="Cambria"/>
          <w:sz w:val="24"/>
          <w:szCs w:val="24"/>
        </w:rPr>
        <w:t>.</w:t>
      </w:r>
      <w:r w:rsidRPr="2CA62BA2" w:rsidR="227B633A">
        <w:rPr>
          <w:rFonts w:ascii="Cambria" w:hAnsi="Cambria" w:eastAsia="Cambria" w:cs="Cambria"/>
          <w:sz w:val="24"/>
          <w:szCs w:val="24"/>
        </w:rPr>
        <w:t xml:space="preserve">, as well as </w:t>
      </w:r>
      <w:r w:rsidRPr="2CA62BA2" w:rsidR="7C3F7CBF">
        <w:rPr>
          <w:rFonts w:ascii="Cambria" w:hAnsi="Cambria" w:eastAsia="Cambria" w:cs="Cambria"/>
          <w:sz w:val="24"/>
          <w:szCs w:val="24"/>
        </w:rPr>
        <w:t>affordable</w:t>
      </w:r>
      <w:r w:rsidRPr="2CA62BA2" w:rsidR="7C3F7CBF">
        <w:rPr>
          <w:rFonts w:ascii="Cambria" w:hAnsi="Cambria" w:eastAsia="Cambria" w:cs="Cambria"/>
          <w:sz w:val="24"/>
          <w:szCs w:val="24"/>
        </w:rPr>
        <w:t xml:space="preserve"> and supportive</w:t>
      </w:r>
      <w:r w:rsidRPr="2CA62BA2" w:rsidR="5441FACD">
        <w:rPr>
          <w:rFonts w:ascii="Cambria" w:hAnsi="Cambria" w:eastAsia="Cambria" w:cs="Cambria"/>
          <w:sz w:val="24"/>
          <w:szCs w:val="24"/>
        </w:rPr>
        <w:t xml:space="preserve"> housing developers, property managers, and </w:t>
      </w:r>
      <w:r w:rsidRPr="2CA62BA2" w:rsidR="0ACB47E4">
        <w:rPr>
          <w:rFonts w:ascii="Cambria" w:hAnsi="Cambria" w:eastAsia="Cambria" w:cs="Cambria"/>
          <w:sz w:val="24"/>
          <w:szCs w:val="24"/>
        </w:rPr>
        <w:t>landlords.</w:t>
      </w:r>
    </w:p>
    <w:p w:rsidR="5CAE8E1E" w:rsidP="5CAE8E1E" w:rsidRDefault="5CAE8E1E" w14:paraId="556EA641" w14:textId="347A4842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0ACB47E4" w:rsidP="5CAE8E1E" w:rsidRDefault="0ACB47E4" w14:paraId="528621E3" w14:textId="3BC8E998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0ACB47E4">
        <w:rPr>
          <w:rFonts w:ascii="Cambria" w:hAnsi="Cambria" w:eastAsia="Cambria" w:cs="Cambria"/>
          <w:sz w:val="24"/>
          <w:szCs w:val="24"/>
        </w:rPr>
        <w:t xml:space="preserve">As part of our mission, TAEH </w:t>
      </w:r>
      <w:r w:rsidRPr="2CA62BA2" w:rsidR="079AB3E9">
        <w:rPr>
          <w:rFonts w:ascii="Cambria" w:hAnsi="Cambria" w:eastAsia="Cambria" w:cs="Cambria"/>
          <w:sz w:val="24"/>
          <w:szCs w:val="24"/>
        </w:rPr>
        <w:t>work</w:t>
      </w:r>
      <w:r w:rsidRPr="2CA62BA2" w:rsidR="2FE5CF53">
        <w:rPr>
          <w:rFonts w:ascii="Cambria" w:hAnsi="Cambria" w:eastAsia="Cambria" w:cs="Cambria"/>
          <w:sz w:val="24"/>
          <w:szCs w:val="24"/>
        </w:rPr>
        <w:t>s</w:t>
      </w:r>
      <w:r w:rsidRPr="2CA62BA2" w:rsidR="079AB3E9">
        <w:rPr>
          <w:rFonts w:ascii="Cambria" w:hAnsi="Cambria" w:eastAsia="Cambria" w:cs="Cambria"/>
          <w:sz w:val="24"/>
          <w:szCs w:val="24"/>
        </w:rPr>
        <w:t xml:space="preserve"> directly with the </w:t>
      </w:r>
      <w:r w:rsidRPr="2CA62BA2" w:rsidR="6D53BCE5">
        <w:rPr>
          <w:rFonts w:ascii="Cambria" w:hAnsi="Cambria" w:eastAsia="Cambria" w:cs="Cambria"/>
          <w:sz w:val="24"/>
          <w:szCs w:val="24"/>
        </w:rPr>
        <w:t>City</w:t>
      </w:r>
      <w:r w:rsidRPr="2CA62BA2" w:rsidR="079AB3E9">
        <w:rPr>
          <w:rFonts w:ascii="Cambria" w:hAnsi="Cambria" w:eastAsia="Cambria" w:cs="Cambria"/>
          <w:sz w:val="24"/>
          <w:szCs w:val="24"/>
        </w:rPr>
        <w:t xml:space="preserve"> of Tor</w:t>
      </w:r>
      <w:r w:rsidRPr="2CA62BA2" w:rsidR="28E3B94D">
        <w:rPr>
          <w:rFonts w:ascii="Cambria" w:hAnsi="Cambria" w:eastAsia="Cambria" w:cs="Cambria"/>
          <w:sz w:val="24"/>
          <w:szCs w:val="24"/>
        </w:rPr>
        <w:t>o</w:t>
      </w:r>
      <w:r w:rsidRPr="2CA62BA2" w:rsidR="079AB3E9">
        <w:rPr>
          <w:rFonts w:ascii="Cambria" w:hAnsi="Cambria" w:eastAsia="Cambria" w:cs="Cambria"/>
          <w:sz w:val="24"/>
          <w:szCs w:val="24"/>
        </w:rPr>
        <w:t>nto</w:t>
      </w:r>
      <w:r w:rsidRPr="2CA62BA2" w:rsidR="039156B8">
        <w:rPr>
          <w:rFonts w:ascii="Cambria" w:hAnsi="Cambria" w:eastAsia="Cambria" w:cs="Cambria"/>
          <w:sz w:val="24"/>
          <w:szCs w:val="24"/>
        </w:rPr>
        <w:t xml:space="preserve"> in its mandates </w:t>
      </w:r>
      <w:r w:rsidRPr="2CA62BA2" w:rsidR="04E47E4C">
        <w:rPr>
          <w:rFonts w:ascii="Cambria" w:hAnsi="Cambria" w:eastAsia="Cambria" w:cs="Cambria"/>
          <w:sz w:val="24"/>
          <w:szCs w:val="24"/>
        </w:rPr>
        <w:t>surrounding</w:t>
      </w:r>
      <w:r w:rsidRPr="2CA62BA2" w:rsidR="039156B8">
        <w:rPr>
          <w:rFonts w:ascii="Cambria" w:hAnsi="Cambria" w:eastAsia="Cambria" w:cs="Cambria"/>
          <w:sz w:val="24"/>
          <w:szCs w:val="24"/>
        </w:rPr>
        <w:t xml:space="preserve"> homelessness and </w:t>
      </w:r>
      <w:r w:rsidRPr="2CA62BA2" w:rsidR="039156B8">
        <w:rPr>
          <w:rFonts w:ascii="Cambria" w:hAnsi="Cambria" w:eastAsia="Cambria" w:cs="Cambria"/>
          <w:sz w:val="24"/>
          <w:szCs w:val="24"/>
        </w:rPr>
        <w:t>maintaining</w:t>
      </w:r>
      <w:r w:rsidRPr="2CA62BA2" w:rsidR="039156B8">
        <w:rPr>
          <w:rFonts w:ascii="Cambria" w:hAnsi="Cambria" w:eastAsia="Cambria" w:cs="Cambria"/>
          <w:sz w:val="24"/>
          <w:szCs w:val="24"/>
        </w:rPr>
        <w:t xml:space="preserve"> and growing affordable housing stock in the city</w:t>
      </w:r>
      <w:r w:rsidRPr="2CA62BA2" w:rsidR="6436F0E4">
        <w:rPr>
          <w:rFonts w:ascii="Cambria" w:hAnsi="Cambria" w:eastAsia="Cambria" w:cs="Cambria"/>
          <w:sz w:val="24"/>
          <w:szCs w:val="24"/>
        </w:rPr>
        <w:t>, including engagement on client support services and funding</w:t>
      </w:r>
      <w:r w:rsidRPr="2CA62BA2" w:rsidR="4D1CE3B1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430996B1">
        <w:rPr>
          <w:rFonts w:ascii="Cambria" w:hAnsi="Cambria" w:eastAsia="Cambria" w:cs="Cambria"/>
          <w:sz w:val="24"/>
          <w:szCs w:val="24"/>
        </w:rPr>
        <w:t>This includes</w:t>
      </w:r>
      <w:r w:rsidRPr="2CA62BA2" w:rsidR="6436F0E4">
        <w:rPr>
          <w:rFonts w:ascii="Cambria" w:hAnsi="Cambria" w:eastAsia="Cambria" w:cs="Cambria"/>
          <w:sz w:val="24"/>
          <w:szCs w:val="24"/>
        </w:rPr>
        <w:t xml:space="preserve"> TAEH co-chair</w:t>
      </w:r>
      <w:r w:rsidRPr="2CA62BA2" w:rsidR="09EFB440">
        <w:rPr>
          <w:rFonts w:ascii="Cambria" w:hAnsi="Cambria" w:eastAsia="Cambria" w:cs="Cambria"/>
          <w:sz w:val="24"/>
          <w:szCs w:val="24"/>
        </w:rPr>
        <w:t>ing</w:t>
      </w:r>
      <w:r w:rsidRPr="2CA62BA2" w:rsidR="6436F0E4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26FAFF87">
        <w:rPr>
          <w:rFonts w:ascii="Cambria" w:hAnsi="Cambria" w:eastAsia="Cambria" w:cs="Cambria"/>
          <w:sz w:val="24"/>
          <w:szCs w:val="24"/>
        </w:rPr>
        <w:t xml:space="preserve">the Toronto Housing and Homelessness Service Planning Forum </w:t>
      </w:r>
      <w:r w:rsidRPr="2CA62BA2" w:rsidR="22DBD616">
        <w:rPr>
          <w:rFonts w:ascii="Cambria" w:hAnsi="Cambria" w:eastAsia="Cambria" w:cs="Cambria"/>
          <w:sz w:val="24"/>
          <w:szCs w:val="24"/>
        </w:rPr>
        <w:t xml:space="preserve">with </w:t>
      </w:r>
      <w:r w:rsidRPr="2CA62BA2" w:rsidR="0E8B6A6E">
        <w:rPr>
          <w:rFonts w:ascii="Cambria" w:hAnsi="Cambria" w:eastAsia="Cambria" w:cs="Cambria"/>
          <w:sz w:val="24"/>
          <w:szCs w:val="24"/>
        </w:rPr>
        <w:t xml:space="preserve">both </w:t>
      </w:r>
      <w:r w:rsidRPr="2CA62BA2" w:rsidR="3F1E2C29">
        <w:rPr>
          <w:rFonts w:ascii="Cambria" w:hAnsi="Cambria" w:eastAsia="Cambria" w:cs="Cambria"/>
          <w:sz w:val="24"/>
          <w:szCs w:val="24"/>
        </w:rPr>
        <w:t>the City of Toronto</w:t>
      </w:r>
      <w:r w:rsidRPr="2CA62BA2" w:rsidR="22DBD616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14DDD9B9">
        <w:rPr>
          <w:rFonts w:ascii="Cambria" w:hAnsi="Cambria" w:eastAsia="Cambria" w:cs="Cambria"/>
          <w:sz w:val="24"/>
          <w:szCs w:val="24"/>
        </w:rPr>
        <w:t>Shelter, Supports and Housing Administration and the Housing Secretariat</w:t>
      </w:r>
      <w:r w:rsidRPr="2CA62BA2" w:rsidR="54A68942">
        <w:rPr>
          <w:rFonts w:ascii="Cambria" w:hAnsi="Cambria" w:eastAsia="Cambria" w:cs="Cambria"/>
          <w:sz w:val="24"/>
          <w:szCs w:val="24"/>
        </w:rPr>
        <w:t>.</w:t>
      </w:r>
    </w:p>
    <w:p w:rsidR="5CAE8E1E" w:rsidP="5CAE8E1E" w:rsidRDefault="5CAE8E1E" w14:paraId="7F79BE65" w14:textId="07E73505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2CA62BA2" w:rsidP="2CA62BA2" w:rsidRDefault="2CA62BA2" w14:paraId="38FFA673" w14:textId="653EF7D9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37C0A24A" w:rsidP="2CA62BA2" w:rsidRDefault="37C0A24A" w14:paraId="4547311E" w14:textId="63B2D7CC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</w:pPr>
      <w:r w:rsidRPr="2CA62BA2" w:rsidR="7D37B0B1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>Recommendations.</w:t>
      </w:r>
    </w:p>
    <w:p w:rsidR="2CA62BA2" w:rsidP="2CA62BA2" w:rsidRDefault="2CA62BA2" w14:paraId="2EAA3866" w14:textId="5BB505AB">
      <w:pPr>
        <w:pStyle w:val="Normal"/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</w:p>
    <w:p w:rsidR="55A334BB" w:rsidP="2CA62BA2" w:rsidRDefault="55A334BB" w14:paraId="16F08D08" w14:textId="76FF3ED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55A334BB">
        <w:rPr>
          <w:rFonts w:ascii="Cambria" w:hAnsi="Cambria" w:eastAsia="Cambria" w:cs="Cambria"/>
          <w:b w:val="0"/>
          <w:bCs w:val="0"/>
          <w:sz w:val="24"/>
          <w:szCs w:val="24"/>
        </w:rPr>
        <w:t>D</w:t>
      </w:r>
      <w:r w:rsidRPr="2CA62BA2" w:rsidR="7D37B0B1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eveloping consistency in the definition of </w:t>
      </w:r>
      <w:r w:rsidRPr="2CA62BA2" w:rsidR="51342370">
        <w:rPr>
          <w:rFonts w:ascii="Cambria" w:hAnsi="Cambria" w:eastAsia="Cambria" w:cs="Cambria"/>
          <w:b w:val="0"/>
          <w:bCs w:val="0"/>
          <w:sz w:val="24"/>
          <w:szCs w:val="24"/>
        </w:rPr>
        <w:t>“</w:t>
      </w:r>
      <w:r w:rsidRPr="2CA62BA2" w:rsidR="3BDC95E3">
        <w:rPr>
          <w:rFonts w:ascii="Cambria" w:hAnsi="Cambria" w:eastAsia="Cambria" w:cs="Cambria"/>
          <w:b w:val="0"/>
          <w:bCs w:val="0"/>
          <w:sz w:val="24"/>
          <w:szCs w:val="24"/>
        </w:rPr>
        <w:t>affordable housing</w:t>
      </w:r>
      <w:r w:rsidRPr="2CA62BA2" w:rsidR="28451B35">
        <w:rPr>
          <w:rFonts w:ascii="Cambria" w:hAnsi="Cambria" w:eastAsia="Cambria" w:cs="Cambria"/>
          <w:b w:val="0"/>
          <w:bCs w:val="0"/>
          <w:sz w:val="24"/>
          <w:szCs w:val="24"/>
        </w:rPr>
        <w:t>”</w:t>
      </w:r>
      <w:r w:rsidRPr="2CA62BA2" w:rsidR="28ACACAE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across Canada is </w:t>
      </w:r>
      <w:r w:rsidRPr="2CA62BA2" w:rsidR="28ACACAE">
        <w:rPr>
          <w:rFonts w:ascii="Cambria" w:hAnsi="Cambria" w:eastAsia="Cambria" w:cs="Cambria"/>
          <w:b w:val="0"/>
          <w:bCs w:val="0"/>
          <w:sz w:val="24"/>
          <w:szCs w:val="24"/>
        </w:rPr>
        <w:t>desirable.</w:t>
      </w:r>
    </w:p>
    <w:p w:rsidR="120EE614" w:rsidP="2CA62BA2" w:rsidRDefault="120EE614" w14:paraId="4E25E906" w14:textId="0283F8E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120EE614">
        <w:rPr>
          <w:rFonts w:ascii="Cambria" w:hAnsi="Cambria" w:eastAsia="Cambria" w:cs="Cambria"/>
          <w:b w:val="0"/>
          <w:bCs w:val="0"/>
          <w:sz w:val="24"/>
          <w:szCs w:val="24"/>
        </w:rPr>
        <w:t>L</w:t>
      </w:r>
      <w:r w:rsidRPr="2CA62BA2" w:rsidR="28451B35">
        <w:rPr>
          <w:rFonts w:ascii="Cambria" w:hAnsi="Cambria" w:eastAsia="Cambria" w:cs="Cambria"/>
          <w:b w:val="0"/>
          <w:bCs w:val="0"/>
          <w:sz w:val="24"/>
          <w:szCs w:val="24"/>
        </w:rPr>
        <w:t>inking affordability to the gross annual income of households</w:t>
      </w:r>
      <w:r w:rsidRPr="2CA62BA2" w:rsidR="477EAF9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is </w:t>
      </w:r>
      <w:r w:rsidRPr="2CA62BA2" w:rsidR="43F4D797">
        <w:rPr>
          <w:rFonts w:ascii="Cambria" w:hAnsi="Cambria" w:eastAsia="Cambria" w:cs="Cambria"/>
          <w:b w:val="0"/>
          <w:bCs w:val="0"/>
          <w:sz w:val="24"/>
          <w:szCs w:val="24"/>
        </w:rPr>
        <w:t>preferable to using</w:t>
      </w:r>
      <w:r w:rsidRPr="2CA62BA2" w:rsidR="778F17D0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1A786A4F">
        <w:rPr>
          <w:rFonts w:ascii="Cambria" w:hAnsi="Cambria" w:eastAsia="Cambria" w:cs="Cambria"/>
          <w:b w:val="0"/>
          <w:bCs w:val="0"/>
          <w:sz w:val="24"/>
          <w:szCs w:val="24"/>
        </w:rPr>
        <w:t>the average</w:t>
      </w:r>
      <w:r w:rsidRPr="2CA62BA2" w:rsidR="43F4D797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market rent/purchase price</w:t>
      </w:r>
      <w:r w:rsidRPr="2CA62BA2" w:rsidR="25F67711">
        <w:rPr>
          <w:rFonts w:ascii="Cambria" w:hAnsi="Cambria" w:eastAsia="Cambria" w:cs="Cambria"/>
          <w:b w:val="0"/>
          <w:bCs w:val="0"/>
          <w:sz w:val="24"/>
          <w:szCs w:val="24"/>
        </w:rPr>
        <w:t>.</w:t>
      </w:r>
    </w:p>
    <w:p w:rsidR="25F67711" w:rsidP="2CA62BA2" w:rsidRDefault="25F67711" w14:paraId="42C4BCA6" w14:textId="0FF2230C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25F67711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For the City of Toronto and other metropolitan urban areas, the catchment area for </w:t>
      </w:r>
      <w:r w:rsidRPr="2CA62BA2" w:rsidR="25F67711">
        <w:rPr>
          <w:rFonts w:ascii="Cambria" w:hAnsi="Cambria" w:eastAsia="Cambria" w:cs="Cambria"/>
          <w:b w:val="0"/>
          <w:bCs w:val="0"/>
          <w:sz w:val="24"/>
          <w:szCs w:val="24"/>
        </w:rPr>
        <w:t>determining</w:t>
      </w:r>
      <w:r w:rsidRPr="2CA62BA2" w:rsidR="25F67711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household income should be census tracts and not the whole </w:t>
      </w:r>
      <w:r>
        <w:tab/>
      </w:r>
      <w:r w:rsidRPr="2CA62BA2" w:rsidR="25F67711">
        <w:rPr>
          <w:rFonts w:ascii="Cambria" w:hAnsi="Cambria" w:eastAsia="Cambria" w:cs="Cambria"/>
          <w:b w:val="0"/>
          <w:bCs w:val="0"/>
          <w:sz w:val="24"/>
          <w:szCs w:val="24"/>
        </w:rPr>
        <w:t>m</w:t>
      </w:r>
      <w:r w:rsidRPr="2CA62BA2" w:rsidR="25F67711">
        <w:rPr>
          <w:rFonts w:ascii="Cambria" w:hAnsi="Cambria" w:eastAsia="Cambria" w:cs="Cambria"/>
          <w:b w:val="0"/>
          <w:bCs w:val="0"/>
          <w:sz w:val="24"/>
          <w:szCs w:val="24"/>
        </w:rPr>
        <w:t>unicipality.</w:t>
      </w:r>
    </w:p>
    <w:p w:rsidR="7BF739CE" w:rsidP="2CA62BA2" w:rsidRDefault="7BF739CE" w14:paraId="255A0E03" w14:textId="2064110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7BF739CE">
        <w:rPr>
          <w:rFonts w:ascii="Cambria" w:hAnsi="Cambria" w:eastAsia="Cambria" w:cs="Cambria"/>
          <w:b w:val="0"/>
          <w:bCs w:val="0"/>
          <w:sz w:val="24"/>
          <w:szCs w:val="24"/>
        </w:rPr>
        <w:t>T</w:t>
      </w:r>
      <w:r w:rsidRPr="2CA62BA2" w:rsidR="2F1A4BCE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he proposed 60th </w:t>
      </w:r>
      <w:r w:rsidRPr="2CA62BA2" w:rsidR="527BBAA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household income </w:t>
      </w:r>
      <w:r w:rsidRPr="2CA62BA2" w:rsidR="2F1A4BCE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percentile </w:t>
      </w:r>
      <w:r w:rsidRPr="2CA62BA2" w:rsidR="2DA8BB4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for rental housing </w:t>
      </w:r>
      <w:r w:rsidRPr="2CA62BA2" w:rsidR="2F1A4BCE">
        <w:rPr>
          <w:rFonts w:ascii="Cambria" w:hAnsi="Cambria" w:eastAsia="Cambria" w:cs="Cambria"/>
          <w:b w:val="0"/>
          <w:bCs w:val="0"/>
          <w:sz w:val="24"/>
          <w:szCs w:val="24"/>
        </w:rPr>
        <w:t>is too high, and this should be lower</w:t>
      </w:r>
      <w:r w:rsidRPr="2CA62BA2" w:rsidR="030FB5D1">
        <w:rPr>
          <w:rFonts w:ascii="Cambria" w:hAnsi="Cambria" w:eastAsia="Cambria" w:cs="Cambria"/>
          <w:b w:val="0"/>
          <w:bCs w:val="0"/>
          <w:sz w:val="24"/>
          <w:szCs w:val="24"/>
        </w:rPr>
        <w:t>ed</w:t>
      </w:r>
      <w:r w:rsidRPr="2CA62BA2" w:rsidR="6DBF30F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to </w:t>
      </w:r>
      <w:r w:rsidRPr="2CA62BA2" w:rsidR="2E412A63">
        <w:rPr>
          <w:rFonts w:ascii="Cambria" w:hAnsi="Cambria" w:eastAsia="Cambria" w:cs="Cambria"/>
          <w:b w:val="0"/>
          <w:bCs w:val="0"/>
          <w:sz w:val="24"/>
          <w:szCs w:val="24"/>
        </w:rPr>
        <w:t>reflect more accurately</w:t>
      </w:r>
      <w:r w:rsidRPr="2CA62BA2" w:rsidR="6DBF30F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4691340C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the </w:t>
      </w:r>
      <w:r w:rsidRPr="2CA62BA2" w:rsidR="6DBF30FF">
        <w:rPr>
          <w:rFonts w:ascii="Cambria" w:hAnsi="Cambria" w:eastAsia="Cambria" w:cs="Cambria"/>
          <w:b w:val="0"/>
          <w:bCs w:val="0"/>
          <w:sz w:val="24"/>
          <w:szCs w:val="24"/>
        </w:rPr>
        <w:t>“</w:t>
      </w:r>
      <w:bookmarkStart w:name="_Int_8lnnnGpb" w:id="758878851"/>
      <w:r w:rsidRPr="2CA62BA2" w:rsidR="6DBF30F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low </w:t>
      </w:r>
      <w:r w:rsidRPr="2CA62BA2" w:rsidR="6440E362">
        <w:rPr>
          <w:rFonts w:ascii="Cambria" w:hAnsi="Cambria" w:eastAsia="Cambria" w:cs="Cambria"/>
          <w:b w:val="0"/>
          <w:bCs w:val="0"/>
          <w:sz w:val="24"/>
          <w:szCs w:val="24"/>
        </w:rPr>
        <w:t>and</w:t>
      </w:r>
      <w:r w:rsidRPr="2CA62BA2" w:rsidR="6DBF30F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moderate income</w:t>
      </w:r>
      <w:bookmarkEnd w:id="758878851"/>
      <w:r w:rsidRPr="2CA62BA2" w:rsidR="6DBF30F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households”</w:t>
      </w:r>
      <w:r w:rsidRPr="2CA62BA2" w:rsidR="4E2C15D7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most in need of affordable </w:t>
      </w:r>
      <w:r w:rsidRPr="2CA62BA2" w:rsidR="0295672A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rental </w:t>
      </w:r>
      <w:r w:rsidRPr="2CA62BA2" w:rsidR="4E2C15D7">
        <w:rPr>
          <w:rFonts w:ascii="Cambria" w:hAnsi="Cambria" w:eastAsia="Cambria" w:cs="Cambria"/>
          <w:b w:val="0"/>
          <w:bCs w:val="0"/>
          <w:sz w:val="24"/>
          <w:szCs w:val="24"/>
        </w:rPr>
        <w:t>housing</w:t>
      </w:r>
      <w:r w:rsidRPr="2CA62BA2" w:rsidR="55A279DF">
        <w:rPr>
          <w:rFonts w:ascii="Cambria" w:hAnsi="Cambria" w:eastAsia="Cambria" w:cs="Cambria"/>
          <w:b w:val="0"/>
          <w:bCs w:val="0"/>
          <w:sz w:val="24"/>
          <w:szCs w:val="24"/>
        </w:rPr>
        <w:t>.</w:t>
      </w:r>
    </w:p>
    <w:p w:rsidR="6F36DBA6" w:rsidP="2CA62BA2" w:rsidRDefault="6F36DBA6" w14:paraId="04FC52E3" w14:textId="3EE94CE1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6F36DBA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Defining </w:t>
      </w:r>
      <w:r w:rsidRPr="2CA62BA2" w:rsidR="5D9B3E3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affordable rent </w:t>
      </w:r>
      <w:r w:rsidRPr="2CA62BA2" w:rsidR="6CE26EF0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as </w:t>
      </w:r>
      <w:r w:rsidRPr="2CA62BA2" w:rsidR="5D9B3E3F">
        <w:rPr>
          <w:rFonts w:ascii="Cambria" w:hAnsi="Cambria" w:eastAsia="Cambria" w:cs="Cambria"/>
          <w:b w:val="0"/>
          <w:bCs w:val="0"/>
          <w:sz w:val="24"/>
          <w:szCs w:val="24"/>
        </w:rPr>
        <w:t>the</w:t>
      </w:r>
      <w:r w:rsidRPr="2CA62BA2" w:rsidR="2B3F53B4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3CEDB0D8">
        <w:rPr>
          <w:rFonts w:ascii="Cambria" w:hAnsi="Cambria" w:eastAsia="Cambria" w:cs="Cambria"/>
          <w:b w:val="0"/>
          <w:bCs w:val="0"/>
          <w:sz w:val="24"/>
          <w:szCs w:val="24"/>
        </w:rPr>
        <w:t>rent</w:t>
      </w:r>
      <w:r w:rsidRPr="2CA62BA2" w:rsidR="2B3F53B4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paid</w:t>
      </w:r>
      <w:r w:rsidRPr="2CA62BA2" w:rsidR="2B3F53B4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by </w:t>
      </w:r>
      <w:r w:rsidRPr="2CA62BA2" w:rsidR="2B3F53B4">
        <w:rPr>
          <w:rFonts w:ascii="Cambria" w:hAnsi="Cambria" w:eastAsia="Cambria" w:cs="Cambria"/>
          <w:b w:val="0"/>
          <w:bCs w:val="0"/>
          <w:sz w:val="24"/>
          <w:szCs w:val="24"/>
        </w:rPr>
        <w:t>households</w:t>
      </w:r>
      <w:r w:rsidRPr="2CA62BA2" w:rsidR="79E4FF07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not exceed</w:t>
      </w:r>
      <w:r w:rsidRPr="2CA62BA2" w:rsidR="4E894E3F">
        <w:rPr>
          <w:rFonts w:ascii="Cambria" w:hAnsi="Cambria" w:eastAsia="Cambria" w:cs="Cambria"/>
          <w:b w:val="0"/>
          <w:bCs w:val="0"/>
          <w:sz w:val="24"/>
          <w:szCs w:val="24"/>
        </w:rPr>
        <w:t>ing</w:t>
      </w:r>
      <w:r w:rsidRPr="2CA62BA2" w:rsidR="79E4FF07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7617CA13">
        <w:rPr>
          <w:rFonts w:ascii="Cambria" w:hAnsi="Cambria" w:eastAsia="Cambria" w:cs="Cambria"/>
          <w:b w:val="0"/>
          <w:bCs w:val="0"/>
          <w:sz w:val="24"/>
          <w:szCs w:val="24"/>
        </w:rPr>
        <w:t>30% of</w:t>
      </w:r>
      <w:r w:rsidRPr="2CA62BA2" w:rsidR="34D218BD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7617CA13">
        <w:rPr>
          <w:rFonts w:ascii="Cambria" w:hAnsi="Cambria" w:eastAsia="Cambria" w:cs="Cambria"/>
          <w:b w:val="0"/>
          <w:bCs w:val="0"/>
          <w:sz w:val="24"/>
          <w:szCs w:val="24"/>
        </w:rPr>
        <w:t>income</w:t>
      </w:r>
      <w:r w:rsidRPr="2CA62BA2" w:rsidR="2F654FE8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is </w:t>
      </w:r>
      <w:r w:rsidRPr="2CA62BA2" w:rsidR="2F654FE8">
        <w:rPr>
          <w:rFonts w:ascii="Cambria" w:hAnsi="Cambria" w:eastAsia="Cambria" w:cs="Cambria"/>
          <w:b w:val="0"/>
          <w:bCs w:val="0"/>
          <w:sz w:val="24"/>
          <w:szCs w:val="24"/>
        </w:rPr>
        <w:t>appropriate</w:t>
      </w:r>
      <w:r w:rsidRPr="2CA62BA2" w:rsidR="2F654FE8">
        <w:rPr>
          <w:rFonts w:ascii="Cambria" w:hAnsi="Cambria" w:eastAsia="Cambria" w:cs="Cambria"/>
          <w:b w:val="0"/>
          <w:bCs w:val="0"/>
          <w:sz w:val="24"/>
          <w:szCs w:val="24"/>
        </w:rPr>
        <w:t>.</w:t>
      </w:r>
    </w:p>
    <w:p w:rsidR="06099839" w:rsidP="2CA62BA2" w:rsidRDefault="06099839" w14:paraId="794552DE" w14:textId="56FC6C4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The definition of household </w:t>
      </w:r>
      <w:r w:rsidRPr="2CA62BA2" w:rsidR="77710F62">
        <w:rPr>
          <w:rFonts w:ascii="Cambria" w:hAnsi="Cambria" w:eastAsia="Cambria" w:cs="Cambria"/>
          <w:b w:val="0"/>
          <w:bCs w:val="0"/>
          <w:sz w:val="24"/>
          <w:szCs w:val="24"/>
        </w:rPr>
        <w:t>should</w:t>
      </w: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take into consideration that multiple households sharing a single housing unit </w:t>
      </w:r>
      <w:r w:rsidRPr="2CA62BA2" w:rsidR="3E318CA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should </w:t>
      </w:r>
      <w:r w:rsidRPr="2CA62BA2" w:rsidR="770A67F5">
        <w:rPr>
          <w:rFonts w:ascii="Cambria" w:hAnsi="Cambria" w:eastAsia="Cambria" w:cs="Cambria"/>
          <w:b w:val="0"/>
          <w:bCs w:val="0"/>
          <w:sz w:val="24"/>
          <w:szCs w:val="24"/>
        </w:rPr>
        <w:t>not</w:t>
      </w:r>
      <w:r w:rsidRPr="2CA62BA2" w:rsidR="770A67F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>be</w:t>
      </w: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>deemed</w:t>
      </w: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to be a single household for the purpose of this </w:t>
      </w:r>
      <w:r w:rsidRPr="2CA62BA2" w:rsidR="35209792">
        <w:rPr>
          <w:rFonts w:ascii="Cambria" w:hAnsi="Cambria" w:eastAsia="Cambria" w:cs="Cambria"/>
          <w:b w:val="0"/>
          <w:bCs w:val="0"/>
          <w:sz w:val="24"/>
          <w:szCs w:val="24"/>
        </w:rPr>
        <w:t>definition but</w:t>
      </w:r>
      <w:r w:rsidRPr="2CA62BA2" w:rsidR="06099839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17B7F55D">
        <w:rPr>
          <w:rFonts w:ascii="Cambria" w:hAnsi="Cambria" w:eastAsia="Cambria" w:cs="Cambria"/>
          <w:b w:val="0"/>
          <w:bCs w:val="0"/>
          <w:sz w:val="24"/>
          <w:szCs w:val="24"/>
        </w:rPr>
        <w:t>be counted</w:t>
      </w:r>
      <w:r w:rsidRPr="2CA62BA2" w:rsidR="1D9A599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</w:t>
      </w:r>
      <w:r w:rsidRPr="2CA62BA2" w:rsidR="5D2E22C8">
        <w:rPr>
          <w:rFonts w:ascii="Cambria" w:hAnsi="Cambria" w:eastAsia="Cambria" w:cs="Cambria"/>
          <w:b w:val="0"/>
          <w:bCs w:val="0"/>
          <w:sz w:val="24"/>
          <w:szCs w:val="24"/>
        </w:rPr>
        <w:t>separately</w:t>
      </w:r>
      <w:r w:rsidRPr="2CA62BA2" w:rsidR="1D9A599F">
        <w:rPr>
          <w:rFonts w:ascii="Cambria" w:hAnsi="Cambria" w:eastAsia="Cambria" w:cs="Cambria"/>
          <w:b w:val="0"/>
          <w:bCs w:val="0"/>
          <w:sz w:val="24"/>
          <w:szCs w:val="24"/>
        </w:rPr>
        <w:t>.</w:t>
      </w:r>
    </w:p>
    <w:p w:rsidR="79CF5465" w:rsidP="2CA62BA2" w:rsidRDefault="79CF5465" w14:paraId="14AD40E7" w14:textId="55F462E3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79CF546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If the actual gross annual income of all households is lower than the actual gross annual income of rental households in a catchment area, the latter value </w:t>
      </w:r>
      <w:r w:rsidRPr="2CA62BA2" w:rsidR="253490F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should </w:t>
      </w:r>
      <w:r w:rsidRPr="2CA62BA2" w:rsidR="79CF5465">
        <w:rPr>
          <w:rFonts w:ascii="Cambria" w:hAnsi="Cambria" w:eastAsia="Cambria" w:cs="Cambria"/>
          <w:b w:val="0"/>
          <w:bCs w:val="0"/>
          <w:sz w:val="24"/>
          <w:szCs w:val="24"/>
        </w:rPr>
        <w:t>be the deemed value for the purpose of calculating affordable ownership housing.</w:t>
      </w:r>
    </w:p>
    <w:p w:rsidR="7CFB830A" w:rsidP="2CA62BA2" w:rsidRDefault="7CFB830A" w14:paraId="59183E2E" w14:textId="6000F684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7CFB830A">
        <w:rPr>
          <w:rFonts w:ascii="Cambria" w:hAnsi="Cambria" w:eastAsia="Cambria" w:cs="Cambria"/>
          <w:b w:val="0"/>
          <w:bCs w:val="0"/>
          <w:sz w:val="24"/>
          <w:szCs w:val="24"/>
        </w:rPr>
        <w:t>Restricting</w:t>
      </w:r>
      <w:r w:rsidRPr="2CA62BA2" w:rsidR="79CF546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databases to household rentals or home purchases </w:t>
      </w:r>
      <w:r w:rsidRPr="2CA62BA2" w:rsidR="606B477F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made </w:t>
      </w:r>
      <w:r w:rsidRPr="2CA62BA2" w:rsidR="79CF546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within the past ten years will ensure that the current market </w:t>
      </w:r>
      <w:r w:rsidRPr="2CA62BA2" w:rsidR="4D44E17B">
        <w:rPr>
          <w:rFonts w:ascii="Cambria" w:hAnsi="Cambria" w:eastAsia="Cambria" w:cs="Cambria"/>
          <w:b w:val="0"/>
          <w:bCs w:val="0"/>
          <w:sz w:val="24"/>
          <w:szCs w:val="24"/>
        </w:rPr>
        <w:t>realities</w:t>
      </w:r>
      <w:r w:rsidRPr="2CA62BA2" w:rsidR="79CF5465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in </w:t>
      </w:r>
      <w:r w:rsidRPr="2CA62BA2" w:rsidR="1DA91072">
        <w:rPr>
          <w:rFonts w:ascii="Cambria" w:hAnsi="Cambria" w:eastAsia="Cambria" w:cs="Cambria"/>
          <w:b w:val="0"/>
          <w:bCs w:val="0"/>
          <w:sz w:val="24"/>
          <w:szCs w:val="24"/>
        </w:rPr>
        <w:t>both the rental and home ownership markets are reflected</w:t>
      </w:r>
      <w:r w:rsidRPr="2CA62BA2" w:rsidR="6FCE3D70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in any current definition of affordability.</w:t>
      </w:r>
    </w:p>
    <w:p w:rsidR="2F576D96" w:rsidP="2CA62BA2" w:rsidRDefault="2F576D96" w14:paraId="38902CA4" w14:textId="43B30F5D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>“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Annual </w:t>
      </w:r>
      <w:r w:rsidRPr="2CA62BA2" w:rsidR="21597139">
        <w:rPr>
          <w:rFonts w:ascii="Cambria" w:hAnsi="Cambria" w:eastAsia="Cambria" w:cs="Cambria"/>
          <w:b w:val="0"/>
          <w:bCs w:val="0"/>
          <w:sz w:val="24"/>
          <w:szCs w:val="24"/>
        </w:rPr>
        <w:t>accommodation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cost” needs to be </w:t>
      </w:r>
      <w:r w:rsidRPr="2CA62BA2" w:rsidR="52EFC768">
        <w:rPr>
          <w:rFonts w:ascii="Cambria" w:hAnsi="Cambria" w:eastAsia="Cambria" w:cs="Cambria"/>
          <w:b w:val="0"/>
          <w:bCs w:val="0"/>
          <w:sz w:val="24"/>
          <w:szCs w:val="24"/>
        </w:rPr>
        <w:t>defined and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should be based on the current 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>methodology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used by the mortgage industry in 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>determining</w:t>
      </w:r>
      <w:r w:rsidRPr="2CA62BA2" w:rsidR="2F576D96">
        <w:rPr>
          <w:rFonts w:ascii="Cambria" w:hAnsi="Cambria" w:eastAsia="Cambria" w:cs="Cambria"/>
          <w:b w:val="0"/>
          <w:bCs w:val="0"/>
          <w:sz w:val="24"/>
          <w:szCs w:val="24"/>
        </w:rPr>
        <w:t xml:space="preserve"> the affordabi</w:t>
      </w:r>
      <w:r w:rsidRPr="2CA62BA2" w:rsidR="075B38AF">
        <w:rPr>
          <w:rFonts w:ascii="Cambria" w:hAnsi="Cambria" w:eastAsia="Cambria" w:cs="Cambria"/>
          <w:b w:val="0"/>
          <w:bCs w:val="0"/>
          <w:sz w:val="24"/>
          <w:szCs w:val="24"/>
        </w:rPr>
        <w:t>lity of a home purchase.</w:t>
      </w:r>
    </w:p>
    <w:p w:rsidR="2CA62BA2" w:rsidP="2CA62BA2" w:rsidRDefault="2CA62BA2" w14:paraId="26CE59B1" w14:textId="0FE60F5D">
      <w:pPr>
        <w:pStyle w:val="Normal"/>
        <w:spacing w:after="0" w:line="240" w:lineRule="auto"/>
        <w:rPr>
          <w:rFonts w:ascii="Cambria" w:hAnsi="Cambria" w:eastAsia="Cambria" w:cs="Cambria"/>
          <w:b w:val="0"/>
          <w:bCs w:val="0"/>
          <w:sz w:val="24"/>
          <w:szCs w:val="24"/>
        </w:rPr>
      </w:pPr>
    </w:p>
    <w:p w:rsidR="2CA62BA2" w:rsidP="2CA62BA2" w:rsidRDefault="2CA62BA2" w14:paraId="1308C200" w14:textId="640F2230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2CA62BA2" w:rsidP="2CA62BA2" w:rsidRDefault="2CA62BA2" w14:paraId="54BF789D" w14:textId="7D020818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688FE78D" w:rsidP="2CA62BA2" w:rsidRDefault="688FE78D" w14:paraId="4A8FD4ED" w14:textId="4BE5B04F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CA62BA2" w:rsidR="688FE78D">
        <w:rPr>
          <w:rFonts w:ascii="Cambria" w:hAnsi="Cambria" w:eastAsia="Cambria" w:cs="Cambria"/>
          <w:b w:val="1"/>
          <w:bCs w:val="1"/>
          <w:sz w:val="24"/>
          <w:szCs w:val="24"/>
          <w:u w:val="single"/>
        </w:rPr>
        <w:t>Analysis.</w:t>
      </w:r>
    </w:p>
    <w:p w:rsidR="2CA62BA2" w:rsidP="2CA62BA2" w:rsidRDefault="2CA62BA2" w14:paraId="315864B8" w14:textId="57CB1F87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7D121DBD" w:rsidP="5CAE8E1E" w:rsidRDefault="7D121DBD" w14:paraId="2EC49291" w14:textId="4ACC5CE3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CA62BA2" w:rsidR="7D121DB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Consistency in the definition </w:t>
      </w:r>
      <w:r w:rsidRPr="2CA62BA2" w:rsidR="6D65E89A">
        <w:rPr>
          <w:rFonts w:ascii="Cambria" w:hAnsi="Cambria" w:eastAsia="Cambria" w:cs="Cambria"/>
          <w:b w:val="1"/>
          <w:bCs w:val="1"/>
          <w:sz w:val="24"/>
          <w:szCs w:val="24"/>
        </w:rPr>
        <w:t>of ‘</w:t>
      </w:r>
      <w:r w:rsidRPr="2CA62BA2" w:rsidR="125E438E">
        <w:rPr>
          <w:rFonts w:ascii="Cambria" w:hAnsi="Cambria" w:eastAsia="Cambria" w:cs="Cambria"/>
          <w:b w:val="1"/>
          <w:bCs w:val="1"/>
          <w:sz w:val="24"/>
          <w:szCs w:val="24"/>
        </w:rPr>
        <w:t>affordable</w:t>
      </w:r>
      <w:r w:rsidRPr="2CA62BA2" w:rsidR="7D121DB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</w:t>
      </w:r>
      <w:r w:rsidRPr="2CA62BA2" w:rsidR="424B51C2">
        <w:rPr>
          <w:rFonts w:ascii="Cambria" w:hAnsi="Cambria" w:eastAsia="Cambria" w:cs="Cambria"/>
          <w:b w:val="1"/>
          <w:bCs w:val="1"/>
          <w:sz w:val="24"/>
          <w:szCs w:val="24"/>
        </w:rPr>
        <w:t>residential unit</w:t>
      </w:r>
      <w:r w:rsidRPr="2CA62BA2" w:rsidR="40DB455B">
        <w:rPr>
          <w:rFonts w:ascii="Cambria" w:hAnsi="Cambria" w:eastAsia="Cambria" w:cs="Cambria"/>
          <w:b w:val="1"/>
          <w:bCs w:val="1"/>
          <w:sz w:val="24"/>
          <w:szCs w:val="24"/>
        </w:rPr>
        <w:t>.”</w:t>
      </w:r>
    </w:p>
    <w:p w:rsidR="02EB79B3" w:rsidP="2CA62BA2" w:rsidRDefault="02EB79B3" w14:paraId="3414594F" w14:textId="71A3FBDA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02EB79B3">
        <w:rPr>
          <w:rFonts w:ascii="Cambria" w:hAnsi="Cambria" w:eastAsia="Cambria" w:cs="Cambria"/>
          <w:sz w:val="24"/>
          <w:szCs w:val="24"/>
        </w:rPr>
        <w:t xml:space="preserve">TAEH </w:t>
      </w:r>
      <w:r w:rsidRPr="2CA62BA2" w:rsidR="55B927BB">
        <w:rPr>
          <w:rFonts w:ascii="Cambria" w:hAnsi="Cambria" w:eastAsia="Cambria" w:cs="Cambria"/>
          <w:sz w:val="24"/>
          <w:szCs w:val="24"/>
        </w:rPr>
        <w:t xml:space="preserve">is in favour of the </w:t>
      </w:r>
      <w:r w:rsidRPr="2CA62BA2" w:rsidR="6615D945">
        <w:rPr>
          <w:rFonts w:ascii="Cambria" w:hAnsi="Cambria" w:eastAsia="Cambria" w:cs="Cambria"/>
          <w:sz w:val="24"/>
          <w:szCs w:val="24"/>
        </w:rPr>
        <w:t>desire to achieve consistency across the sector in the terminology used to describe affordable housing</w:t>
      </w:r>
      <w:r w:rsidRPr="2CA62BA2" w:rsidR="77D994F4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6615D945">
        <w:rPr>
          <w:rFonts w:ascii="Cambria" w:hAnsi="Cambria" w:eastAsia="Cambria" w:cs="Cambria"/>
          <w:sz w:val="24"/>
          <w:szCs w:val="24"/>
        </w:rPr>
        <w:t>As such</w:t>
      </w:r>
      <w:r w:rsidRPr="2CA62BA2" w:rsidR="0F90A87C">
        <w:rPr>
          <w:rFonts w:ascii="Cambria" w:hAnsi="Cambria" w:eastAsia="Cambria" w:cs="Cambria"/>
          <w:sz w:val="24"/>
          <w:szCs w:val="24"/>
        </w:rPr>
        <w:t xml:space="preserve">, in </w:t>
      </w:r>
      <w:r w:rsidRPr="2CA62BA2" w:rsidR="0F90A87C">
        <w:rPr>
          <w:rFonts w:ascii="Cambria" w:hAnsi="Cambria" w:eastAsia="Cambria" w:cs="Cambria"/>
          <w:sz w:val="24"/>
          <w:szCs w:val="24"/>
        </w:rPr>
        <w:t>principle</w:t>
      </w:r>
      <w:r w:rsidRPr="2CA62BA2" w:rsidR="0F90A87C">
        <w:rPr>
          <w:rFonts w:ascii="Cambria" w:hAnsi="Cambria" w:eastAsia="Cambria" w:cs="Cambria"/>
          <w:sz w:val="24"/>
          <w:szCs w:val="24"/>
        </w:rPr>
        <w:t>,</w:t>
      </w:r>
      <w:r w:rsidRPr="2CA62BA2" w:rsidR="6615D945">
        <w:rPr>
          <w:rFonts w:ascii="Cambria" w:hAnsi="Cambria" w:eastAsia="Cambria" w:cs="Cambria"/>
          <w:sz w:val="24"/>
          <w:szCs w:val="24"/>
        </w:rPr>
        <w:t xml:space="preserve"> we support the </w:t>
      </w:r>
      <w:r w:rsidRPr="2CA62BA2" w:rsidR="33B9F50C">
        <w:rPr>
          <w:rFonts w:ascii="Cambria" w:hAnsi="Cambria" w:eastAsia="Cambria" w:cs="Cambria"/>
          <w:sz w:val="24"/>
          <w:szCs w:val="24"/>
        </w:rPr>
        <w:t>inclusi</w:t>
      </w:r>
      <w:r w:rsidRPr="2CA62BA2" w:rsidR="3103B91D">
        <w:rPr>
          <w:rFonts w:ascii="Cambria" w:hAnsi="Cambria" w:eastAsia="Cambria" w:cs="Cambria"/>
          <w:sz w:val="24"/>
          <w:szCs w:val="24"/>
        </w:rPr>
        <w:t xml:space="preserve">on of the existing definition of </w:t>
      </w:r>
      <w:r w:rsidRPr="2CA62BA2" w:rsidR="07C4A0E5">
        <w:rPr>
          <w:rFonts w:ascii="Cambria" w:hAnsi="Cambria" w:eastAsia="Cambria" w:cs="Cambria"/>
          <w:sz w:val="24"/>
          <w:szCs w:val="24"/>
        </w:rPr>
        <w:t>“</w:t>
      </w:r>
      <w:r w:rsidRPr="2CA62BA2" w:rsidR="5880F9AE">
        <w:rPr>
          <w:rFonts w:ascii="Cambria" w:hAnsi="Cambria" w:eastAsia="Cambria" w:cs="Cambria"/>
          <w:sz w:val="24"/>
          <w:szCs w:val="24"/>
        </w:rPr>
        <w:t>A</w:t>
      </w:r>
      <w:r w:rsidRPr="2CA62BA2" w:rsidR="3103B91D">
        <w:rPr>
          <w:rFonts w:ascii="Cambria" w:hAnsi="Cambria" w:eastAsia="Cambria" w:cs="Cambria"/>
          <w:sz w:val="24"/>
          <w:szCs w:val="24"/>
        </w:rPr>
        <w:t>ffordable</w:t>
      </w:r>
      <w:bookmarkStart w:name="_Int_ucdpUm5k" w:id="897554453"/>
      <w:r w:rsidRPr="2CA62BA2" w:rsidR="540CAC72">
        <w:rPr>
          <w:rFonts w:ascii="Cambria" w:hAnsi="Cambria" w:eastAsia="Cambria" w:cs="Cambria"/>
          <w:sz w:val="24"/>
          <w:szCs w:val="24"/>
        </w:rPr>
        <w:t>”</w:t>
      </w:r>
      <w:bookmarkEnd w:id="897554453"/>
      <w:r w:rsidRPr="2CA62BA2" w:rsidR="3103B91D">
        <w:rPr>
          <w:rFonts w:ascii="Cambria" w:hAnsi="Cambria" w:eastAsia="Cambria" w:cs="Cambria"/>
          <w:sz w:val="24"/>
          <w:szCs w:val="24"/>
        </w:rPr>
        <w:t xml:space="preserve"> in the </w:t>
      </w:r>
      <w:r w:rsidRPr="2CA62BA2" w:rsidR="3103B91D">
        <w:rPr>
          <w:rFonts w:ascii="Cambria" w:hAnsi="Cambria" w:eastAsia="Cambria" w:cs="Cambria"/>
          <w:i w:val="1"/>
          <w:iCs w:val="1"/>
          <w:sz w:val="24"/>
          <w:szCs w:val="24"/>
        </w:rPr>
        <w:t>Provincial Policy Statement (PPS), 2020</w:t>
      </w:r>
      <w:r w:rsidRPr="2CA62BA2" w:rsidR="3103B91D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7EA7D4E3">
        <w:rPr>
          <w:rFonts w:ascii="Cambria" w:hAnsi="Cambria" w:eastAsia="Cambria" w:cs="Cambria"/>
          <w:sz w:val="24"/>
          <w:szCs w:val="24"/>
        </w:rPr>
        <w:t xml:space="preserve">(“the </w:t>
      </w:r>
      <w:r w:rsidRPr="2CA62BA2" w:rsidR="7EA7D4E3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7EA7D4E3">
        <w:rPr>
          <w:rFonts w:ascii="Cambria" w:hAnsi="Cambria" w:eastAsia="Cambria" w:cs="Cambria"/>
          <w:i w:val="0"/>
          <w:iCs w:val="0"/>
          <w:sz w:val="24"/>
          <w:szCs w:val="24"/>
        </w:rPr>
        <w:t>”)</w:t>
      </w:r>
      <w:r w:rsidRPr="2CA62BA2" w:rsidR="5D2A185F">
        <w:rPr>
          <w:rFonts w:ascii="Cambria" w:hAnsi="Cambria" w:eastAsia="Cambria" w:cs="Cambria"/>
          <w:i w:val="0"/>
          <w:iCs w:val="0"/>
          <w:sz w:val="24"/>
          <w:szCs w:val="24"/>
        </w:rPr>
        <w:t>,</w:t>
      </w:r>
      <w:r w:rsidRPr="2CA62BA2" w:rsidR="7EA7D4E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3103B91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in </w:t>
      </w:r>
      <w:r w:rsidRPr="2CA62BA2" w:rsidR="46698616">
        <w:rPr>
          <w:rFonts w:ascii="Cambria" w:hAnsi="Cambria" w:eastAsia="Cambria" w:cs="Cambria"/>
          <w:sz w:val="24"/>
          <w:szCs w:val="24"/>
        </w:rPr>
        <w:t xml:space="preserve">the proposed definition of “affordable residential unit” in </w:t>
      </w:r>
      <w:r w:rsidRPr="2CA62BA2" w:rsidR="635FA3A8">
        <w:rPr>
          <w:rFonts w:ascii="Cambria" w:hAnsi="Cambria" w:eastAsia="Cambria" w:cs="Cambria"/>
          <w:sz w:val="24"/>
          <w:szCs w:val="24"/>
        </w:rPr>
        <w:t>Bill 134,</w:t>
      </w:r>
      <w:r w:rsidRPr="2CA62BA2" w:rsidR="6BB51B9D">
        <w:rPr>
          <w:rFonts w:ascii="Cambria" w:hAnsi="Cambria" w:eastAsia="Cambria" w:cs="Cambria"/>
          <w:sz w:val="24"/>
          <w:szCs w:val="24"/>
        </w:rPr>
        <w:t xml:space="preserve"> the proposed </w:t>
      </w:r>
      <w:r w:rsidRPr="2CA62BA2" w:rsidR="6BB51B9D">
        <w:rPr>
          <w:rFonts w:ascii="Cambria" w:hAnsi="Cambria" w:eastAsia="Cambria" w:cs="Cambria"/>
          <w:i w:val="1"/>
          <w:iCs w:val="1"/>
          <w:sz w:val="24"/>
          <w:szCs w:val="24"/>
        </w:rPr>
        <w:t>Affordable Homes and Good Jobs Act, 2023</w:t>
      </w:r>
      <w:r w:rsidRPr="2CA62BA2" w:rsidR="19246C4B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 </w:t>
      </w:r>
      <w:r w:rsidRPr="2CA62BA2" w:rsidR="19246C4B">
        <w:rPr>
          <w:rFonts w:ascii="Cambria" w:hAnsi="Cambria" w:eastAsia="Cambria" w:cs="Cambria"/>
          <w:i w:val="0"/>
          <w:iCs w:val="0"/>
          <w:sz w:val="24"/>
          <w:szCs w:val="24"/>
        </w:rPr>
        <w:t>(the “Act”)</w:t>
      </w:r>
      <w:r w:rsidRPr="2CA62BA2" w:rsidR="1FAF1BA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575088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While believing that an income, as opposed to a </w:t>
      </w:r>
      <w:r w:rsidRPr="2CA62BA2" w:rsidR="12BB064F">
        <w:rPr>
          <w:rFonts w:ascii="Cambria" w:hAnsi="Cambria" w:eastAsia="Cambria" w:cs="Cambria"/>
          <w:i w:val="0"/>
          <w:iCs w:val="0"/>
          <w:sz w:val="24"/>
          <w:szCs w:val="24"/>
        </w:rPr>
        <w:t>market-based</w:t>
      </w:r>
      <w:r w:rsidRPr="2CA62BA2" w:rsidR="575088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01E66434">
        <w:rPr>
          <w:rFonts w:ascii="Cambria" w:hAnsi="Cambria" w:eastAsia="Cambria" w:cs="Cambria"/>
          <w:i w:val="0"/>
          <w:iCs w:val="0"/>
          <w:sz w:val="24"/>
          <w:szCs w:val="24"/>
        </w:rPr>
        <w:t>definition</w:t>
      </w:r>
      <w:r w:rsidRPr="2CA62BA2" w:rsidR="575088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is preferable, since in a rising market the </w:t>
      </w:r>
      <w:r w:rsidRPr="2CA62BA2" w:rsidR="6EE14A42">
        <w:rPr>
          <w:rFonts w:ascii="Cambria" w:hAnsi="Cambria" w:eastAsia="Cambria" w:cs="Cambria"/>
          <w:i w:val="0"/>
          <w:iCs w:val="0"/>
          <w:sz w:val="24"/>
          <w:szCs w:val="24"/>
        </w:rPr>
        <w:t>ceiling</w:t>
      </w:r>
      <w:r w:rsidRPr="2CA62BA2" w:rsidR="575088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for affordability woul</w:t>
      </w:r>
      <w:r w:rsidRPr="2CA62BA2" w:rsidR="0FC40693">
        <w:rPr>
          <w:rFonts w:ascii="Cambria" w:hAnsi="Cambria" w:eastAsia="Cambria" w:cs="Cambria"/>
          <w:i w:val="0"/>
          <w:iCs w:val="0"/>
          <w:sz w:val="24"/>
          <w:szCs w:val="24"/>
        </w:rPr>
        <w:t>d rise</w:t>
      </w:r>
      <w:r w:rsidRPr="2CA62BA2" w:rsidR="10A82B9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with a </w:t>
      </w:r>
      <w:r w:rsidRPr="2CA62BA2" w:rsidR="4C56BA57">
        <w:rPr>
          <w:rFonts w:ascii="Cambria" w:hAnsi="Cambria" w:eastAsia="Cambria" w:cs="Cambria"/>
          <w:i w:val="0"/>
          <w:iCs w:val="0"/>
          <w:sz w:val="24"/>
          <w:szCs w:val="24"/>
        </w:rPr>
        <w:t>market-based</w:t>
      </w:r>
      <w:r w:rsidRPr="2CA62BA2" w:rsidR="10A82B9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definition</w:t>
      </w:r>
      <w:r w:rsidRPr="2CA62BA2" w:rsidR="09C64071">
        <w:rPr>
          <w:rFonts w:ascii="Cambria" w:hAnsi="Cambria" w:eastAsia="Cambria" w:cs="Cambria"/>
          <w:i w:val="0"/>
          <w:iCs w:val="0"/>
          <w:sz w:val="24"/>
          <w:szCs w:val="24"/>
        </w:rPr>
        <w:t>;</w:t>
      </w:r>
      <w:r w:rsidRPr="2CA62BA2" w:rsidR="10A82B9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decision to use, in any given situation, the lower of the </w:t>
      </w:r>
      <w:r w:rsidRPr="2CA62BA2" w:rsidR="0365F0D5">
        <w:rPr>
          <w:rFonts w:ascii="Cambria" w:hAnsi="Cambria" w:eastAsia="Cambria" w:cs="Cambria"/>
          <w:i w:val="0"/>
          <w:iCs w:val="0"/>
          <w:sz w:val="24"/>
          <w:szCs w:val="24"/>
        </w:rPr>
        <w:t>two values so determined</w:t>
      </w:r>
      <w:r w:rsidRPr="2CA62BA2" w:rsidR="575088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7E56738D">
        <w:rPr>
          <w:rFonts w:ascii="Cambria" w:hAnsi="Cambria" w:eastAsia="Cambria" w:cs="Cambria"/>
          <w:i w:val="0"/>
          <w:iCs w:val="0"/>
          <w:sz w:val="24"/>
          <w:szCs w:val="24"/>
        </w:rPr>
        <w:t>should mean that an income-based valuation will ordinarily prevail</w:t>
      </w:r>
      <w:r w:rsidRPr="2CA62BA2" w:rsidR="3C2D586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BFE8B19">
        <w:rPr>
          <w:rFonts w:ascii="Cambria" w:hAnsi="Cambria" w:eastAsia="Cambria" w:cs="Cambria"/>
          <w:i w:val="0"/>
          <w:iCs w:val="0"/>
          <w:sz w:val="24"/>
          <w:szCs w:val="24"/>
        </w:rPr>
        <w:t>This is particular</w:t>
      </w:r>
      <w:r w:rsidRPr="2CA62BA2" w:rsidR="2C0ACDCC">
        <w:rPr>
          <w:rFonts w:ascii="Cambria" w:hAnsi="Cambria" w:eastAsia="Cambria" w:cs="Cambria"/>
          <w:i w:val="0"/>
          <w:iCs w:val="0"/>
          <w:sz w:val="24"/>
          <w:szCs w:val="24"/>
        </w:rPr>
        <w:t>ly relevant</w:t>
      </w:r>
      <w:r w:rsidRPr="2CA62BA2" w:rsidR="4BFE8B19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in Toronto, where rents a</w:t>
      </w:r>
      <w:r w:rsidRPr="2CA62BA2" w:rsidR="5265217D">
        <w:rPr>
          <w:rFonts w:ascii="Cambria" w:hAnsi="Cambria" w:eastAsia="Cambria" w:cs="Cambria"/>
          <w:i w:val="0"/>
          <w:iCs w:val="0"/>
          <w:sz w:val="24"/>
          <w:szCs w:val="24"/>
        </w:rPr>
        <w:t>re increasing at a much faster rate than incomes.</w:t>
      </w:r>
      <w:r w:rsidRPr="2CA62BA2" w:rsidR="661CE85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 </w:t>
      </w:r>
    </w:p>
    <w:p w:rsidR="02EB79B3" w:rsidP="2CA62BA2" w:rsidRDefault="02EB79B3" w14:paraId="11F39FDE" w14:textId="7950C8E4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02EB79B3" w:rsidP="2CA62BA2" w:rsidRDefault="02EB79B3" w14:paraId="4104FA0C" w14:textId="45A10A7C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661CE853">
        <w:rPr>
          <w:rFonts w:ascii="Cambria" w:hAnsi="Cambria" w:eastAsia="Cambria" w:cs="Cambria"/>
          <w:i w:val="0"/>
          <w:iCs w:val="0"/>
          <w:sz w:val="24"/>
          <w:szCs w:val="24"/>
        </w:rPr>
        <w:t>We do note that the term ‘affordable housing’ is ubiquitous</w:t>
      </w:r>
      <w:r w:rsidRPr="2CA62BA2" w:rsidR="5D001C52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across </w:t>
      </w:r>
      <w:r w:rsidRPr="2CA62BA2" w:rsidR="75150FDA">
        <w:rPr>
          <w:rFonts w:ascii="Cambria" w:hAnsi="Cambria" w:eastAsia="Cambria" w:cs="Cambria"/>
          <w:i w:val="0"/>
          <w:iCs w:val="0"/>
          <w:sz w:val="24"/>
          <w:szCs w:val="24"/>
        </w:rPr>
        <w:t>Canada and</w:t>
      </w:r>
      <w:r w:rsidRPr="2CA62BA2" w:rsidR="661CE85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1878D2D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believe that substituting this </w:t>
      </w:r>
      <w:r w:rsidRPr="2CA62BA2" w:rsidR="2E54928E">
        <w:rPr>
          <w:rFonts w:ascii="Cambria" w:hAnsi="Cambria" w:eastAsia="Cambria" w:cs="Cambria"/>
          <w:i w:val="0"/>
          <w:iCs w:val="0"/>
          <w:sz w:val="24"/>
          <w:szCs w:val="24"/>
        </w:rPr>
        <w:t>phrase</w:t>
      </w:r>
      <w:r w:rsidRPr="2CA62BA2" w:rsidR="1878D2D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7E31DBD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for the proposed defined term “affordable residential unit” </w:t>
      </w:r>
      <w:r w:rsidRPr="2CA62BA2" w:rsidR="43B35079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in the Act </w:t>
      </w:r>
      <w:r w:rsidRPr="2CA62BA2" w:rsidR="7E31DBD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would further the </w:t>
      </w:r>
      <w:r w:rsidRPr="2CA62BA2" w:rsidR="2BCEBF1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desired </w:t>
      </w:r>
      <w:r w:rsidRPr="2CA62BA2" w:rsidR="7E31DBD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goal of </w:t>
      </w:r>
      <w:r w:rsidRPr="2CA62BA2" w:rsidR="3C23862F">
        <w:rPr>
          <w:rFonts w:ascii="Cambria" w:hAnsi="Cambria" w:eastAsia="Cambria" w:cs="Cambria"/>
          <w:i w:val="0"/>
          <w:iCs w:val="0"/>
          <w:sz w:val="24"/>
          <w:szCs w:val="24"/>
        </w:rPr>
        <w:t>definitional</w:t>
      </w:r>
      <w:r w:rsidRPr="2CA62BA2" w:rsidR="7E31DBD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consistency</w:t>
      </w:r>
      <w:r w:rsidRPr="2CA62BA2" w:rsidR="7501A7A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B8951B9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We believe </w:t>
      </w:r>
      <w:r w:rsidRPr="2CA62BA2" w:rsidR="0A2E36EB">
        <w:rPr>
          <w:rFonts w:ascii="Cambria" w:hAnsi="Cambria" w:eastAsia="Cambria" w:cs="Cambria"/>
          <w:i w:val="0"/>
          <w:iCs w:val="0"/>
          <w:sz w:val="24"/>
          <w:szCs w:val="24"/>
        </w:rPr>
        <w:t>that such</w:t>
      </w:r>
      <w:r w:rsidRPr="2CA62BA2" w:rsidR="6FA8A4A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 change in phrasing of the defined term would </w:t>
      </w:r>
      <w:r w:rsidRPr="2CA62BA2" w:rsidR="1C5995D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not </w:t>
      </w:r>
      <w:r w:rsidRPr="2CA62BA2" w:rsidR="1B67BB9A">
        <w:rPr>
          <w:rFonts w:ascii="Cambria" w:hAnsi="Cambria" w:eastAsia="Cambria" w:cs="Cambria"/>
          <w:i w:val="0"/>
          <w:iCs w:val="0"/>
          <w:sz w:val="24"/>
          <w:szCs w:val="24"/>
        </w:rPr>
        <w:t>affect</w:t>
      </w:r>
      <w:r w:rsidRPr="2CA62BA2" w:rsidR="537B37B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</w:t>
      </w:r>
      <w:r w:rsidRPr="2CA62BA2" w:rsidR="52C9CD7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scope of the </w:t>
      </w:r>
      <w:r w:rsidRPr="2CA62BA2" w:rsidR="1E47CFE2">
        <w:rPr>
          <w:rFonts w:ascii="Cambria" w:hAnsi="Cambria" w:eastAsia="Cambria" w:cs="Cambria"/>
          <w:i w:val="0"/>
          <w:iCs w:val="0"/>
          <w:sz w:val="24"/>
          <w:szCs w:val="24"/>
        </w:rPr>
        <w:t>definition</w:t>
      </w:r>
      <w:r w:rsidRPr="2CA62BA2" w:rsidR="537B37B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itself</w:t>
      </w:r>
      <w:r w:rsidRPr="2CA62BA2" w:rsidR="1B970E0B">
        <w:rPr>
          <w:rFonts w:ascii="Cambria" w:hAnsi="Cambria" w:eastAsia="Cambria" w:cs="Cambria"/>
          <w:i w:val="0"/>
          <w:iCs w:val="0"/>
          <w:sz w:val="24"/>
          <w:szCs w:val="24"/>
        </w:rPr>
        <w:t>: the</w:t>
      </w:r>
      <w:r w:rsidRPr="2CA62BA2" w:rsidR="574E1A3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use of the </w:t>
      </w:r>
      <w:r w:rsidRPr="2CA62BA2" w:rsidR="35689AB4">
        <w:rPr>
          <w:rFonts w:ascii="Cambria" w:hAnsi="Cambria" w:eastAsia="Cambria" w:cs="Cambria"/>
          <w:i w:val="0"/>
          <w:iCs w:val="0"/>
          <w:sz w:val="24"/>
          <w:szCs w:val="24"/>
        </w:rPr>
        <w:t>terms “</w:t>
      </w:r>
      <w:r w:rsidRPr="2CA62BA2" w:rsidR="574E1A3D">
        <w:rPr>
          <w:rFonts w:ascii="Cambria" w:hAnsi="Cambria" w:eastAsia="Cambria" w:cs="Cambria"/>
          <w:i w:val="0"/>
          <w:iCs w:val="0"/>
          <w:sz w:val="24"/>
          <w:szCs w:val="24"/>
        </w:rPr>
        <w:t>re</w:t>
      </w:r>
      <w:r w:rsidRPr="2CA62BA2" w:rsidR="1B591B43">
        <w:rPr>
          <w:rFonts w:ascii="Cambria" w:hAnsi="Cambria" w:eastAsia="Cambria" w:cs="Cambria"/>
          <w:i w:val="0"/>
          <w:iCs w:val="0"/>
          <w:sz w:val="24"/>
          <w:szCs w:val="24"/>
        </w:rPr>
        <w:t>nt</w:t>
      </w:r>
      <w:r w:rsidRPr="2CA62BA2" w:rsidR="574E1A3D">
        <w:rPr>
          <w:rFonts w:ascii="Cambria" w:hAnsi="Cambria" w:eastAsia="Cambria" w:cs="Cambria"/>
          <w:i w:val="0"/>
          <w:iCs w:val="0"/>
          <w:sz w:val="24"/>
          <w:szCs w:val="24"/>
        </w:rPr>
        <w:t>al housing” and “ownership housing” in the proposed subsections</w:t>
      </w:r>
      <w:r w:rsidRPr="2CA62BA2" w:rsidR="3E32F0F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providing the interpretive link between the defined term and its representative </w:t>
      </w:r>
      <w:r w:rsidRPr="2CA62BA2" w:rsidR="25D1E454">
        <w:rPr>
          <w:rFonts w:ascii="Cambria" w:hAnsi="Cambria" w:eastAsia="Cambria" w:cs="Cambria"/>
          <w:i w:val="0"/>
          <w:iCs w:val="0"/>
          <w:sz w:val="24"/>
          <w:szCs w:val="24"/>
        </w:rPr>
        <w:t>components</w:t>
      </w:r>
      <w:r w:rsidRPr="2CA62BA2" w:rsidR="02742142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, </w:t>
      </w:r>
      <w:r w:rsidRPr="2CA62BA2" w:rsidR="7AAB8DD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namely ‘rental unit’ </w:t>
      </w:r>
      <w:r w:rsidRPr="2CA62BA2" w:rsidR="7AAB8DDB">
        <w:rPr>
          <w:rFonts w:ascii="Cambria" w:hAnsi="Cambria" w:eastAsia="Cambria" w:cs="Cambria"/>
          <w:i w:val="0"/>
          <w:iCs w:val="0"/>
          <w:sz w:val="24"/>
          <w:szCs w:val="24"/>
        </w:rPr>
        <w:t>and ‘house</w:t>
      </w:r>
      <w:r w:rsidRPr="2CA62BA2" w:rsidR="0C59EB00">
        <w:rPr>
          <w:rFonts w:ascii="Cambria" w:hAnsi="Cambria" w:eastAsia="Cambria" w:cs="Cambria"/>
          <w:i w:val="0"/>
          <w:iCs w:val="0"/>
          <w:sz w:val="24"/>
          <w:szCs w:val="24"/>
        </w:rPr>
        <w:t>,</w:t>
      </w:r>
      <w:r w:rsidRPr="2CA62BA2" w:rsidR="7AAB8DDB">
        <w:rPr>
          <w:rFonts w:ascii="Cambria" w:hAnsi="Cambria" w:eastAsia="Cambria" w:cs="Cambria"/>
          <w:i w:val="0"/>
          <w:iCs w:val="0"/>
          <w:sz w:val="24"/>
          <w:szCs w:val="24"/>
        </w:rPr>
        <w:t>’</w:t>
      </w:r>
      <w:r w:rsidRPr="2CA62BA2" w:rsidR="36EA0D6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which would replace the term “residential unit”</w:t>
      </w:r>
      <w:r w:rsidRPr="2CA62BA2" w:rsidR="7E31DBD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12C08164">
        <w:rPr>
          <w:rFonts w:ascii="Cambria" w:hAnsi="Cambria" w:eastAsia="Cambria" w:cs="Cambria"/>
          <w:i w:val="0"/>
          <w:iCs w:val="0"/>
          <w:sz w:val="24"/>
          <w:szCs w:val="24"/>
        </w:rPr>
        <w:t>in their respective subsections.</w:t>
      </w:r>
    </w:p>
    <w:p w:rsidR="5CAE8E1E" w:rsidP="5CAE8E1E" w:rsidRDefault="5CAE8E1E" w14:paraId="79EBDBD0" w14:textId="0EB6AE96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2CC7FDCB" w:rsidP="2CA62BA2" w:rsidRDefault="2CC7FDCB" w14:paraId="458A6647" w14:textId="3DF4FD34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2CC7FDC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One </w:t>
      </w:r>
      <w:r w:rsidRPr="2CA62BA2" w:rsidR="7B517B51">
        <w:rPr>
          <w:rFonts w:ascii="Cambria" w:hAnsi="Cambria" w:eastAsia="Cambria" w:cs="Cambria"/>
          <w:i w:val="0"/>
          <w:iCs w:val="0"/>
          <w:sz w:val="24"/>
          <w:szCs w:val="24"/>
        </w:rPr>
        <w:t>concern that TAEH has, however, relates to</w:t>
      </w:r>
      <w:r w:rsidRPr="2CA62BA2" w:rsidR="2CC7FDC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</w:t>
      </w:r>
      <w:r w:rsidRPr="2CA62BA2" w:rsidR="7DF9B0C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proposed manner of </w:t>
      </w:r>
      <w:r w:rsidRPr="2CA62BA2" w:rsidR="7DF9B0CC">
        <w:rPr>
          <w:rFonts w:ascii="Cambria" w:hAnsi="Cambria" w:eastAsia="Cambria" w:cs="Cambria"/>
          <w:i w:val="0"/>
          <w:iCs w:val="0"/>
          <w:sz w:val="24"/>
          <w:szCs w:val="24"/>
        </w:rPr>
        <w:t>determining</w:t>
      </w:r>
      <w:r w:rsidRPr="2CA62BA2" w:rsidR="7DF9B0C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2CC7FDCB">
        <w:rPr>
          <w:rFonts w:ascii="Cambria" w:hAnsi="Cambria" w:eastAsia="Cambria" w:cs="Cambria"/>
          <w:i w:val="0"/>
          <w:iCs w:val="0"/>
          <w:sz w:val="24"/>
          <w:szCs w:val="24"/>
        </w:rPr>
        <w:t>the 6</w:t>
      </w:r>
      <w:r w:rsidRPr="2CA62BA2" w:rsidR="195B3CC2">
        <w:rPr>
          <w:rFonts w:ascii="Cambria" w:hAnsi="Cambria" w:eastAsia="Cambria" w:cs="Cambria"/>
          <w:i w:val="0"/>
          <w:iCs w:val="0"/>
          <w:sz w:val="24"/>
          <w:szCs w:val="24"/>
        </w:rPr>
        <w:t>0th</w:t>
      </w:r>
      <w:r w:rsidRPr="2CA62BA2" w:rsidR="2CC7FDC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income percentile as the ceiling</w:t>
      </w:r>
      <w:r w:rsidRPr="2CA62BA2" w:rsidR="45C6C9B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in de</w:t>
      </w:r>
      <w:r w:rsidRPr="2CA62BA2" w:rsidR="0F7F9D6D">
        <w:rPr>
          <w:rFonts w:ascii="Cambria" w:hAnsi="Cambria" w:eastAsia="Cambria" w:cs="Cambria"/>
          <w:i w:val="0"/>
          <w:iCs w:val="0"/>
          <w:sz w:val="24"/>
          <w:szCs w:val="24"/>
        </w:rPr>
        <w:t>fi</w:t>
      </w:r>
      <w:r w:rsidRPr="2CA62BA2" w:rsidR="432EBB1B">
        <w:rPr>
          <w:rFonts w:ascii="Cambria" w:hAnsi="Cambria" w:eastAsia="Cambria" w:cs="Cambria"/>
          <w:i w:val="0"/>
          <w:iCs w:val="0"/>
          <w:sz w:val="24"/>
          <w:szCs w:val="24"/>
        </w:rPr>
        <w:t>ni</w:t>
      </w:r>
      <w:r w:rsidRPr="2CA62BA2" w:rsidR="45C6C9BC">
        <w:rPr>
          <w:rFonts w:ascii="Cambria" w:hAnsi="Cambria" w:eastAsia="Cambria" w:cs="Cambria"/>
          <w:i w:val="0"/>
          <w:iCs w:val="0"/>
          <w:sz w:val="24"/>
          <w:szCs w:val="24"/>
        </w:rPr>
        <w:t>ng</w:t>
      </w:r>
      <w:r w:rsidRPr="2CA62BA2" w:rsidR="45C6C9B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affordability by income</w:t>
      </w:r>
      <w:r w:rsidRPr="2CA62BA2" w:rsidR="5128FF4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5C6C9B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The </w:t>
      </w:r>
      <w:r w:rsidRPr="2CA62BA2" w:rsidR="45C6C9BC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45C6C9B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641E5AF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defines </w:t>
      </w:r>
      <w:r w:rsidRPr="2CA62BA2" w:rsidR="524BE220">
        <w:rPr>
          <w:rFonts w:ascii="Cambria" w:hAnsi="Cambria" w:eastAsia="Cambria" w:cs="Cambria"/>
          <w:i w:val="0"/>
          <w:iCs w:val="0"/>
          <w:sz w:val="24"/>
          <w:szCs w:val="24"/>
        </w:rPr>
        <w:t>“A</w:t>
      </w:r>
      <w:r w:rsidRPr="2CA62BA2" w:rsidR="641E5AFF">
        <w:rPr>
          <w:rFonts w:ascii="Cambria" w:hAnsi="Cambria" w:eastAsia="Cambria" w:cs="Cambria"/>
          <w:i w:val="0"/>
          <w:iCs w:val="0"/>
          <w:sz w:val="24"/>
          <w:szCs w:val="24"/>
        </w:rPr>
        <w:t>ffordable</w:t>
      </w:r>
      <w:r w:rsidRPr="2CA62BA2" w:rsidR="7E048026">
        <w:rPr>
          <w:rFonts w:ascii="Cambria" w:hAnsi="Cambria" w:eastAsia="Cambria" w:cs="Cambria"/>
          <w:i w:val="0"/>
          <w:iCs w:val="0"/>
          <w:sz w:val="24"/>
          <w:szCs w:val="24"/>
        </w:rPr>
        <w:t>”</w:t>
      </w:r>
      <w:r w:rsidRPr="2CA62BA2" w:rsidR="641E5AF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in relation to rent or “</w:t>
      </w:r>
      <w:r w:rsidRPr="2CA62BA2" w:rsidR="4B733544">
        <w:rPr>
          <w:rFonts w:ascii="Cambria" w:hAnsi="Cambria" w:eastAsia="Cambria" w:cs="Cambria"/>
          <w:i w:val="0"/>
          <w:iCs w:val="0"/>
          <w:sz w:val="24"/>
          <w:szCs w:val="24"/>
        </w:rPr>
        <w:t>a</w:t>
      </w:r>
      <w:r w:rsidRPr="2CA62BA2" w:rsidR="0E5DD108">
        <w:rPr>
          <w:rFonts w:ascii="Cambria" w:hAnsi="Cambria" w:eastAsia="Cambria" w:cs="Cambria"/>
          <w:i w:val="0"/>
          <w:iCs w:val="0"/>
          <w:sz w:val="24"/>
          <w:szCs w:val="24"/>
        </w:rPr>
        <w:t>nnual a</w:t>
      </w:r>
      <w:r w:rsidRPr="2CA62BA2" w:rsidR="4B733544">
        <w:rPr>
          <w:rFonts w:ascii="Cambria" w:hAnsi="Cambria" w:eastAsia="Cambria" w:cs="Cambria"/>
          <w:i w:val="0"/>
          <w:iCs w:val="0"/>
          <w:sz w:val="24"/>
          <w:szCs w:val="24"/>
        </w:rPr>
        <w:t>ccommodation</w:t>
      </w:r>
      <w:r w:rsidRPr="2CA62BA2" w:rsidR="641E5AFF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costs” (for </w:t>
      </w:r>
      <w:r w:rsidRPr="2CA62BA2" w:rsidR="17A63B0B">
        <w:rPr>
          <w:rFonts w:ascii="Cambria" w:hAnsi="Cambria" w:eastAsia="Cambria" w:cs="Cambria"/>
          <w:i w:val="0"/>
          <w:iCs w:val="0"/>
          <w:sz w:val="24"/>
          <w:szCs w:val="24"/>
        </w:rPr>
        <w:t>homeowners</w:t>
      </w:r>
      <w:r w:rsidRPr="2CA62BA2" w:rsidR="5E3BF6B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) not exceeding “30 percent of gross annual household income for </w:t>
      </w:r>
      <w:bookmarkStart w:name="_Int_IodNn0yA" w:id="408223231"/>
      <w:r w:rsidRPr="2CA62BA2" w:rsidR="5E3BF6BD">
        <w:rPr>
          <w:rFonts w:ascii="Cambria" w:hAnsi="Cambria" w:eastAsia="Cambria" w:cs="Cambria"/>
          <w:i w:val="0"/>
          <w:iCs w:val="0"/>
          <w:sz w:val="24"/>
          <w:szCs w:val="24"/>
        </w:rPr>
        <w:t>low and moderate income</w:t>
      </w:r>
      <w:bookmarkEnd w:id="408223231"/>
      <w:r w:rsidRPr="2CA62BA2" w:rsidR="5E3BF6B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households.”</w:t>
      </w:r>
      <w:r w:rsidRPr="2CA62BA2" w:rsidR="0215B2C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 </w:t>
      </w:r>
      <w:r w:rsidRPr="2CA62BA2" w:rsidR="298B5280">
        <w:rPr>
          <w:rFonts w:ascii="Cambria" w:hAnsi="Cambria" w:eastAsia="Cambria" w:cs="Cambria"/>
          <w:i w:val="0"/>
          <w:iCs w:val="0"/>
          <w:sz w:val="24"/>
          <w:szCs w:val="24"/>
        </w:rPr>
        <w:t>“</w:t>
      </w:r>
      <w:r w:rsidRPr="2CA62BA2" w:rsidR="0215B2CA">
        <w:rPr>
          <w:rFonts w:ascii="Cambria" w:hAnsi="Cambria" w:eastAsia="Cambria" w:cs="Cambria"/>
          <w:i w:val="0"/>
          <w:iCs w:val="0"/>
          <w:sz w:val="24"/>
          <w:szCs w:val="24"/>
        </w:rPr>
        <w:t>Low and moderate income</w:t>
      </w:r>
      <w:r w:rsidRPr="2CA62BA2" w:rsidR="79806F5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households”</w:t>
      </w:r>
      <w:r w:rsidRPr="2CA62BA2" w:rsidR="0215B2C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are defined in the </w:t>
      </w:r>
      <w:r w:rsidRPr="2CA62BA2" w:rsidR="0215B2CA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0215B2C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as </w:t>
      </w:r>
      <w:r w:rsidRPr="2CA62BA2" w:rsidR="67CEBBC6">
        <w:rPr>
          <w:rFonts w:ascii="Cambria" w:hAnsi="Cambria" w:eastAsia="Cambria" w:cs="Cambria"/>
          <w:i w:val="0"/>
          <w:iCs w:val="0"/>
          <w:sz w:val="24"/>
          <w:szCs w:val="24"/>
        </w:rPr>
        <w:t>renter households</w:t>
      </w:r>
      <w:r w:rsidRPr="2CA62BA2" w:rsidR="6B06B3A2">
        <w:rPr>
          <w:rFonts w:ascii="Cambria" w:hAnsi="Cambria" w:eastAsia="Cambria" w:cs="Cambria"/>
          <w:i w:val="0"/>
          <w:iCs w:val="0"/>
          <w:sz w:val="24"/>
          <w:szCs w:val="24"/>
        </w:rPr>
        <w:t>,</w:t>
      </w:r>
      <w:r w:rsidRPr="2CA62BA2" w:rsidR="67CEBBC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or households</w:t>
      </w:r>
      <w:r w:rsidRPr="2CA62BA2" w:rsidR="3F115F7B">
        <w:rPr>
          <w:rFonts w:ascii="Cambria" w:hAnsi="Cambria" w:eastAsia="Cambria" w:cs="Cambria"/>
          <w:i w:val="0"/>
          <w:iCs w:val="0"/>
          <w:sz w:val="24"/>
          <w:szCs w:val="24"/>
        </w:rPr>
        <w:t>,</w:t>
      </w:r>
      <w:r w:rsidRPr="2CA62BA2" w:rsidR="67CEBBC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with </w:t>
      </w:r>
      <w:r w:rsidRPr="2CA62BA2" w:rsidR="39A21703">
        <w:rPr>
          <w:rFonts w:ascii="Cambria" w:hAnsi="Cambria" w:eastAsia="Cambria" w:cs="Cambria"/>
          <w:i w:val="0"/>
          <w:iCs w:val="0"/>
          <w:sz w:val="24"/>
          <w:szCs w:val="24"/>
        </w:rPr>
        <w:t>“</w:t>
      </w:r>
      <w:r w:rsidRPr="2CA62BA2" w:rsidR="67CEBBC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incomes in the lowest 60 percent of the income distribution for the </w:t>
      </w:r>
      <w:r w:rsidRPr="2CA62BA2" w:rsidR="3ABB20BA">
        <w:rPr>
          <w:rFonts w:ascii="Cambria" w:hAnsi="Cambria" w:eastAsia="Cambria" w:cs="Cambria"/>
          <w:i w:val="0"/>
          <w:iCs w:val="0"/>
          <w:sz w:val="24"/>
          <w:szCs w:val="24"/>
        </w:rPr>
        <w:t>"</w:t>
      </w:r>
      <w:r w:rsidRPr="2CA62BA2" w:rsidR="1A0D9353">
        <w:rPr>
          <w:rFonts w:ascii="Cambria" w:hAnsi="Cambria" w:eastAsia="Cambria" w:cs="Cambria"/>
          <w:i w:val="0"/>
          <w:iCs w:val="0"/>
          <w:sz w:val="24"/>
          <w:szCs w:val="24"/>
        </w:rPr>
        <w:t>R</w:t>
      </w:r>
      <w:r w:rsidRPr="2CA62BA2" w:rsidR="67CEBBC6">
        <w:rPr>
          <w:rFonts w:ascii="Cambria" w:hAnsi="Cambria" w:eastAsia="Cambria" w:cs="Cambria"/>
          <w:i w:val="0"/>
          <w:iCs w:val="0"/>
          <w:sz w:val="24"/>
          <w:szCs w:val="24"/>
        </w:rPr>
        <w:t>e</w:t>
      </w:r>
      <w:r w:rsidRPr="2CA62BA2" w:rsidR="67CEBBC6">
        <w:rPr>
          <w:rFonts w:ascii="Cambria" w:hAnsi="Cambria" w:eastAsia="Cambria" w:cs="Cambria"/>
          <w:i w:val="0"/>
          <w:iCs w:val="0"/>
          <w:sz w:val="24"/>
          <w:szCs w:val="24"/>
        </w:rPr>
        <w:t>gional market area”</w:t>
      </w:r>
      <w:r w:rsidRPr="2CA62BA2" w:rsidR="102CD6D5">
        <w:rPr>
          <w:rFonts w:ascii="Cambria" w:hAnsi="Cambria" w:eastAsia="Cambria" w:cs="Cambria"/>
          <w:i w:val="0"/>
          <w:iCs w:val="0"/>
          <w:sz w:val="24"/>
          <w:szCs w:val="24"/>
        </w:rPr>
        <w:t>;</w:t>
      </w:r>
      <w:r w:rsidRPr="2CA62BA2" w:rsidR="36A7A4E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but, unlike the reference in the definition of </w:t>
      </w:r>
      <w:r w:rsidRPr="2CA62BA2" w:rsidR="3F077981">
        <w:rPr>
          <w:rFonts w:ascii="Cambria" w:hAnsi="Cambria" w:eastAsia="Cambria" w:cs="Cambria"/>
          <w:i w:val="0"/>
          <w:iCs w:val="0"/>
          <w:sz w:val="24"/>
          <w:szCs w:val="24"/>
        </w:rPr>
        <w:t>“</w:t>
      </w:r>
      <w:r w:rsidRPr="2CA62BA2" w:rsidR="6177BA3C">
        <w:rPr>
          <w:rFonts w:ascii="Cambria" w:hAnsi="Cambria" w:eastAsia="Cambria" w:cs="Cambria"/>
          <w:i w:val="0"/>
          <w:iCs w:val="0"/>
          <w:sz w:val="24"/>
          <w:szCs w:val="24"/>
        </w:rPr>
        <w:t>A</w:t>
      </w:r>
      <w:r w:rsidRPr="2CA62BA2" w:rsidR="36A7A4E7">
        <w:rPr>
          <w:rFonts w:ascii="Cambria" w:hAnsi="Cambria" w:eastAsia="Cambria" w:cs="Cambria"/>
          <w:i w:val="0"/>
          <w:iCs w:val="0"/>
          <w:sz w:val="24"/>
          <w:szCs w:val="24"/>
        </w:rPr>
        <w:t>ffordable</w:t>
      </w:r>
      <w:r w:rsidRPr="2CA62BA2" w:rsidR="53051860">
        <w:rPr>
          <w:rFonts w:ascii="Cambria" w:hAnsi="Cambria" w:eastAsia="Cambria" w:cs="Cambria"/>
          <w:i w:val="0"/>
          <w:iCs w:val="0"/>
          <w:sz w:val="24"/>
          <w:szCs w:val="24"/>
        </w:rPr>
        <w:t>”</w:t>
      </w:r>
      <w:r w:rsidRPr="2CA62BA2" w:rsidR="36A7A4E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, which refers to households in general for both renters and homeowners, </w:t>
      </w:r>
      <w:r w:rsidRPr="2CA62BA2" w:rsidR="5FB506E8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the definition </w:t>
      </w:r>
      <w:r w:rsidRPr="2CA62BA2" w:rsidR="04539EC9">
        <w:rPr>
          <w:rFonts w:ascii="Cambria" w:hAnsi="Cambria" w:eastAsia="Cambria" w:cs="Cambria"/>
          <w:i w:val="0"/>
          <w:iCs w:val="0"/>
          <w:sz w:val="24"/>
          <w:szCs w:val="24"/>
        </w:rPr>
        <w:t>of “</w:t>
      </w:r>
      <w:r w:rsidRPr="2CA62BA2" w:rsidR="0296A247">
        <w:rPr>
          <w:rFonts w:ascii="Cambria" w:hAnsi="Cambria" w:eastAsia="Cambria" w:cs="Cambria"/>
          <w:i w:val="0"/>
          <w:iCs w:val="0"/>
          <w:sz w:val="24"/>
          <w:szCs w:val="24"/>
        </w:rPr>
        <w:t>L</w:t>
      </w:r>
      <w:r w:rsidRPr="2CA62BA2" w:rsidR="04539EC9">
        <w:rPr>
          <w:rFonts w:ascii="Cambria" w:hAnsi="Cambria" w:eastAsia="Cambria" w:cs="Cambria"/>
          <w:i w:val="0"/>
          <w:iCs w:val="0"/>
          <w:sz w:val="24"/>
          <w:szCs w:val="24"/>
        </w:rPr>
        <w:t>ow and moderate</w:t>
      </w:r>
      <w:r w:rsidRPr="2CA62BA2" w:rsidR="61C9A14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income households</w:t>
      </w:r>
      <w:r w:rsidRPr="2CA62BA2" w:rsidR="6FF7A530">
        <w:rPr>
          <w:rFonts w:ascii="Cambria" w:hAnsi="Cambria" w:eastAsia="Cambria" w:cs="Cambria"/>
          <w:i w:val="0"/>
          <w:iCs w:val="0"/>
          <w:sz w:val="24"/>
          <w:szCs w:val="24"/>
        </w:rPr>
        <w:t>” while using the general household population for determining the 60th</w:t>
      </w:r>
      <w:r w:rsidRPr="2CA62BA2" w:rsidR="57E9E20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percentile for owners, uses the restricted database of rental households in the determination of the 6</w:t>
      </w:r>
      <w:r w:rsidRPr="2CA62BA2" w:rsidR="7F6CCE7B">
        <w:rPr>
          <w:rFonts w:ascii="Cambria" w:hAnsi="Cambria" w:eastAsia="Cambria" w:cs="Cambria"/>
          <w:i w:val="0"/>
          <w:iCs w:val="0"/>
          <w:sz w:val="24"/>
          <w:szCs w:val="24"/>
        </w:rPr>
        <w:t>0th</w:t>
      </w:r>
      <w:r w:rsidRPr="2CA62BA2" w:rsidR="57E9E20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percentile for renters.</w:t>
      </w:r>
      <w:r w:rsidRPr="2CA62BA2" w:rsidR="2F20BC8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 </w:t>
      </w:r>
    </w:p>
    <w:p w:rsidR="5CAE8E1E" w:rsidP="5CAE8E1E" w:rsidRDefault="5CAE8E1E" w14:paraId="369AEBB0" w14:textId="51640A5D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69951E0B" w:rsidP="2CA62BA2" w:rsidRDefault="69951E0B" w14:paraId="612E585A" w14:textId="7ACB2082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69951E0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This distinction has been carried over into the proposed definition for </w:t>
      </w:r>
      <w:r w:rsidRPr="2CA62BA2" w:rsidR="683037B1">
        <w:rPr>
          <w:rFonts w:ascii="Cambria" w:hAnsi="Cambria" w:eastAsia="Cambria" w:cs="Cambria"/>
          <w:i w:val="0"/>
          <w:iCs w:val="0"/>
          <w:sz w:val="24"/>
          <w:szCs w:val="24"/>
        </w:rPr>
        <w:t>the Act</w:t>
      </w:r>
      <w:r w:rsidRPr="2CA62BA2" w:rsidR="05913292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250FB5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TAEH is concerned that this </w:t>
      </w:r>
      <w:r w:rsidRPr="2CA62BA2" w:rsidR="3AE461F1">
        <w:rPr>
          <w:rFonts w:ascii="Cambria" w:hAnsi="Cambria" w:eastAsia="Cambria" w:cs="Cambria"/>
          <w:i w:val="0"/>
          <w:iCs w:val="0"/>
          <w:sz w:val="24"/>
          <w:szCs w:val="24"/>
        </w:rPr>
        <w:t>may</w:t>
      </w:r>
      <w:r w:rsidRPr="2CA62BA2" w:rsidR="4250FB5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lead to a </w:t>
      </w:r>
      <w:r w:rsidRPr="2CA62BA2" w:rsidR="06D13C09">
        <w:rPr>
          <w:rFonts w:ascii="Cambria" w:hAnsi="Cambria" w:eastAsia="Cambria" w:cs="Cambria"/>
          <w:i w:val="0"/>
          <w:iCs w:val="0"/>
          <w:sz w:val="24"/>
          <w:szCs w:val="24"/>
        </w:rPr>
        <w:t>flawed</w:t>
      </w:r>
      <w:r w:rsidRPr="2CA62BA2" w:rsidR="4250FB5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outcome </w:t>
      </w:r>
      <w:r w:rsidRPr="2CA62BA2" w:rsidR="4250FB51">
        <w:rPr>
          <w:rFonts w:ascii="Cambria" w:hAnsi="Cambria" w:eastAsia="Cambria" w:cs="Cambria"/>
          <w:i w:val="0"/>
          <w:iCs w:val="0"/>
          <w:sz w:val="24"/>
          <w:szCs w:val="24"/>
        </w:rPr>
        <w:t>regarding</w:t>
      </w:r>
      <w:r w:rsidRPr="2CA62BA2" w:rsidR="4250FB5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construction of rental residential buildings</w:t>
      </w:r>
      <w:r w:rsidRPr="2CA62BA2" w:rsidR="682B9F5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351C0E9B">
        <w:rPr>
          <w:rFonts w:ascii="Cambria" w:hAnsi="Cambria" w:eastAsia="Cambria" w:cs="Cambria"/>
          <w:i w:val="0"/>
          <w:iCs w:val="0"/>
          <w:sz w:val="24"/>
          <w:szCs w:val="24"/>
        </w:rPr>
        <w:t>By using the 60th percentile the proposal</w:t>
      </w:r>
      <w:r w:rsidRPr="2CA62BA2" w:rsidR="2751D2B8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could allow</w:t>
      </w:r>
      <w:r w:rsidRPr="2CA62BA2" w:rsidR="6D5A5D68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above average incomes to </w:t>
      </w:r>
      <w:r w:rsidRPr="2CA62BA2" w:rsidR="6D5A5D68">
        <w:rPr>
          <w:rFonts w:ascii="Cambria" w:hAnsi="Cambria" w:eastAsia="Cambria" w:cs="Cambria"/>
          <w:i w:val="0"/>
          <w:iCs w:val="0"/>
          <w:sz w:val="24"/>
          <w:szCs w:val="24"/>
        </w:rPr>
        <w:t>determine</w:t>
      </w:r>
      <w:r w:rsidRPr="2CA62BA2" w:rsidR="6D5A5D68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6C8A450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rental housing </w:t>
      </w:r>
      <w:r w:rsidRPr="2CA62BA2" w:rsidR="6D5A5D68">
        <w:rPr>
          <w:rFonts w:ascii="Cambria" w:hAnsi="Cambria" w:eastAsia="Cambria" w:cs="Cambria"/>
          <w:i w:val="0"/>
          <w:iCs w:val="0"/>
          <w:sz w:val="24"/>
          <w:szCs w:val="24"/>
        </w:rPr>
        <w:t>affordability</w:t>
      </w:r>
      <w:r w:rsidRPr="2CA62BA2" w:rsidR="76CB36C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D1B98A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When dealing with a range of values for property that will be </w:t>
      </w:r>
      <w:r w:rsidRPr="2CA62BA2" w:rsidR="5E5B2D25">
        <w:rPr>
          <w:rFonts w:ascii="Cambria" w:hAnsi="Cambria" w:eastAsia="Cambria" w:cs="Cambria"/>
          <w:i w:val="0"/>
          <w:iCs w:val="0"/>
          <w:sz w:val="24"/>
          <w:szCs w:val="24"/>
        </w:rPr>
        <w:t>eligible</w:t>
      </w:r>
      <w:r w:rsidRPr="2CA62BA2" w:rsidR="4D1B98A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to be defined as affordable</w:t>
      </w:r>
      <w:r w:rsidRPr="2CA62BA2" w:rsidR="4FE198F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under the Act, it is reasonable to assume that developers will preference the construction of the highest value properties within that range, </w:t>
      </w:r>
      <w:r w:rsidRPr="2CA62BA2" w:rsidR="44F1C776">
        <w:rPr>
          <w:rFonts w:ascii="Cambria" w:hAnsi="Cambria" w:eastAsia="Cambria" w:cs="Cambria"/>
          <w:i w:val="0"/>
          <w:iCs w:val="0"/>
          <w:sz w:val="24"/>
          <w:szCs w:val="24"/>
        </w:rPr>
        <w:t>to</w:t>
      </w:r>
      <w:r w:rsidRPr="2CA62BA2" w:rsidR="4FE198F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bookmarkStart w:name="_Int_faeJrVcD" w:id="1231580393"/>
      <w:r w:rsidRPr="2CA62BA2" w:rsidR="4FE198FB">
        <w:rPr>
          <w:rFonts w:ascii="Cambria" w:hAnsi="Cambria" w:eastAsia="Cambria" w:cs="Cambria"/>
          <w:i w:val="0"/>
          <w:iCs w:val="0"/>
          <w:sz w:val="24"/>
          <w:szCs w:val="24"/>
        </w:rPr>
        <w:t>maximise</w:t>
      </w:r>
      <w:bookmarkEnd w:id="1231580393"/>
      <w:r w:rsidRPr="2CA62BA2" w:rsidR="4FE198F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their rate of return</w:t>
      </w:r>
      <w:r w:rsidRPr="2CA62BA2" w:rsidR="0B37A20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FE198F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As such, </w:t>
      </w:r>
      <w:r w:rsidRPr="2CA62BA2" w:rsidR="29490CFD">
        <w:rPr>
          <w:rFonts w:ascii="Cambria" w:hAnsi="Cambria" w:eastAsia="Cambria" w:cs="Cambria"/>
          <w:i w:val="0"/>
          <w:iCs w:val="0"/>
          <w:sz w:val="24"/>
          <w:szCs w:val="24"/>
        </w:rPr>
        <w:t>us</w:t>
      </w:r>
      <w:r w:rsidRPr="2CA62BA2" w:rsidR="4FE198FB">
        <w:rPr>
          <w:rFonts w:ascii="Cambria" w:hAnsi="Cambria" w:eastAsia="Cambria" w:cs="Cambria"/>
          <w:i w:val="0"/>
          <w:iCs w:val="0"/>
          <w:sz w:val="24"/>
          <w:szCs w:val="24"/>
        </w:rPr>
        <w:t>i</w:t>
      </w:r>
      <w:r w:rsidRPr="2CA62BA2" w:rsidR="2A7CF2A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ng such a </w:t>
      </w:r>
      <w:bookmarkStart w:name="_Int_3uDfcatv" w:id="601087039"/>
      <w:r w:rsidRPr="2CA62BA2" w:rsidR="567625DA">
        <w:rPr>
          <w:rFonts w:ascii="Cambria" w:hAnsi="Cambria" w:eastAsia="Cambria" w:cs="Cambria"/>
          <w:i w:val="0"/>
          <w:iCs w:val="0"/>
          <w:sz w:val="24"/>
          <w:szCs w:val="24"/>
        </w:rPr>
        <w:t>high income</w:t>
      </w:r>
      <w:bookmarkEnd w:id="601087039"/>
      <w:r w:rsidRPr="2CA62BA2" w:rsidR="2A7CF2A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percentile to </w:t>
      </w:r>
      <w:r w:rsidRPr="2CA62BA2" w:rsidR="77DA0FDA">
        <w:rPr>
          <w:rFonts w:ascii="Cambria" w:hAnsi="Cambria" w:eastAsia="Cambria" w:cs="Cambria"/>
          <w:i w:val="0"/>
          <w:iCs w:val="0"/>
          <w:sz w:val="24"/>
          <w:szCs w:val="24"/>
        </w:rPr>
        <w:t>define the ceiling on affordability will result in th</w:t>
      </w:r>
      <w:r w:rsidRPr="2CA62BA2" w:rsidR="53895F6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ose </w:t>
      </w:r>
      <w:r w:rsidRPr="2CA62BA2" w:rsidR="77DA0FD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residents </w:t>
      </w:r>
      <w:r w:rsidRPr="2CA62BA2" w:rsidR="479B2D3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who are most in need of rent relief </w:t>
      </w:r>
      <w:r w:rsidRPr="2CA62BA2" w:rsidR="77DA0FD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having the least likelihood of </w:t>
      </w:r>
      <w:r w:rsidRPr="2CA62BA2" w:rsidR="1E8042F1">
        <w:rPr>
          <w:rFonts w:ascii="Cambria" w:hAnsi="Cambria" w:eastAsia="Cambria" w:cs="Cambria"/>
          <w:i w:val="0"/>
          <w:iCs w:val="0"/>
          <w:sz w:val="24"/>
          <w:szCs w:val="24"/>
        </w:rPr>
        <w:t>gaining</w:t>
      </w:r>
      <w:r w:rsidRPr="2CA62BA2" w:rsidR="77DA0FD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access to whatever buildings are built as affordable </w:t>
      </w:r>
      <w:r w:rsidRPr="2CA62BA2" w:rsidR="59DAB3F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rental </w:t>
      </w:r>
      <w:r w:rsidRPr="2CA62BA2" w:rsidR="77DA0FDA">
        <w:rPr>
          <w:rFonts w:ascii="Cambria" w:hAnsi="Cambria" w:eastAsia="Cambria" w:cs="Cambria"/>
          <w:i w:val="0"/>
          <w:iCs w:val="0"/>
          <w:sz w:val="24"/>
          <w:szCs w:val="24"/>
        </w:rPr>
        <w:t>housing.</w:t>
      </w:r>
      <w:r w:rsidRPr="2CA62BA2" w:rsidR="4D1B98A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, </w:t>
      </w:r>
      <w:r w:rsidRPr="2CA62BA2" w:rsidR="69951E0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</w:p>
    <w:p w:rsidR="69951E0B" w:rsidP="37C0A24A" w:rsidRDefault="69951E0B" w14:paraId="793BAF90" w14:textId="06BD4930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69951E0B" w:rsidP="2CA62BA2" w:rsidRDefault="69951E0B" w14:paraId="341C969D" w14:textId="598B778B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2F20BC84">
        <w:rPr>
          <w:rFonts w:ascii="Cambria" w:hAnsi="Cambria" w:eastAsia="Cambria" w:cs="Cambria"/>
          <w:i w:val="0"/>
          <w:iCs w:val="0"/>
          <w:sz w:val="24"/>
          <w:szCs w:val="24"/>
        </w:rPr>
        <w:t>TAEH</w:t>
      </w:r>
      <w:r w:rsidRPr="2CA62BA2" w:rsidR="21A36DE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also </w:t>
      </w:r>
      <w:r w:rsidRPr="2CA62BA2" w:rsidR="12A43DA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notes </w:t>
      </w:r>
      <w:r w:rsidRPr="2CA62BA2" w:rsidR="21A36DE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that the distinction between general and rental households to </w:t>
      </w:r>
      <w:r w:rsidRPr="2CA62BA2" w:rsidR="21A36DEA">
        <w:rPr>
          <w:rFonts w:ascii="Cambria" w:hAnsi="Cambria" w:eastAsia="Cambria" w:cs="Cambria"/>
          <w:i w:val="0"/>
          <w:iCs w:val="0"/>
          <w:sz w:val="24"/>
          <w:szCs w:val="24"/>
        </w:rPr>
        <w:t>d</w:t>
      </w:r>
      <w:r w:rsidRPr="2CA62BA2" w:rsidR="21A36DEA">
        <w:rPr>
          <w:rFonts w:ascii="Cambria" w:hAnsi="Cambria" w:eastAsia="Cambria" w:cs="Cambria"/>
          <w:i w:val="0"/>
          <w:iCs w:val="0"/>
          <w:sz w:val="24"/>
          <w:szCs w:val="24"/>
        </w:rPr>
        <w:t>etermine</w:t>
      </w:r>
      <w:r w:rsidRPr="2CA62BA2" w:rsidR="21A36DE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60th percentile</w:t>
      </w:r>
      <w:r w:rsidRPr="2CA62BA2" w:rsidR="74ACE5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0B51B1A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for affordable private ownership </w:t>
      </w:r>
      <w:r w:rsidRPr="2CA62BA2" w:rsidR="27FBCB34">
        <w:rPr>
          <w:rFonts w:ascii="Cambria" w:hAnsi="Cambria" w:eastAsia="Cambria" w:cs="Cambria"/>
          <w:i w:val="0"/>
          <w:iCs w:val="0"/>
          <w:sz w:val="24"/>
          <w:szCs w:val="24"/>
        </w:rPr>
        <w:t>housing</w:t>
      </w:r>
      <w:r w:rsidRPr="2CA62BA2" w:rsidR="0B51B1A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versus rental </w:t>
      </w:r>
      <w:r w:rsidRPr="2CA62BA2" w:rsidR="402642AD">
        <w:rPr>
          <w:rFonts w:ascii="Cambria" w:hAnsi="Cambria" w:eastAsia="Cambria" w:cs="Cambria"/>
          <w:i w:val="0"/>
          <w:iCs w:val="0"/>
          <w:sz w:val="24"/>
          <w:szCs w:val="24"/>
        </w:rPr>
        <w:t>housing</w:t>
      </w:r>
      <w:r w:rsidRPr="2CA62BA2" w:rsidR="219534D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2F20BC8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is </w:t>
      </w:r>
      <w:r w:rsidRPr="2CA62BA2" w:rsidR="53FF587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a </w:t>
      </w:r>
      <w:r w:rsidRPr="2CA62BA2" w:rsidR="2F20BC8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distinction </w:t>
      </w:r>
      <w:r w:rsidRPr="2CA62BA2" w:rsidR="064BEFB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that </w:t>
      </w:r>
      <w:r w:rsidRPr="2CA62BA2" w:rsidR="2F20BC8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could lead to </w:t>
      </w:r>
      <w:r w:rsidRPr="2CA62BA2" w:rsidR="3211A5CB">
        <w:rPr>
          <w:rFonts w:ascii="Cambria" w:hAnsi="Cambria" w:eastAsia="Cambria" w:cs="Cambria"/>
          <w:i w:val="0"/>
          <w:iCs w:val="0"/>
          <w:sz w:val="24"/>
          <w:szCs w:val="24"/>
        </w:rPr>
        <w:t>inequities that</w:t>
      </w:r>
      <w:r w:rsidRPr="2CA62BA2" w:rsidR="0BFEB5E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skew the market in </w:t>
      </w:r>
      <w:r w:rsidRPr="2CA62BA2" w:rsidR="0BFEB5E6">
        <w:rPr>
          <w:rFonts w:ascii="Cambria" w:hAnsi="Cambria" w:eastAsia="Cambria" w:cs="Cambria"/>
          <w:i w:val="0"/>
          <w:iCs w:val="0"/>
          <w:sz w:val="24"/>
          <w:szCs w:val="24"/>
        </w:rPr>
        <w:t>favour</w:t>
      </w:r>
      <w:r w:rsidRPr="2CA62BA2" w:rsidR="0BFEB5E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of </w:t>
      </w:r>
      <w:r w:rsidRPr="2CA62BA2" w:rsidR="75D15F0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the </w:t>
      </w:r>
      <w:r w:rsidRPr="2CA62BA2" w:rsidR="0BFEB5E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construction of </w:t>
      </w:r>
      <w:r w:rsidRPr="2CA62BA2" w:rsidR="641BB8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affordable </w:t>
      </w:r>
      <w:r w:rsidRPr="2CA62BA2" w:rsidR="0BFEB5E6">
        <w:rPr>
          <w:rFonts w:ascii="Cambria" w:hAnsi="Cambria" w:eastAsia="Cambria" w:cs="Cambria"/>
          <w:i w:val="0"/>
          <w:iCs w:val="0"/>
          <w:sz w:val="24"/>
          <w:szCs w:val="24"/>
        </w:rPr>
        <w:t>homes for private ownership compared to renting</w:t>
      </w:r>
      <w:r w:rsidRPr="2CA62BA2" w:rsidR="60DFD3D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6EBC48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The larger the gap in income between these two values in </w:t>
      </w:r>
      <w:r w:rsidRPr="2CA62BA2" w:rsidR="6EBC4880">
        <w:rPr>
          <w:rFonts w:ascii="Cambria" w:hAnsi="Cambria" w:eastAsia="Cambria" w:cs="Cambria"/>
          <w:i w:val="0"/>
          <w:iCs w:val="0"/>
          <w:sz w:val="24"/>
          <w:szCs w:val="24"/>
        </w:rPr>
        <w:t>favour</w:t>
      </w:r>
      <w:r w:rsidRPr="2CA62BA2" w:rsidR="6EBC48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of home ownership, the greater the likelihood that developers will </w:t>
      </w:r>
      <w:r w:rsidRPr="2CA62BA2" w:rsidR="482C56D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build homes for private ownership, since the value of the building will be </w:t>
      </w:r>
      <w:r w:rsidRPr="2CA62BA2" w:rsidR="482C56D7">
        <w:rPr>
          <w:rFonts w:ascii="Cambria" w:hAnsi="Cambria" w:eastAsia="Cambria" w:cs="Cambria"/>
          <w:i w:val="0"/>
          <w:iCs w:val="0"/>
          <w:sz w:val="24"/>
          <w:szCs w:val="24"/>
        </w:rPr>
        <w:t>greater</w:t>
      </w:r>
      <w:r w:rsidRPr="2CA62BA2" w:rsidR="482C56D7">
        <w:rPr>
          <w:rFonts w:ascii="Cambria" w:hAnsi="Cambria" w:eastAsia="Cambria" w:cs="Cambria"/>
          <w:i w:val="0"/>
          <w:iCs w:val="0"/>
          <w:sz w:val="24"/>
          <w:szCs w:val="24"/>
        </w:rPr>
        <w:t>.</w:t>
      </w:r>
      <w:r w:rsidRPr="2CA62BA2" w:rsidR="6EBC48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</w:p>
    <w:p w:rsidR="69951E0B" w:rsidP="37C0A24A" w:rsidRDefault="69951E0B" w14:paraId="5187C3CD" w14:textId="13FA4E1B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69951E0B" w:rsidP="2CA62BA2" w:rsidRDefault="69951E0B" w14:paraId="679C9BAD" w14:textId="38C6D129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3EDED29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While both affordable home purchases and affordable rental units are needed in the City of Toronto, TAEH believes </w:t>
      </w:r>
      <w:r w:rsidRPr="2CA62BA2" w:rsidR="7D83B7C4">
        <w:rPr>
          <w:rFonts w:ascii="Cambria" w:hAnsi="Cambria" w:eastAsia="Cambria" w:cs="Cambria"/>
          <w:i w:val="0"/>
          <w:iCs w:val="0"/>
          <w:sz w:val="24"/>
          <w:szCs w:val="24"/>
        </w:rPr>
        <w:t>the need</w:t>
      </w:r>
      <w:r w:rsidRPr="2CA62BA2" w:rsidR="3EDED29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for affordable rental units far exceeds the need to make the pur</w:t>
      </w:r>
      <w:r w:rsidRPr="2CA62BA2" w:rsidR="50CEDAF6">
        <w:rPr>
          <w:rFonts w:ascii="Cambria" w:hAnsi="Cambria" w:eastAsia="Cambria" w:cs="Cambria"/>
          <w:i w:val="0"/>
          <w:iCs w:val="0"/>
          <w:sz w:val="24"/>
          <w:szCs w:val="24"/>
        </w:rPr>
        <w:t>chase of homes for private occupancy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easier</w:t>
      </w:r>
      <w:r w:rsidRPr="2CA62BA2" w:rsidR="0EA1A9E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556CD77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as such, TAEH believes that </w:t>
      </w:r>
      <w:r w:rsidRPr="2CA62BA2" w:rsidR="532B3564">
        <w:rPr>
          <w:rFonts w:ascii="Cambria" w:hAnsi="Cambria" w:eastAsia="Cambria" w:cs="Cambria"/>
          <w:i w:val="0"/>
          <w:iCs w:val="0"/>
          <w:sz w:val="24"/>
          <w:szCs w:val="24"/>
        </w:rPr>
        <w:t>the</w:t>
      </w:r>
      <w:r w:rsidRPr="2CA62BA2" w:rsidR="556CD77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proposed amendments be at th</w:t>
      </w:r>
      <w:r w:rsidRPr="2CA62BA2" w:rsidR="3B25E07A">
        <w:rPr>
          <w:rFonts w:ascii="Cambria" w:hAnsi="Cambria" w:eastAsia="Cambria" w:cs="Cambria"/>
          <w:i w:val="0"/>
          <w:iCs w:val="0"/>
          <w:sz w:val="24"/>
          <w:szCs w:val="24"/>
        </w:rPr>
        <w:t>e least neutral in preferencing one class of affordable residential unit over the other:  indeed, based on the</w:t>
      </w:r>
      <w:r w:rsidRPr="2CA62BA2" w:rsidR="73642F4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arguments above, a case can be made to deliberately favour making amendments to the Act that </w:t>
      </w:r>
      <w:r w:rsidRPr="2CA62BA2" w:rsidR="656632EA">
        <w:rPr>
          <w:rFonts w:ascii="Cambria" w:hAnsi="Cambria" w:eastAsia="Cambria" w:cs="Cambria"/>
          <w:i w:val="0"/>
          <w:iCs w:val="0"/>
          <w:sz w:val="24"/>
          <w:szCs w:val="24"/>
        </w:rPr>
        <w:t>privileges</w:t>
      </w:r>
      <w:r w:rsidRPr="2CA62BA2" w:rsidR="73642F4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construction of affordable rental residential units</w:t>
      </w:r>
      <w:r w:rsidRPr="2CA62BA2" w:rsidR="498BFEA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>Thi</w:t>
      </w:r>
      <w:r w:rsidRPr="2CA62BA2" w:rsidR="4745F4F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s </w:t>
      </w:r>
      <w:r w:rsidRPr="2CA62BA2" w:rsidR="7886499E">
        <w:rPr>
          <w:rFonts w:ascii="Cambria" w:hAnsi="Cambria" w:eastAsia="Cambria" w:cs="Cambria"/>
          <w:i w:val="0"/>
          <w:iCs w:val="0"/>
          <w:sz w:val="24"/>
          <w:szCs w:val="24"/>
        </w:rPr>
        <w:t>would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also </w:t>
      </w:r>
      <w:r w:rsidRPr="2CA62BA2" w:rsidR="6D6B9887">
        <w:rPr>
          <w:rFonts w:ascii="Cambria" w:hAnsi="Cambria" w:eastAsia="Cambria" w:cs="Cambria"/>
          <w:i w:val="0"/>
          <w:iCs w:val="0"/>
          <w:sz w:val="24"/>
          <w:szCs w:val="24"/>
        </w:rPr>
        <w:t>be consistent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with both provincial and </w:t>
      </w:r>
      <w:r w:rsidRPr="2CA62BA2" w:rsidR="76F8ADA3">
        <w:rPr>
          <w:rFonts w:ascii="Cambria" w:hAnsi="Cambria" w:eastAsia="Cambria" w:cs="Cambria"/>
          <w:i w:val="0"/>
          <w:iCs w:val="0"/>
          <w:sz w:val="24"/>
          <w:szCs w:val="24"/>
        </w:rPr>
        <w:t>municipal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policies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>pertaining t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>o</w:t>
      </w:r>
      <w:r w:rsidRPr="2CA62BA2" w:rsidR="69107E8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mixed communities, and the need to </w:t>
      </w:r>
      <w:r w:rsidRPr="2CA62BA2" w:rsidR="1514792B">
        <w:rPr>
          <w:rFonts w:ascii="Cambria" w:hAnsi="Cambria" w:eastAsia="Cambria" w:cs="Cambria"/>
          <w:i w:val="0"/>
          <w:iCs w:val="0"/>
          <w:sz w:val="24"/>
          <w:szCs w:val="24"/>
        </w:rPr>
        <w:t>have low wage urban employees, who typically r</w:t>
      </w:r>
      <w:r w:rsidRPr="2CA62BA2" w:rsidR="60025902">
        <w:rPr>
          <w:rFonts w:ascii="Cambria" w:hAnsi="Cambria" w:eastAsia="Cambria" w:cs="Cambria"/>
          <w:i w:val="0"/>
          <w:iCs w:val="0"/>
          <w:sz w:val="24"/>
          <w:szCs w:val="24"/>
        </w:rPr>
        <w:t>ent,</w:t>
      </w:r>
      <w:r w:rsidRPr="2CA62BA2" w:rsidR="1514792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living within the cities in which they work.</w:t>
      </w:r>
    </w:p>
    <w:p w:rsidR="5CAE8E1E" w:rsidP="5CAE8E1E" w:rsidRDefault="5CAE8E1E" w14:paraId="6C04C880" w14:textId="1EA1DF3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5F36D0BA" w:rsidP="2CA62BA2" w:rsidRDefault="5F36D0BA" w14:paraId="6738F62C" w14:textId="59F9342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5F36D0B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TAEH </w:t>
      </w:r>
      <w:r w:rsidRPr="2CA62BA2" w:rsidR="0C3DA743">
        <w:rPr>
          <w:rFonts w:ascii="Cambria" w:hAnsi="Cambria" w:eastAsia="Cambria" w:cs="Cambria"/>
          <w:i w:val="0"/>
          <w:iCs w:val="0"/>
          <w:sz w:val="24"/>
          <w:szCs w:val="24"/>
        </w:rPr>
        <w:t>has</w:t>
      </w:r>
      <w:r w:rsidRPr="2CA62BA2" w:rsidR="5F36D0B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concern</w:t>
      </w:r>
      <w:r w:rsidRPr="2CA62BA2" w:rsidR="6055D4A7">
        <w:rPr>
          <w:rFonts w:ascii="Cambria" w:hAnsi="Cambria" w:eastAsia="Cambria" w:cs="Cambria"/>
          <w:i w:val="0"/>
          <w:iCs w:val="0"/>
          <w:sz w:val="24"/>
          <w:szCs w:val="24"/>
        </w:rPr>
        <w:t>s</w:t>
      </w:r>
      <w:r w:rsidRPr="2CA62BA2" w:rsidR="5F36D0BA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with</w:t>
      </w:r>
      <w:r w:rsidRPr="2CA62BA2" w:rsidR="0941778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catchment area to be used to obtain the data on household incomes, be it general or restricted to rental households</w:t>
      </w:r>
      <w:r w:rsidRPr="2CA62BA2" w:rsidR="56A7D56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0941778D">
        <w:rPr>
          <w:rFonts w:ascii="Cambria" w:hAnsi="Cambria" w:eastAsia="Cambria" w:cs="Cambria"/>
          <w:i w:val="0"/>
          <w:iCs w:val="0"/>
          <w:sz w:val="24"/>
          <w:szCs w:val="24"/>
        </w:rPr>
        <w:t>T</w:t>
      </w:r>
      <w:r w:rsidRPr="2CA62BA2" w:rsidR="47E65CB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he proposed legislation </w:t>
      </w:r>
      <w:r w:rsidRPr="2CA62BA2" w:rsidR="3381C9F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uses the phrase “applicable local municipality” which differs from the definition </w:t>
      </w:r>
      <w:r w:rsidRPr="2CA62BA2" w:rsidR="193AD2FA">
        <w:rPr>
          <w:rFonts w:ascii="Cambria" w:hAnsi="Cambria" w:eastAsia="Cambria" w:cs="Cambria"/>
          <w:i w:val="0"/>
          <w:iCs w:val="0"/>
          <w:sz w:val="24"/>
          <w:szCs w:val="24"/>
        </w:rPr>
        <w:t>of “</w:t>
      </w:r>
      <w:r w:rsidRPr="2CA62BA2" w:rsidR="7BB4C42D">
        <w:rPr>
          <w:rFonts w:ascii="Cambria" w:hAnsi="Cambria" w:eastAsia="Cambria" w:cs="Cambria"/>
          <w:i w:val="0"/>
          <w:iCs w:val="0"/>
          <w:sz w:val="24"/>
          <w:szCs w:val="24"/>
        </w:rPr>
        <w:t>R</w:t>
      </w:r>
      <w:r w:rsidRPr="2CA62BA2" w:rsidR="3381C9FD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egional market </w:t>
      </w:r>
      <w:r w:rsidRPr="2CA62BA2" w:rsidR="6113C43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area” in the </w:t>
      </w:r>
      <w:r w:rsidRPr="2CA62BA2" w:rsidR="6113C431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61CFDA5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7266C66F">
        <w:rPr>
          <w:rFonts w:ascii="Cambria" w:hAnsi="Cambria" w:eastAsia="Cambria" w:cs="Cambria"/>
          <w:i w:val="0"/>
          <w:iCs w:val="0"/>
          <w:sz w:val="24"/>
          <w:szCs w:val="24"/>
        </w:rPr>
        <w:t>This definition is as follows:</w:t>
      </w:r>
    </w:p>
    <w:p w:rsidR="5CAE8E1E" w:rsidP="5CAE8E1E" w:rsidRDefault="5CAE8E1E" w14:paraId="653B2978" w14:textId="792786FD">
      <w:pPr>
        <w:pStyle w:val="Normal"/>
        <w:spacing w:after="0" w:line="240" w:lineRule="auto"/>
        <w:ind w:left="0"/>
        <w:rPr>
          <w:rFonts w:ascii="Cambria" w:hAnsi="Cambria" w:eastAsia="Cambria" w:cs="Cambria"/>
          <w:sz w:val="24"/>
          <w:szCs w:val="24"/>
        </w:rPr>
      </w:pPr>
    </w:p>
    <w:p w:rsidR="7266C66F" w:rsidP="5CAE8E1E" w:rsidRDefault="7266C66F" w14:paraId="65680E81" w14:textId="1654B067">
      <w:pPr>
        <w:pStyle w:val="Normal"/>
        <w:spacing w:after="0" w:line="240" w:lineRule="auto"/>
        <w:ind w:left="720" w:right="1008"/>
      </w:pPr>
      <w:r w:rsidRPr="2CA62BA2" w:rsidR="7266C66F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“</w:t>
      </w:r>
      <w:r w:rsidRPr="2CA62BA2" w:rsidR="16B85896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 xml:space="preserve">Regional market </w:t>
      </w:r>
      <w:bookmarkStart w:name="_Int_PdDo0kaz" w:id="760958693"/>
      <w:r w:rsidRPr="2CA62BA2" w:rsidR="16B85896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>area:</w:t>
      </w:r>
      <w:bookmarkEnd w:id="760958693"/>
      <w:r w:rsidRPr="2CA62BA2" w:rsidR="16B85896">
        <w:rPr>
          <w:rFonts w:ascii="Cambria" w:hAnsi="Cambria" w:eastAsia="Cambria" w:cs="Cambria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CA62BA2" w:rsidR="16B85896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refers to an area that has a high degree of social and economic interaction. The upper or single-tier municipality, or planning area, will normally serve as the regional market area. However, where a regional market area extends significantly beyond these boundaries, then the regional market area may be based on the larger market area. Where regional market areas are </w:t>
      </w:r>
      <w:r w:rsidRPr="2CA62BA2" w:rsidR="16B85896">
        <w:rPr>
          <w:rFonts w:ascii="Cambria" w:hAnsi="Cambria" w:eastAsia="Cambria" w:cs="Cambria"/>
          <w:noProof w:val="0"/>
          <w:sz w:val="24"/>
          <w:szCs w:val="24"/>
          <w:lang w:val="en-US"/>
        </w:rPr>
        <w:t>very large</w:t>
      </w:r>
      <w:r w:rsidRPr="2CA62BA2" w:rsidR="16B85896">
        <w:rPr>
          <w:rFonts w:ascii="Cambria" w:hAnsi="Cambria" w:eastAsia="Cambria" w:cs="Cambria"/>
          <w:noProof w:val="0"/>
          <w:sz w:val="24"/>
          <w:szCs w:val="24"/>
          <w:lang w:val="en-US"/>
        </w:rPr>
        <w:t xml:space="preserve"> and sparsely populated, a smaller area, if defined in an official plan, may be </w:t>
      </w:r>
      <w:r w:rsidRPr="2CA62BA2" w:rsidR="16B85896">
        <w:rPr>
          <w:rFonts w:ascii="Cambria" w:hAnsi="Cambria" w:eastAsia="Cambria" w:cs="Cambria"/>
          <w:noProof w:val="0"/>
          <w:sz w:val="24"/>
          <w:szCs w:val="24"/>
          <w:lang w:val="en-US"/>
        </w:rPr>
        <w:t>utilized</w:t>
      </w:r>
      <w:r w:rsidRPr="2CA62BA2" w:rsidR="42F6F348">
        <w:rPr>
          <w:rFonts w:ascii="Cambria" w:hAnsi="Cambria" w:eastAsia="Cambria" w:cs="Cambria"/>
          <w:noProof w:val="0"/>
          <w:sz w:val="24"/>
          <w:szCs w:val="24"/>
          <w:lang w:val="en-US"/>
        </w:rPr>
        <w:t>.”</w:t>
      </w:r>
    </w:p>
    <w:p w:rsidR="5CAE8E1E" w:rsidP="5CAE8E1E" w:rsidRDefault="5CAE8E1E" w14:paraId="0B81C15B" w14:textId="5190AC8C">
      <w:pPr>
        <w:pStyle w:val="Normal"/>
        <w:spacing w:after="0" w:line="240" w:lineRule="auto"/>
        <w:ind w:left="720" w:right="1008"/>
        <w:rPr>
          <w:rFonts w:ascii="Cambria" w:hAnsi="Cambria" w:eastAsia="Cambria" w:cs="Cambria"/>
          <w:sz w:val="24"/>
          <w:szCs w:val="24"/>
        </w:rPr>
      </w:pPr>
    </w:p>
    <w:p w:rsidR="1C67019F" w:rsidP="2CA62BA2" w:rsidRDefault="1C67019F" w14:paraId="3E1B1010" w14:textId="3C865C2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sz w:val="24"/>
          <w:szCs w:val="24"/>
        </w:rPr>
      </w:pPr>
      <w:r w:rsidRPr="2CA62BA2" w:rsidR="1C67019F">
        <w:rPr>
          <w:rFonts w:ascii="Cambria" w:hAnsi="Cambria" w:eastAsia="Cambria" w:cs="Cambria"/>
          <w:sz w:val="24"/>
          <w:szCs w:val="24"/>
        </w:rPr>
        <w:t>Based on this definition, and the desired goal of definitional consistency, it may be presumed that the reference to “applicable loca</w:t>
      </w:r>
      <w:r w:rsidRPr="2CA62BA2" w:rsidR="02200A9C">
        <w:rPr>
          <w:rFonts w:ascii="Cambria" w:hAnsi="Cambria" w:eastAsia="Cambria" w:cs="Cambria"/>
          <w:sz w:val="24"/>
          <w:szCs w:val="24"/>
        </w:rPr>
        <w:t xml:space="preserve">l municipality” in the case of </w:t>
      </w:r>
      <w:r w:rsidRPr="2CA62BA2" w:rsidR="40CE916C">
        <w:rPr>
          <w:rFonts w:ascii="Cambria" w:hAnsi="Cambria" w:eastAsia="Cambria" w:cs="Cambria"/>
          <w:sz w:val="24"/>
          <w:szCs w:val="24"/>
        </w:rPr>
        <w:t>Toronto</w:t>
      </w:r>
      <w:r w:rsidRPr="2CA62BA2" w:rsidR="02200A9C">
        <w:rPr>
          <w:rFonts w:ascii="Cambria" w:hAnsi="Cambria" w:eastAsia="Cambria" w:cs="Cambria"/>
          <w:sz w:val="24"/>
          <w:szCs w:val="24"/>
        </w:rPr>
        <w:t xml:space="preserve"> would pert</w:t>
      </w:r>
      <w:r w:rsidRPr="2CA62BA2" w:rsidR="43F11E72">
        <w:rPr>
          <w:rFonts w:ascii="Cambria" w:hAnsi="Cambria" w:eastAsia="Cambria" w:cs="Cambria"/>
          <w:sz w:val="24"/>
          <w:szCs w:val="24"/>
        </w:rPr>
        <w:t>a</w:t>
      </w:r>
      <w:r w:rsidRPr="2CA62BA2" w:rsidR="02200A9C">
        <w:rPr>
          <w:rFonts w:ascii="Cambria" w:hAnsi="Cambria" w:eastAsia="Cambria" w:cs="Cambria"/>
          <w:sz w:val="24"/>
          <w:szCs w:val="24"/>
        </w:rPr>
        <w:t xml:space="preserve">in to the </w:t>
      </w:r>
      <w:r w:rsidRPr="2CA62BA2" w:rsidR="71E65C2C">
        <w:rPr>
          <w:rFonts w:ascii="Cambria" w:hAnsi="Cambria" w:eastAsia="Cambria" w:cs="Cambria"/>
          <w:sz w:val="24"/>
          <w:szCs w:val="24"/>
        </w:rPr>
        <w:t>c</w:t>
      </w:r>
      <w:r w:rsidRPr="2CA62BA2" w:rsidR="1F933044">
        <w:rPr>
          <w:rFonts w:ascii="Cambria" w:hAnsi="Cambria" w:eastAsia="Cambria" w:cs="Cambria"/>
          <w:sz w:val="24"/>
          <w:szCs w:val="24"/>
        </w:rPr>
        <w:t xml:space="preserve">ity as a </w:t>
      </w:r>
      <w:r w:rsidRPr="2CA62BA2" w:rsidR="24CA60C6">
        <w:rPr>
          <w:rFonts w:ascii="Cambria" w:hAnsi="Cambria" w:eastAsia="Cambria" w:cs="Cambria"/>
          <w:sz w:val="24"/>
          <w:szCs w:val="24"/>
        </w:rPr>
        <w:t>single unit</w:t>
      </w:r>
      <w:r w:rsidRPr="2CA62BA2" w:rsidR="19938A05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1F933044">
        <w:rPr>
          <w:rFonts w:ascii="Cambria" w:hAnsi="Cambria" w:eastAsia="Cambria" w:cs="Cambria"/>
          <w:sz w:val="24"/>
          <w:szCs w:val="24"/>
        </w:rPr>
        <w:t>Considering the size and population of</w:t>
      </w:r>
      <w:r w:rsidRPr="2CA62BA2" w:rsidR="41A7DA23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2DD6A1D3">
        <w:rPr>
          <w:rFonts w:ascii="Cambria" w:hAnsi="Cambria" w:eastAsia="Cambria" w:cs="Cambria"/>
          <w:sz w:val="24"/>
          <w:szCs w:val="24"/>
        </w:rPr>
        <w:t>Toronto</w:t>
      </w:r>
      <w:r w:rsidRPr="2CA62BA2" w:rsidR="1F933044">
        <w:rPr>
          <w:rFonts w:ascii="Cambria" w:hAnsi="Cambria" w:eastAsia="Cambria" w:cs="Cambria"/>
          <w:sz w:val="24"/>
          <w:szCs w:val="24"/>
        </w:rPr>
        <w:t>, the significant variations in house</w:t>
      </w:r>
      <w:r w:rsidRPr="2CA62BA2" w:rsidR="19B0CC02">
        <w:rPr>
          <w:rFonts w:ascii="Cambria" w:hAnsi="Cambria" w:eastAsia="Cambria" w:cs="Cambria"/>
          <w:sz w:val="24"/>
          <w:szCs w:val="24"/>
        </w:rPr>
        <w:t xml:space="preserve">hold income across </w:t>
      </w:r>
      <w:r w:rsidRPr="2CA62BA2" w:rsidR="19B0CC02">
        <w:rPr>
          <w:rFonts w:ascii="Cambria" w:hAnsi="Cambria" w:eastAsia="Cambria" w:cs="Cambria"/>
          <w:sz w:val="24"/>
          <w:szCs w:val="24"/>
        </w:rPr>
        <w:t>neighbourhoods</w:t>
      </w:r>
      <w:r w:rsidRPr="2CA62BA2" w:rsidR="19B0CC02">
        <w:rPr>
          <w:rFonts w:ascii="Cambria" w:hAnsi="Cambria" w:eastAsia="Cambria" w:cs="Cambria"/>
          <w:sz w:val="24"/>
          <w:szCs w:val="24"/>
        </w:rPr>
        <w:t xml:space="preserve">, </w:t>
      </w:r>
      <w:r w:rsidRPr="2CA62BA2" w:rsidR="1A3A0FA8">
        <w:rPr>
          <w:rFonts w:ascii="Cambria" w:hAnsi="Cambria" w:eastAsia="Cambria" w:cs="Cambria"/>
          <w:sz w:val="24"/>
          <w:szCs w:val="24"/>
        </w:rPr>
        <w:t xml:space="preserve">and the </w:t>
      </w:r>
      <w:r w:rsidRPr="2CA62BA2" w:rsidR="1443F05D">
        <w:rPr>
          <w:rFonts w:ascii="Cambria" w:hAnsi="Cambria" w:eastAsia="Cambria" w:cs="Cambria"/>
          <w:sz w:val="24"/>
          <w:szCs w:val="24"/>
        </w:rPr>
        <w:t>municipal government’s</w:t>
      </w:r>
      <w:r w:rsidRPr="2CA62BA2" w:rsidR="1A3A0FA8">
        <w:rPr>
          <w:rFonts w:ascii="Cambria" w:hAnsi="Cambria" w:eastAsia="Cambria" w:cs="Cambria"/>
          <w:sz w:val="24"/>
          <w:szCs w:val="24"/>
        </w:rPr>
        <w:t xml:space="preserve"> recognition that the </w:t>
      </w:r>
      <w:r w:rsidRPr="2CA62BA2" w:rsidR="798C8240">
        <w:rPr>
          <w:rFonts w:ascii="Cambria" w:hAnsi="Cambria" w:eastAsia="Cambria" w:cs="Cambria"/>
          <w:sz w:val="24"/>
          <w:szCs w:val="24"/>
        </w:rPr>
        <w:t xml:space="preserve">current </w:t>
      </w:r>
      <w:r w:rsidRPr="2CA62BA2" w:rsidR="1A3A0FA8">
        <w:rPr>
          <w:rFonts w:ascii="Cambria" w:hAnsi="Cambria" w:eastAsia="Cambria" w:cs="Cambria"/>
          <w:sz w:val="24"/>
          <w:szCs w:val="24"/>
        </w:rPr>
        <w:t xml:space="preserve">distribution of </w:t>
      </w:r>
      <w:r w:rsidRPr="2CA62BA2" w:rsidR="749C9761">
        <w:rPr>
          <w:rFonts w:ascii="Cambria" w:hAnsi="Cambria" w:eastAsia="Cambria" w:cs="Cambria"/>
          <w:sz w:val="24"/>
          <w:szCs w:val="24"/>
        </w:rPr>
        <w:t>affordable</w:t>
      </w:r>
      <w:r w:rsidRPr="2CA62BA2" w:rsidR="1A3A0FA8">
        <w:rPr>
          <w:rFonts w:ascii="Cambria" w:hAnsi="Cambria" w:eastAsia="Cambria" w:cs="Cambria"/>
          <w:sz w:val="24"/>
          <w:szCs w:val="24"/>
        </w:rPr>
        <w:t xml:space="preserve"> housing in </w:t>
      </w:r>
      <w:r w:rsidRPr="2CA62BA2" w:rsidR="4B2076F6">
        <w:rPr>
          <w:rFonts w:ascii="Cambria" w:hAnsi="Cambria" w:eastAsia="Cambria" w:cs="Cambria"/>
          <w:sz w:val="24"/>
          <w:szCs w:val="24"/>
        </w:rPr>
        <w:t>Toronto</w:t>
      </w:r>
      <w:r w:rsidRPr="2CA62BA2" w:rsidR="062EC556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062EC556">
        <w:rPr>
          <w:rFonts w:ascii="Cambria" w:hAnsi="Cambria" w:eastAsia="Cambria" w:cs="Cambria"/>
          <w:sz w:val="24"/>
          <w:szCs w:val="24"/>
        </w:rPr>
        <w:t xml:space="preserve">does not reflect its own policy </w:t>
      </w:r>
      <w:r w:rsidRPr="2CA62BA2" w:rsidR="05C6C264">
        <w:rPr>
          <w:rFonts w:ascii="Cambria" w:hAnsi="Cambria" w:eastAsia="Cambria" w:cs="Cambria"/>
          <w:sz w:val="24"/>
          <w:szCs w:val="24"/>
        </w:rPr>
        <w:t>goals</w:t>
      </w:r>
      <w:r w:rsidRPr="2CA62BA2" w:rsidR="062EC556">
        <w:rPr>
          <w:rFonts w:ascii="Cambria" w:hAnsi="Cambria" w:eastAsia="Cambria" w:cs="Cambria"/>
          <w:sz w:val="24"/>
          <w:szCs w:val="24"/>
        </w:rPr>
        <w:t xml:space="preserve"> concerning the creation of new affordable housing</w:t>
      </w:r>
      <w:r w:rsidRPr="2CA62BA2" w:rsidR="4E4F117B">
        <w:rPr>
          <w:rFonts w:ascii="Cambria" w:hAnsi="Cambria" w:eastAsia="Cambria" w:cs="Cambria"/>
          <w:sz w:val="24"/>
          <w:szCs w:val="24"/>
        </w:rPr>
        <w:t xml:space="preserve"> this does not seem </w:t>
      </w:r>
      <w:r w:rsidRPr="2CA62BA2" w:rsidR="4E4F117B">
        <w:rPr>
          <w:rFonts w:ascii="Cambria" w:hAnsi="Cambria" w:eastAsia="Cambria" w:cs="Cambria"/>
          <w:sz w:val="24"/>
          <w:szCs w:val="24"/>
        </w:rPr>
        <w:t>appropriate</w:t>
      </w:r>
      <w:r w:rsidRPr="2CA62BA2" w:rsidR="4E4F117B">
        <w:rPr>
          <w:rFonts w:ascii="Cambria" w:hAnsi="Cambria" w:eastAsia="Cambria" w:cs="Cambria"/>
          <w:sz w:val="24"/>
          <w:szCs w:val="24"/>
        </w:rPr>
        <w:t>.</w:t>
      </w:r>
    </w:p>
    <w:p w:rsidR="1C67019F" w:rsidP="2CA62BA2" w:rsidRDefault="1C67019F" w14:paraId="18A2F815" w14:textId="2C4D3F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sz w:val="24"/>
          <w:szCs w:val="24"/>
        </w:rPr>
      </w:pPr>
    </w:p>
    <w:p w:rsidR="1C67019F" w:rsidP="5CAE8E1E" w:rsidRDefault="1C67019F" w14:paraId="70E31380" w14:textId="3F5C75C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sz w:val="24"/>
          <w:szCs w:val="24"/>
        </w:rPr>
      </w:pPr>
      <w:r w:rsidRPr="2CA62BA2" w:rsidR="19B0CC02">
        <w:rPr>
          <w:rFonts w:ascii="Cambria" w:hAnsi="Cambria" w:eastAsia="Cambria" w:cs="Cambria"/>
          <w:sz w:val="24"/>
          <w:szCs w:val="24"/>
        </w:rPr>
        <w:t xml:space="preserve">TAEH </w:t>
      </w:r>
      <w:r w:rsidRPr="2CA62BA2" w:rsidR="19B0CC02">
        <w:rPr>
          <w:rFonts w:ascii="Cambria" w:hAnsi="Cambria" w:eastAsia="Cambria" w:cs="Cambria"/>
          <w:sz w:val="24"/>
          <w:szCs w:val="24"/>
        </w:rPr>
        <w:t xml:space="preserve">submits that the definition be amended to </w:t>
      </w:r>
      <w:r w:rsidRPr="2CA62BA2" w:rsidR="05BB01EB">
        <w:rPr>
          <w:rFonts w:ascii="Cambria" w:hAnsi="Cambria" w:eastAsia="Cambria" w:cs="Cambria"/>
          <w:sz w:val="24"/>
          <w:szCs w:val="24"/>
        </w:rPr>
        <w:t>reflect this reality</w:t>
      </w:r>
      <w:r w:rsidRPr="2CA62BA2" w:rsidR="3CB15FDE">
        <w:rPr>
          <w:rFonts w:ascii="Cambria" w:hAnsi="Cambria" w:eastAsia="Cambria" w:cs="Cambria"/>
          <w:sz w:val="24"/>
          <w:szCs w:val="24"/>
        </w:rPr>
        <w:t xml:space="preserve"> and this need</w:t>
      </w:r>
      <w:r w:rsidRPr="2CA62BA2" w:rsidR="71EACEA2">
        <w:rPr>
          <w:rFonts w:ascii="Cambria" w:hAnsi="Cambria" w:eastAsia="Cambria" w:cs="Cambria"/>
          <w:sz w:val="24"/>
          <w:szCs w:val="24"/>
        </w:rPr>
        <w:t>: the</w:t>
      </w:r>
      <w:r w:rsidRPr="2CA62BA2" w:rsidR="38316772">
        <w:rPr>
          <w:rFonts w:ascii="Cambria" w:hAnsi="Cambria" w:eastAsia="Cambria" w:cs="Cambria"/>
          <w:sz w:val="24"/>
          <w:szCs w:val="24"/>
        </w:rPr>
        <w:t xml:space="preserve"> reference to “applicable local municipality” should be </w:t>
      </w:r>
      <w:r w:rsidRPr="2CA62BA2" w:rsidR="706FB63F">
        <w:rPr>
          <w:rFonts w:ascii="Cambria" w:hAnsi="Cambria" w:eastAsia="Cambria" w:cs="Cambria"/>
          <w:sz w:val="24"/>
          <w:szCs w:val="24"/>
        </w:rPr>
        <w:t xml:space="preserve">amended to </w:t>
      </w:r>
      <w:r w:rsidRPr="2CA62BA2" w:rsidR="33B0C6A6">
        <w:rPr>
          <w:rFonts w:ascii="Cambria" w:hAnsi="Cambria" w:eastAsia="Cambria" w:cs="Cambria"/>
          <w:sz w:val="24"/>
          <w:szCs w:val="24"/>
        </w:rPr>
        <w:t>allow the use of a smaller subunit of any given municipality</w:t>
      </w:r>
      <w:r w:rsidRPr="2CA62BA2" w:rsidR="260CDD9E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33B0C6A6">
        <w:rPr>
          <w:rFonts w:ascii="Cambria" w:hAnsi="Cambria" w:eastAsia="Cambria" w:cs="Cambria"/>
          <w:sz w:val="24"/>
          <w:szCs w:val="24"/>
        </w:rPr>
        <w:t xml:space="preserve">Census Metropolitan Area </w:t>
      </w:r>
      <w:r w:rsidRPr="2CA62BA2" w:rsidR="33417C93">
        <w:rPr>
          <w:rFonts w:ascii="Cambria" w:hAnsi="Cambria" w:eastAsia="Cambria" w:cs="Cambria"/>
          <w:sz w:val="24"/>
          <w:szCs w:val="24"/>
        </w:rPr>
        <w:t>(</w:t>
      </w:r>
      <w:r w:rsidRPr="2CA62BA2" w:rsidR="11768D6D">
        <w:rPr>
          <w:rFonts w:ascii="Cambria" w:hAnsi="Cambria" w:eastAsia="Cambria" w:cs="Cambria"/>
          <w:sz w:val="24"/>
          <w:szCs w:val="24"/>
        </w:rPr>
        <w:t>“</w:t>
      </w:r>
      <w:r w:rsidRPr="2CA62BA2" w:rsidR="33417C93">
        <w:rPr>
          <w:rFonts w:ascii="Cambria" w:hAnsi="Cambria" w:eastAsia="Cambria" w:cs="Cambria"/>
          <w:sz w:val="24"/>
          <w:szCs w:val="24"/>
        </w:rPr>
        <w:t>CMA</w:t>
      </w:r>
      <w:r w:rsidRPr="2CA62BA2" w:rsidR="6BCC03FD">
        <w:rPr>
          <w:rFonts w:ascii="Cambria" w:hAnsi="Cambria" w:eastAsia="Cambria" w:cs="Cambria"/>
          <w:sz w:val="24"/>
          <w:szCs w:val="24"/>
        </w:rPr>
        <w:t>”</w:t>
      </w:r>
      <w:r w:rsidRPr="2CA62BA2" w:rsidR="33417C93">
        <w:rPr>
          <w:rFonts w:ascii="Cambria" w:hAnsi="Cambria" w:eastAsia="Cambria" w:cs="Cambria"/>
          <w:sz w:val="24"/>
          <w:szCs w:val="24"/>
        </w:rPr>
        <w:t xml:space="preserve">) </w:t>
      </w:r>
      <w:r w:rsidRPr="2CA62BA2" w:rsidR="6AB6B38E">
        <w:rPr>
          <w:rFonts w:ascii="Cambria" w:hAnsi="Cambria" w:eastAsia="Cambria" w:cs="Cambria"/>
          <w:sz w:val="24"/>
          <w:szCs w:val="24"/>
        </w:rPr>
        <w:t xml:space="preserve">Census Tracts (“CTs”) </w:t>
      </w:r>
      <w:r w:rsidRPr="2CA62BA2" w:rsidR="33B0C6A6">
        <w:rPr>
          <w:rFonts w:ascii="Cambria" w:hAnsi="Cambria" w:eastAsia="Cambria" w:cs="Cambria"/>
          <w:sz w:val="24"/>
          <w:szCs w:val="24"/>
        </w:rPr>
        <w:t>may be a useful unit to use, since</w:t>
      </w:r>
      <w:r w:rsidRPr="2CA62BA2" w:rsidR="11933CAF">
        <w:rPr>
          <w:rFonts w:ascii="Cambria" w:hAnsi="Cambria" w:eastAsia="Cambria" w:cs="Cambria"/>
          <w:sz w:val="24"/>
          <w:szCs w:val="24"/>
        </w:rPr>
        <w:t xml:space="preserve"> relevant data is already collected by the federal government based on CMA</w:t>
      </w:r>
      <w:r w:rsidRPr="2CA62BA2" w:rsidR="0BE87318">
        <w:rPr>
          <w:rFonts w:ascii="Cambria" w:hAnsi="Cambria" w:eastAsia="Cambria" w:cs="Cambria"/>
          <w:sz w:val="24"/>
          <w:szCs w:val="24"/>
        </w:rPr>
        <w:t>-CT</w:t>
      </w:r>
      <w:r w:rsidRPr="2CA62BA2" w:rsidR="11933CAF">
        <w:rPr>
          <w:rFonts w:ascii="Cambria" w:hAnsi="Cambria" w:eastAsia="Cambria" w:cs="Cambria"/>
          <w:sz w:val="24"/>
          <w:szCs w:val="24"/>
        </w:rPr>
        <w:t>s</w:t>
      </w:r>
      <w:r w:rsidRPr="2CA62BA2" w:rsidR="2FF31062">
        <w:rPr>
          <w:rFonts w:ascii="Cambria" w:hAnsi="Cambria" w:eastAsia="Cambria" w:cs="Cambria"/>
          <w:sz w:val="24"/>
          <w:szCs w:val="24"/>
        </w:rPr>
        <w:t xml:space="preserve">; </w:t>
      </w:r>
      <w:r w:rsidRPr="2CA62BA2" w:rsidR="610767B4">
        <w:rPr>
          <w:rFonts w:ascii="Cambria" w:hAnsi="Cambria" w:eastAsia="Cambria" w:cs="Cambria"/>
          <w:sz w:val="24"/>
          <w:szCs w:val="24"/>
        </w:rPr>
        <w:t>also,</w:t>
      </w:r>
      <w:r w:rsidRPr="2CA62BA2" w:rsidR="2FF31062">
        <w:rPr>
          <w:rFonts w:ascii="Cambria" w:hAnsi="Cambria" w:eastAsia="Cambria" w:cs="Cambria"/>
          <w:sz w:val="24"/>
          <w:szCs w:val="24"/>
        </w:rPr>
        <w:t xml:space="preserve"> data collected by the Canada Mortgage and Housing Corporation </w:t>
      </w:r>
      <w:r w:rsidRPr="2CA62BA2" w:rsidR="747A59D5">
        <w:rPr>
          <w:rFonts w:ascii="Cambria" w:hAnsi="Cambria" w:eastAsia="Cambria" w:cs="Cambria"/>
          <w:sz w:val="24"/>
          <w:szCs w:val="24"/>
        </w:rPr>
        <w:t>(</w:t>
      </w:r>
      <w:r w:rsidRPr="2CA62BA2" w:rsidR="75F1504A">
        <w:rPr>
          <w:rFonts w:ascii="Cambria" w:hAnsi="Cambria" w:eastAsia="Cambria" w:cs="Cambria"/>
          <w:sz w:val="24"/>
          <w:szCs w:val="24"/>
        </w:rPr>
        <w:t>“</w:t>
      </w:r>
      <w:r w:rsidRPr="2CA62BA2" w:rsidR="747A59D5">
        <w:rPr>
          <w:rFonts w:ascii="Cambria" w:hAnsi="Cambria" w:eastAsia="Cambria" w:cs="Cambria"/>
          <w:sz w:val="24"/>
          <w:szCs w:val="24"/>
        </w:rPr>
        <w:t>CMHC</w:t>
      </w:r>
      <w:r w:rsidRPr="2CA62BA2" w:rsidR="1437A224">
        <w:rPr>
          <w:rFonts w:ascii="Cambria" w:hAnsi="Cambria" w:eastAsia="Cambria" w:cs="Cambria"/>
          <w:sz w:val="24"/>
          <w:szCs w:val="24"/>
        </w:rPr>
        <w:t>”</w:t>
      </w:r>
      <w:r w:rsidRPr="2CA62BA2" w:rsidR="747A59D5">
        <w:rPr>
          <w:rFonts w:ascii="Cambria" w:hAnsi="Cambria" w:eastAsia="Cambria" w:cs="Cambria"/>
          <w:sz w:val="24"/>
          <w:szCs w:val="24"/>
        </w:rPr>
        <w:t xml:space="preserve">) </w:t>
      </w:r>
      <w:r w:rsidRPr="2CA62BA2" w:rsidR="2FF31062">
        <w:rPr>
          <w:rFonts w:ascii="Cambria" w:hAnsi="Cambria" w:eastAsia="Cambria" w:cs="Cambria"/>
          <w:sz w:val="24"/>
          <w:szCs w:val="24"/>
        </w:rPr>
        <w:t>would be useful.</w:t>
      </w:r>
    </w:p>
    <w:p w:rsidR="5CAE8E1E" w:rsidP="5CAE8E1E" w:rsidRDefault="5CAE8E1E" w14:paraId="7506E2CF" w14:textId="5174C6F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sz w:val="24"/>
          <w:szCs w:val="24"/>
        </w:rPr>
      </w:pPr>
    </w:p>
    <w:p w:rsidR="71E661C4" w:rsidP="2CA62BA2" w:rsidRDefault="71E661C4" w14:paraId="1E57AE90" w14:textId="5E7932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71E661C4">
        <w:rPr>
          <w:rFonts w:ascii="Cambria" w:hAnsi="Cambria" w:eastAsia="Cambria" w:cs="Cambria"/>
          <w:sz w:val="24"/>
          <w:szCs w:val="24"/>
        </w:rPr>
        <w:t xml:space="preserve">TAEH believes that the </w:t>
      </w:r>
      <w:r w:rsidRPr="2CA62BA2" w:rsidR="71E661C4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71E661C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definition supports this </w:t>
      </w:r>
      <w:r w:rsidRPr="2CA62BA2" w:rsidR="2107E491">
        <w:rPr>
          <w:rFonts w:ascii="Cambria" w:hAnsi="Cambria" w:eastAsia="Cambria" w:cs="Cambria"/>
          <w:i w:val="0"/>
          <w:iCs w:val="0"/>
          <w:sz w:val="24"/>
          <w:szCs w:val="24"/>
        </w:rPr>
        <w:t>position, in</w:t>
      </w:r>
      <w:r w:rsidRPr="2CA62BA2" w:rsidR="71E661C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that it </w:t>
      </w:r>
      <w:r w:rsidRPr="2CA62BA2" w:rsidR="71E661C4">
        <w:rPr>
          <w:rFonts w:ascii="Cambria" w:hAnsi="Cambria" w:eastAsia="Cambria" w:cs="Cambria"/>
          <w:i w:val="0"/>
          <w:iCs w:val="0"/>
          <w:sz w:val="24"/>
          <w:szCs w:val="24"/>
        </w:rPr>
        <w:t>recognises</w:t>
      </w:r>
      <w:r w:rsidRPr="2CA62BA2" w:rsidR="71E661C4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that certain population distributions in relation to municipal area </w:t>
      </w:r>
      <w:r w:rsidRPr="2CA62BA2" w:rsidR="2A24B092">
        <w:rPr>
          <w:rFonts w:ascii="Cambria" w:hAnsi="Cambria" w:eastAsia="Cambria" w:cs="Cambria"/>
          <w:i w:val="0"/>
          <w:iCs w:val="0"/>
          <w:sz w:val="24"/>
          <w:szCs w:val="24"/>
        </w:rPr>
        <w:t>could lead to unfairness unless smaller units within those municipalities w</w:t>
      </w:r>
      <w:r w:rsidRPr="2CA62BA2" w:rsidR="52D20525">
        <w:rPr>
          <w:rFonts w:ascii="Cambria" w:hAnsi="Cambria" w:eastAsia="Cambria" w:cs="Cambria"/>
          <w:i w:val="0"/>
          <w:iCs w:val="0"/>
          <w:sz w:val="24"/>
          <w:szCs w:val="24"/>
        </w:rPr>
        <w:t>ere</w:t>
      </w:r>
      <w:r w:rsidRPr="2CA62BA2" w:rsidR="2A24B092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used as household catchment areas</w:t>
      </w:r>
      <w:r w:rsidRPr="2CA62BA2" w:rsidR="52F41BF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4A022596">
        <w:rPr>
          <w:rFonts w:ascii="Cambria" w:hAnsi="Cambria" w:eastAsia="Cambria" w:cs="Cambria"/>
          <w:i w:val="0"/>
          <w:iCs w:val="0"/>
          <w:sz w:val="24"/>
          <w:szCs w:val="24"/>
        </w:rPr>
        <w:t>While</w:t>
      </w:r>
      <w:r w:rsidRPr="2CA62BA2" w:rsidR="2A24B092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that consideration relates to sparse populations in</w:t>
      </w:r>
      <w:r w:rsidRPr="2CA62BA2" w:rsidR="68C995C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large municipalities, the </w:t>
      </w:r>
      <w:r w:rsidRPr="2CA62BA2" w:rsidR="3332EC53">
        <w:rPr>
          <w:rFonts w:ascii="Cambria" w:hAnsi="Cambria" w:eastAsia="Cambria" w:cs="Cambria"/>
          <w:i w:val="0"/>
          <w:iCs w:val="0"/>
          <w:sz w:val="24"/>
          <w:szCs w:val="24"/>
        </w:rPr>
        <w:t>f</w:t>
      </w:r>
      <w:r w:rsidRPr="2CA62BA2" w:rsidR="68C995C3">
        <w:rPr>
          <w:rFonts w:ascii="Cambria" w:hAnsi="Cambria" w:eastAsia="Cambria" w:cs="Cambria"/>
          <w:i w:val="0"/>
          <w:iCs w:val="0"/>
          <w:sz w:val="24"/>
          <w:szCs w:val="24"/>
        </w:rPr>
        <w:t>airness</w:t>
      </w:r>
      <w:r w:rsidRPr="2CA62BA2" w:rsidR="68C995C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principle underpinning the distinction applies equally in densely populated </w:t>
      </w:r>
      <w:r w:rsidRPr="2CA62BA2" w:rsidR="68C995C3">
        <w:rPr>
          <w:rFonts w:ascii="Cambria" w:hAnsi="Cambria" w:eastAsia="Cambria" w:cs="Cambria"/>
          <w:i w:val="0"/>
          <w:iCs w:val="0"/>
          <w:sz w:val="24"/>
          <w:szCs w:val="24"/>
        </w:rPr>
        <w:t>large metropolitan areas such as Toronto</w:t>
      </w:r>
      <w:r w:rsidRPr="2CA62BA2" w:rsidR="3DDC1617">
        <w:rPr>
          <w:rFonts w:ascii="Cambria" w:hAnsi="Cambria" w:eastAsia="Cambria" w:cs="Cambria"/>
          <w:i w:val="0"/>
          <w:iCs w:val="0"/>
          <w:sz w:val="24"/>
          <w:szCs w:val="24"/>
        </w:rPr>
        <w:t>, where there is a significant variation in average household income based on neighbourhood.</w:t>
      </w:r>
    </w:p>
    <w:p w:rsidR="37C0A24A" w:rsidP="37C0A24A" w:rsidRDefault="37C0A24A" w14:paraId="0C46476D" w14:textId="596B70C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37C0A24A" w:rsidP="37C0A24A" w:rsidRDefault="37C0A24A" w14:paraId="409E1F22" w14:textId="71BE44E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sz w:val="24"/>
          <w:szCs w:val="24"/>
        </w:rPr>
      </w:pPr>
    </w:p>
    <w:p w:rsidR="1C67019F" w:rsidP="5CAE8E1E" w:rsidRDefault="1C67019F" w14:paraId="3249D19C" w14:textId="763A037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sz w:val="24"/>
          <w:szCs w:val="24"/>
        </w:rPr>
      </w:pPr>
      <w:r w:rsidRPr="37C0A24A" w:rsidR="005A572A">
        <w:rPr>
          <w:rFonts w:ascii="Cambria" w:hAnsi="Cambria" w:eastAsia="Cambria" w:cs="Cambria"/>
          <w:b w:val="1"/>
          <w:bCs w:val="1"/>
          <w:sz w:val="24"/>
          <w:szCs w:val="24"/>
        </w:rPr>
        <w:t>Multiple households renting single units.</w:t>
      </w:r>
    </w:p>
    <w:p w:rsidR="005A572A" w:rsidP="2CA62BA2" w:rsidRDefault="005A572A" w14:paraId="149C5EA7" w14:textId="3E6CD6CF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005A572A">
        <w:rPr>
          <w:rFonts w:ascii="Cambria" w:hAnsi="Cambria" w:eastAsia="Cambria" w:cs="Cambria"/>
          <w:sz w:val="24"/>
          <w:szCs w:val="24"/>
        </w:rPr>
        <w:t xml:space="preserve">One concern TAEH has with the </w:t>
      </w:r>
      <w:r w:rsidRPr="2CA62BA2" w:rsidR="005A572A">
        <w:rPr>
          <w:rFonts w:ascii="Cambria" w:hAnsi="Cambria" w:eastAsia="Cambria" w:cs="Cambria"/>
          <w:sz w:val="24"/>
          <w:szCs w:val="24"/>
        </w:rPr>
        <w:t>te</w:t>
      </w:r>
      <w:r w:rsidRPr="2CA62BA2" w:rsidR="4CAA2219">
        <w:rPr>
          <w:rFonts w:ascii="Cambria" w:hAnsi="Cambria" w:eastAsia="Cambria" w:cs="Cambria"/>
          <w:sz w:val="24"/>
          <w:szCs w:val="24"/>
        </w:rPr>
        <w:t>r</w:t>
      </w:r>
      <w:r w:rsidRPr="2CA62BA2" w:rsidR="005A572A">
        <w:rPr>
          <w:rFonts w:ascii="Cambria" w:hAnsi="Cambria" w:eastAsia="Cambria" w:cs="Cambria"/>
          <w:sz w:val="24"/>
          <w:szCs w:val="24"/>
        </w:rPr>
        <w:t>m</w:t>
      </w:r>
      <w:r w:rsidRPr="2CA62BA2" w:rsidR="005A572A">
        <w:rPr>
          <w:rFonts w:ascii="Cambria" w:hAnsi="Cambria" w:eastAsia="Cambria" w:cs="Cambria"/>
          <w:sz w:val="24"/>
          <w:szCs w:val="24"/>
        </w:rPr>
        <w:t xml:space="preserve"> “household” used in both the </w:t>
      </w:r>
      <w:r w:rsidRPr="2CA62BA2" w:rsidR="005A572A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005A572A">
        <w:rPr>
          <w:rFonts w:ascii="Cambria" w:hAnsi="Cambria" w:eastAsia="Cambria" w:cs="Cambria"/>
          <w:sz w:val="24"/>
          <w:szCs w:val="24"/>
        </w:rPr>
        <w:t xml:space="preserve"> and the proposed legislation is the assumption that households</w:t>
      </w:r>
      <w:r w:rsidRPr="2CA62BA2" w:rsidR="3EFF3C5B">
        <w:rPr>
          <w:rFonts w:ascii="Cambria" w:hAnsi="Cambria" w:eastAsia="Cambria" w:cs="Cambria"/>
          <w:sz w:val="24"/>
          <w:szCs w:val="24"/>
        </w:rPr>
        <w:t xml:space="preserve"> do not share residential units</w:t>
      </w:r>
      <w:r w:rsidRPr="2CA62BA2" w:rsidR="17E8AC1C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1A35B5B5">
        <w:rPr>
          <w:rFonts w:ascii="Cambria" w:hAnsi="Cambria" w:eastAsia="Cambria" w:cs="Cambria"/>
          <w:sz w:val="24"/>
          <w:szCs w:val="24"/>
        </w:rPr>
        <w:t xml:space="preserve">The PPS defines “Housing options” as including a variety of </w:t>
      </w:r>
      <w:r w:rsidRPr="2CA62BA2" w:rsidR="44760825">
        <w:rPr>
          <w:rFonts w:ascii="Cambria" w:hAnsi="Cambria" w:eastAsia="Cambria" w:cs="Cambria"/>
          <w:sz w:val="24"/>
          <w:szCs w:val="24"/>
        </w:rPr>
        <w:t>“hous</w:t>
      </w:r>
      <w:r w:rsidRPr="2CA62BA2" w:rsidR="1A35B5B5">
        <w:rPr>
          <w:rFonts w:ascii="Cambria" w:hAnsi="Cambria" w:eastAsia="Cambria" w:cs="Cambria"/>
          <w:sz w:val="24"/>
          <w:szCs w:val="24"/>
        </w:rPr>
        <w:t xml:space="preserve">ing </w:t>
      </w:r>
      <w:r w:rsidRPr="2CA62BA2" w:rsidR="5EBCFF28">
        <w:rPr>
          <w:rFonts w:ascii="Cambria" w:hAnsi="Cambria" w:eastAsia="Cambria" w:cs="Cambria"/>
          <w:sz w:val="24"/>
          <w:szCs w:val="24"/>
        </w:rPr>
        <w:t>arrangements</w:t>
      </w:r>
      <w:r w:rsidRPr="2CA62BA2" w:rsidR="0745854E">
        <w:rPr>
          <w:rFonts w:ascii="Cambria" w:hAnsi="Cambria" w:eastAsia="Cambria" w:cs="Cambria"/>
          <w:sz w:val="24"/>
          <w:szCs w:val="24"/>
        </w:rPr>
        <w:t>”</w:t>
      </w:r>
      <w:r w:rsidRPr="2CA62BA2" w:rsidR="5EBCFF28">
        <w:rPr>
          <w:rFonts w:ascii="Cambria" w:hAnsi="Cambria" w:eastAsia="Cambria" w:cs="Cambria"/>
          <w:sz w:val="24"/>
          <w:szCs w:val="24"/>
        </w:rPr>
        <w:t xml:space="preserve"> but</w:t>
      </w:r>
      <w:r w:rsidRPr="2CA62BA2" w:rsidR="1A35B5B5">
        <w:rPr>
          <w:rFonts w:ascii="Cambria" w:hAnsi="Cambria" w:eastAsia="Cambria" w:cs="Cambria"/>
          <w:sz w:val="24"/>
          <w:szCs w:val="24"/>
        </w:rPr>
        <w:t xml:space="preserve"> does not includ</w:t>
      </w:r>
      <w:r w:rsidRPr="2CA62BA2" w:rsidR="19C6C75A">
        <w:rPr>
          <w:rFonts w:ascii="Cambria" w:hAnsi="Cambria" w:eastAsia="Cambria" w:cs="Cambria"/>
          <w:sz w:val="24"/>
          <w:szCs w:val="24"/>
        </w:rPr>
        <w:t>e</w:t>
      </w:r>
      <w:r w:rsidRPr="2CA62BA2" w:rsidR="7FB3B170">
        <w:rPr>
          <w:rFonts w:ascii="Cambria" w:hAnsi="Cambria" w:eastAsia="Cambria" w:cs="Cambria"/>
          <w:sz w:val="24"/>
          <w:szCs w:val="24"/>
        </w:rPr>
        <w:t xml:space="preserve"> multiple households renting single units. 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>There is no recognition of households sharing rental units due to high rents</w:t>
      </w:r>
      <w:r w:rsidRPr="2CA62BA2" w:rsidR="63020971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7322B0B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The proposed definition must reflect the reality of shared </w:t>
      </w:r>
      <w:r w:rsidRPr="2CA62BA2" w:rsidR="23C99993">
        <w:rPr>
          <w:rFonts w:ascii="Cambria" w:hAnsi="Cambria" w:eastAsia="Cambria" w:cs="Cambria"/>
          <w:i w:val="0"/>
          <w:iCs w:val="0"/>
          <w:sz w:val="24"/>
          <w:szCs w:val="24"/>
        </w:rPr>
        <w:t>accommodations</w:t>
      </w:r>
      <w:r w:rsidRPr="2CA62BA2" w:rsidR="7322B0B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wherein three or four 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individuals together </w:t>
      </w:r>
      <w:r w:rsidRPr="2CA62BA2" w:rsidR="31C795F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may 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>pay the rent on a two- or three-bedroom unit</w:t>
      </w:r>
      <w:r w:rsidRPr="2CA62BA2" w:rsidR="666EBA8E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06617994">
        <w:rPr>
          <w:rFonts w:ascii="Cambria" w:hAnsi="Cambria" w:eastAsia="Cambria" w:cs="Cambria"/>
          <w:i w:val="0"/>
          <w:iCs w:val="0"/>
          <w:sz w:val="24"/>
          <w:szCs w:val="24"/>
        </w:rPr>
        <w:t>As presented, this definition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is implicit in the </w:t>
      </w:r>
      <w:r w:rsidRPr="2CA62BA2" w:rsidR="447726FA">
        <w:rPr>
          <w:rFonts w:ascii="Cambria" w:hAnsi="Cambria" w:eastAsia="Cambria" w:cs="Cambria"/>
          <w:i w:val="0"/>
          <w:iCs w:val="0"/>
          <w:sz w:val="24"/>
          <w:szCs w:val="24"/>
        </w:rPr>
        <w:t>expectation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that each unit </w:t>
      </w:r>
      <w:r w:rsidRPr="2CA62BA2" w:rsidR="4975CF3E">
        <w:rPr>
          <w:rFonts w:ascii="Cambria" w:hAnsi="Cambria" w:eastAsia="Cambria" w:cs="Cambria"/>
          <w:i w:val="0"/>
          <w:iCs w:val="0"/>
          <w:sz w:val="24"/>
          <w:szCs w:val="24"/>
        </w:rPr>
        <w:t>would be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rented by a single household</w:t>
      </w:r>
      <w:r w:rsidRPr="2CA62BA2" w:rsidR="1B5CD7D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>Conversely, it is implicit that a household is a single economic unit in defining affordability</w:t>
      </w:r>
      <w:r w:rsidRPr="2CA62BA2" w:rsidR="78DCFDEB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</w:p>
    <w:p w:rsidR="005A572A" w:rsidP="2CA62BA2" w:rsidRDefault="005A572A" w14:paraId="370E746C" w14:textId="06F33004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</w:p>
    <w:p w:rsidR="005A572A" w:rsidP="2CA62BA2" w:rsidRDefault="005A572A" w14:paraId="36118696" w14:textId="59C15819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130125C8">
        <w:rPr>
          <w:rFonts w:ascii="Cambria" w:hAnsi="Cambria" w:eastAsia="Cambria" w:cs="Cambria"/>
          <w:i w:val="0"/>
          <w:iCs w:val="0"/>
          <w:sz w:val="24"/>
          <w:szCs w:val="24"/>
        </w:rPr>
        <w:t>TAEH submits that b</w:t>
      </w:r>
      <w:r w:rsidRPr="2CA62BA2" w:rsidR="1EC7A7FC">
        <w:rPr>
          <w:rFonts w:ascii="Cambria" w:hAnsi="Cambria" w:eastAsia="Cambria" w:cs="Cambria"/>
          <w:i w:val="0"/>
          <w:iCs w:val="0"/>
          <w:sz w:val="24"/>
          <w:szCs w:val="24"/>
        </w:rPr>
        <w:t>oth assumptions dist</w:t>
      </w:r>
      <w:r w:rsidRPr="2CA62BA2" w:rsidR="252E3E6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ort the data </w:t>
      </w:r>
      <w:r w:rsidRPr="2CA62BA2" w:rsidR="252E3E60">
        <w:rPr>
          <w:rFonts w:ascii="Cambria" w:hAnsi="Cambria" w:eastAsia="Cambria" w:cs="Cambria"/>
          <w:i w:val="0"/>
          <w:iCs w:val="0"/>
          <w:sz w:val="24"/>
          <w:szCs w:val="24"/>
        </w:rPr>
        <w:t>and</w:t>
      </w:r>
      <w:r w:rsidRPr="2CA62BA2" w:rsidR="1176EA57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76D3118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risk </w:t>
      </w:r>
      <w:r w:rsidRPr="2CA62BA2" w:rsidR="252E3E60">
        <w:rPr>
          <w:rFonts w:ascii="Cambria" w:hAnsi="Cambria" w:eastAsia="Cambria" w:cs="Cambria"/>
          <w:i w:val="0"/>
          <w:iCs w:val="0"/>
          <w:sz w:val="24"/>
          <w:szCs w:val="24"/>
        </w:rPr>
        <w:t>lead</w:t>
      </w:r>
      <w:r w:rsidRPr="2CA62BA2" w:rsidR="36631885">
        <w:rPr>
          <w:rFonts w:ascii="Cambria" w:hAnsi="Cambria" w:eastAsia="Cambria" w:cs="Cambria"/>
          <w:i w:val="0"/>
          <w:iCs w:val="0"/>
          <w:sz w:val="24"/>
          <w:szCs w:val="24"/>
        </w:rPr>
        <w:t>ing</w:t>
      </w:r>
      <w:r w:rsidRPr="2CA62BA2" w:rsidR="252E3E60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to results that do not reflect the reality of</w:t>
      </w:r>
      <w:r w:rsidRPr="2CA62BA2" w:rsidR="3CBEFFC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this strategy for dealing with the lack of affordable housing:  </w:t>
      </w:r>
      <w:r w:rsidRPr="2CA62BA2" w:rsidR="3EFF3C5B">
        <w:rPr>
          <w:rFonts w:ascii="Cambria" w:hAnsi="Cambria" w:eastAsia="Cambria" w:cs="Cambria"/>
          <w:sz w:val="24"/>
          <w:szCs w:val="24"/>
        </w:rPr>
        <w:t xml:space="preserve">If the definition of </w:t>
      </w:r>
      <w:r w:rsidRPr="2CA62BA2" w:rsidR="67FABD2D">
        <w:rPr>
          <w:rFonts w:ascii="Cambria" w:hAnsi="Cambria" w:eastAsia="Cambria" w:cs="Cambria"/>
          <w:sz w:val="24"/>
          <w:szCs w:val="24"/>
        </w:rPr>
        <w:t>“</w:t>
      </w:r>
      <w:r w:rsidRPr="2CA62BA2" w:rsidR="3EFF3C5B">
        <w:rPr>
          <w:rFonts w:ascii="Cambria" w:hAnsi="Cambria" w:eastAsia="Cambria" w:cs="Cambria"/>
          <w:sz w:val="24"/>
          <w:szCs w:val="24"/>
        </w:rPr>
        <w:t>household</w:t>
      </w:r>
      <w:r w:rsidRPr="2CA62BA2" w:rsidR="0EBDF4F4">
        <w:rPr>
          <w:rFonts w:ascii="Cambria" w:hAnsi="Cambria" w:eastAsia="Cambria" w:cs="Cambria"/>
          <w:sz w:val="24"/>
          <w:szCs w:val="24"/>
        </w:rPr>
        <w:t>”</w:t>
      </w:r>
      <w:r w:rsidRPr="2CA62BA2" w:rsidR="3EFF3C5B">
        <w:rPr>
          <w:rFonts w:ascii="Cambria" w:hAnsi="Cambria" w:eastAsia="Cambria" w:cs="Cambria"/>
          <w:sz w:val="24"/>
          <w:szCs w:val="24"/>
        </w:rPr>
        <w:t xml:space="preserve"> aggregates the incomes of multiple households sharing a single residential unit, then the </w:t>
      </w:r>
      <w:r w:rsidRPr="2CA62BA2" w:rsidR="7DA4218C">
        <w:rPr>
          <w:rFonts w:ascii="Cambria" w:hAnsi="Cambria" w:eastAsia="Cambria" w:cs="Cambria"/>
          <w:sz w:val="24"/>
          <w:szCs w:val="24"/>
        </w:rPr>
        <w:t xml:space="preserve">household income data used to </w:t>
      </w:r>
      <w:r w:rsidRPr="2CA62BA2" w:rsidR="7DA4218C">
        <w:rPr>
          <w:rFonts w:ascii="Cambria" w:hAnsi="Cambria" w:eastAsia="Cambria" w:cs="Cambria"/>
          <w:sz w:val="24"/>
          <w:szCs w:val="24"/>
        </w:rPr>
        <w:t>determine</w:t>
      </w:r>
      <w:r w:rsidRPr="2CA62BA2" w:rsidR="7DA4218C">
        <w:rPr>
          <w:rFonts w:ascii="Cambria" w:hAnsi="Cambria" w:eastAsia="Cambria" w:cs="Cambria"/>
          <w:sz w:val="24"/>
          <w:szCs w:val="24"/>
        </w:rPr>
        <w:t xml:space="preserve"> the 6</w:t>
      </w:r>
      <w:r w:rsidRPr="2CA62BA2" w:rsidR="6022C2CA">
        <w:rPr>
          <w:rFonts w:ascii="Cambria" w:hAnsi="Cambria" w:eastAsia="Cambria" w:cs="Cambria"/>
          <w:sz w:val="24"/>
          <w:szCs w:val="24"/>
        </w:rPr>
        <w:t>0th</w:t>
      </w:r>
      <w:r w:rsidRPr="2CA62BA2" w:rsidR="51FC0B0E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7DA4218C">
        <w:rPr>
          <w:rFonts w:ascii="Cambria" w:hAnsi="Cambria" w:eastAsia="Cambria" w:cs="Cambria"/>
          <w:sz w:val="24"/>
          <w:szCs w:val="24"/>
        </w:rPr>
        <w:t xml:space="preserve">income percentile will be distorted, leading to multiple </w:t>
      </w:r>
      <w:r w:rsidRPr="2CA62BA2" w:rsidR="040AB7F1">
        <w:rPr>
          <w:rFonts w:ascii="Cambria" w:hAnsi="Cambria" w:eastAsia="Cambria" w:cs="Cambria"/>
          <w:sz w:val="24"/>
          <w:szCs w:val="24"/>
        </w:rPr>
        <w:t xml:space="preserve">low-income households being recast as a single higher income </w:t>
      </w:r>
      <w:r w:rsidRPr="2CA62BA2" w:rsidR="08048FE9">
        <w:rPr>
          <w:rFonts w:ascii="Cambria" w:hAnsi="Cambria" w:eastAsia="Cambria" w:cs="Cambria"/>
          <w:sz w:val="24"/>
          <w:szCs w:val="24"/>
        </w:rPr>
        <w:t>household</w:t>
      </w:r>
      <w:r w:rsidRPr="2CA62BA2" w:rsidR="040AB7F1">
        <w:rPr>
          <w:rFonts w:ascii="Cambria" w:hAnsi="Cambria" w:eastAsia="Cambria" w:cs="Cambria"/>
          <w:sz w:val="24"/>
          <w:szCs w:val="24"/>
        </w:rPr>
        <w:t>.</w:t>
      </w:r>
      <w:r w:rsidRPr="2CA62BA2" w:rsidR="2CEBAEAE">
        <w:rPr>
          <w:rFonts w:ascii="Cambria" w:hAnsi="Cambria" w:eastAsia="Cambria" w:cs="Cambria"/>
          <w:sz w:val="24"/>
          <w:szCs w:val="24"/>
        </w:rPr>
        <w:t xml:space="preserve">  </w:t>
      </w:r>
    </w:p>
    <w:p w:rsidR="005A572A" w:rsidP="2CA62BA2" w:rsidRDefault="005A572A" w14:paraId="530939C0" w14:textId="53666EBE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005A572A" w:rsidP="2CA62BA2" w:rsidRDefault="005A572A" w14:paraId="560B4198" w14:textId="2732E65B">
      <w:pPr>
        <w:pStyle w:val="Normal"/>
        <w:spacing w:after="0" w:line="240" w:lineRule="auto"/>
        <w:rPr>
          <w:rFonts w:ascii="Cambria" w:hAnsi="Cambria" w:eastAsia="Cambria" w:cs="Cambria"/>
          <w:i w:val="0"/>
          <w:iCs w:val="0"/>
          <w:sz w:val="24"/>
          <w:szCs w:val="24"/>
        </w:rPr>
      </w:pPr>
      <w:r w:rsidRPr="2CA62BA2" w:rsidR="2CEBAEAE">
        <w:rPr>
          <w:rFonts w:ascii="Cambria" w:hAnsi="Cambria" w:eastAsia="Cambria" w:cs="Cambria"/>
          <w:sz w:val="24"/>
          <w:szCs w:val="24"/>
        </w:rPr>
        <w:t xml:space="preserve">TAEH recommends that this problem be rectified in the proposed amendment through the inclusion of a definition of “household” </w:t>
      </w:r>
      <w:r w:rsidRPr="2CA62BA2" w:rsidR="23E96CC2">
        <w:rPr>
          <w:rFonts w:ascii="Cambria" w:hAnsi="Cambria" w:eastAsia="Cambria" w:cs="Cambria"/>
          <w:sz w:val="24"/>
          <w:szCs w:val="24"/>
        </w:rPr>
        <w:t>that incorporates</w:t>
      </w:r>
      <w:r w:rsidRPr="2CA62BA2" w:rsidR="7F8B7E93">
        <w:rPr>
          <w:rFonts w:ascii="Cambria" w:hAnsi="Cambria" w:eastAsia="Cambria" w:cs="Cambria"/>
          <w:sz w:val="24"/>
          <w:szCs w:val="24"/>
        </w:rPr>
        <w:t xml:space="preserve"> that found in the definition of “Housing options” in the </w:t>
      </w:r>
      <w:r w:rsidRPr="2CA62BA2" w:rsidR="7F8B7E93">
        <w:rPr>
          <w:rFonts w:ascii="Cambria" w:hAnsi="Cambria" w:eastAsia="Cambria" w:cs="Cambria"/>
          <w:i w:val="1"/>
          <w:iCs w:val="1"/>
          <w:sz w:val="24"/>
          <w:szCs w:val="24"/>
        </w:rPr>
        <w:t>PPS</w:t>
      </w:r>
      <w:r w:rsidRPr="2CA62BA2" w:rsidR="7F8B7E9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but expands upon it to reflect the reality of multiple households renting single units</w:t>
      </w:r>
      <w:r w:rsidRPr="2CA62BA2" w:rsidR="30261CDC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. </w:t>
      </w:r>
      <w:r w:rsidRPr="2CA62BA2" w:rsidR="718D823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A simple solution </w:t>
      </w:r>
      <w:r w:rsidRPr="2CA62BA2" w:rsidR="7F3730E5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would be </w:t>
      </w:r>
      <w:r w:rsidRPr="2CA62BA2" w:rsidR="718D823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to divide the total rent by the number of households, or alternatively to </w:t>
      </w:r>
      <w:bookmarkStart w:name="_Int_xOADZxiZ" w:id="1507538262"/>
      <w:r w:rsidRPr="2CA62BA2" w:rsidR="494BA922">
        <w:rPr>
          <w:rFonts w:ascii="Cambria" w:hAnsi="Cambria" w:eastAsia="Cambria" w:cs="Cambria"/>
          <w:i w:val="0"/>
          <w:iCs w:val="0"/>
          <w:sz w:val="24"/>
          <w:szCs w:val="24"/>
        </w:rPr>
        <w:t>dis</w:t>
      </w:r>
      <w:r w:rsidRPr="2CA62BA2" w:rsidR="72AA674E">
        <w:rPr>
          <w:rFonts w:ascii="Cambria" w:hAnsi="Cambria" w:eastAsia="Cambria" w:cs="Cambria"/>
          <w:i w:val="0"/>
          <w:iCs w:val="0"/>
          <w:sz w:val="24"/>
          <w:szCs w:val="24"/>
        </w:rPr>
        <w:t>aggregate</w:t>
      </w:r>
      <w:bookmarkEnd w:id="1507538262"/>
      <w:r w:rsidRPr="2CA62BA2" w:rsidR="718D8236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the single rent </w:t>
      </w:r>
      <w:r w:rsidRPr="2CA62BA2" w:rsidR="5D28EF75">
        <w:rPr>
          <w:rFonts w:ascii="Cambria" w:hAnsi="Cambria" w:eastAsia="Cambria" w:cs="Cambria"/>
          <w:i w:val="0"/>
          <w:iCs w:val="0"/>
          <w:sz w:val="24"/>
          <w:szCs w:val="24"/>
        </w:rPr>
        <w:t>based on the actual rent paid by such households</w:t>
      </w:r>
      <w:r w:rsidRPr="2CA62BA2" w:rsidR="361C49A3">
        <w:rPr>
          <w:rFonts w:ascii="Cambria" w:hAnsi="Cambria" w:eastAsia="Cambria" w:cs="Cambria"/>
          <w:i w:val="0"/>
          <w:iCs w:val="0"/>
          <w:sz w:val="24"/>
          <w:szCs w:val="24"/>
        </w:rPr>
        <w:t>, showing each household in relation to its own</w:t>
      </w:r>
      <w:r w:rsidRPr="2CA62BA2" w:rsidR="37757FB3">
        <w:rPr>
          <w:rFonts w:ascii="Cambria" w:hAnsi="Cambria" w:eastAsia="Cambria" w:cs="Cambria"/>
          <w:i w:val="0"/>
          <w:iCs w:val="0"/>
          <w:sz w:val="24"/>
          <w:szCs w:val="24"/>
        </w:rPr>
        <w:t xml:space="preserve"> </w:t>
      </w:r>
      <w:r w:rsidRPr="2CA62BA2" w:rsidR="361C49A3">
        <w:rPr>
          <w:rFonts w:ascii="Cambria" w:hAnsi="Cambria" w:eastAsia="Cambria" w:cs="Cambria"/>
          <w:i w:val="0"/>
          <w:iCs w:val="0"/>
          <w:sz w:val="24"/>
          <w:szCs w:val="24"/>
        </w:rPr>
        <w:t>notional rental unit</w:t>
      </w:r>
      <w:r w:rsidRPr="2CA62BA2" w:rsidR="5D28EF75">
        <w:rPr>
          <w:rFonts w:ascii="Cambria" w:hAnsi="Cambria" w:eastAsia="Cambria" w:cs="Cambria"/>
          <w:i w:val="0"/>
          <w:iCs w:val="0"/>
          <w:sz w:val="24"/>
          <w:szCs w:val="24"/>
        </w:rPr>
        <w:t>.</w:t>
      </w:r>
    </w:p>
    <w:p w:rsidR="5CAE8E1E" w:rsidP="5CAE8E1E" w:rsidRDefault="5CAE8E1E" w14:paraId="39E180E0" w14:textId="10575D0B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2CA62BA2" w:rsidP="2CA62BA2" w:rsidRDefault="2CA62BA2" w14:paraId="5A3F8887" w14:textId="302291D2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11ED7F7E" w:rsidP="2CA62BA2" w:rsidRDefault="11ED7F7E" w14:paraId="11614D29" w14:textId="7C7C9B35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7E1B661C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Differences in </w:t>
      </w:r>
      <w:r w:rsidRPr="2CA62BA2" w:rsidR="7E1B661C">
        <w:rPr>
          <w:rFonts w:ascii="Cambria" w:hAnsi="Cambria" w:eastAsia="Cambria" w:cs="Cambria"/>
          <w:b w:val="1"/>
          <w:bCs w:val="1"/>
          <w:sz w:val="24"/>
          <w:szCs w:val="24"/>
        </w:rPr>
        <w:t>determining</w:t>
      </w:r>
      <w:r w:rsidRPr="2CA62BA2" w:rsidR="7E1B661C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income threshold</w:t>
      </w:r>
      <w:r w:rsidRPr="2CA62BA2" w:rsidR="7DA2BFDD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between classes.</w:t>
      </w:r>
    </w:p>
    <w:p w:rsidR="11ED7F7E" w:rsidP="2CA62BA2" w:rsidRDefault="11ED7F7E" w14:paraId="5B622BAF" w14:textId="77CE2B6D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11ED7F7E">
        <w:rPr>
          <w:rFonts w:ascii="Cambria" w:hAnsi="Cambria" w:eastAsia="Cambria" w:cs="Cambria"/>
          <w:sz w:val="24"/>
          <w:szCs w:val="24"/>
        </w:rPr>
        <w:t xml:space="preserve">TAEH is concerned that the source for obtaining household data </w:t>
      </w:r>
      <w:r w:rsidRPr="2CA62BA2" w:rsidR="11ED7F7E">
        <w:rPr>
          <w:rFonts w:ascii="Cambria" w:hAnsi="Cambria" w:eastAsia="Cambria" w:cs="Cambria"/>
          <w:sz w:val="24"/>
          <w:szCs w:val="24"/>
        </w:rPr>
        <w:t>remains</w:t>
      </w:r>
      <w:r w:rsidRPr="2CA62BA2" w:rsidR="11ED7F7E">
        <w:rPr>
          <w:rFonts w:ascii="Cambria" w:hAnsi="Cambria" w:eastAsia="Cambria" w:cs="Cambria"/>
          <w:sz w:val="24"/>
          <w:szCs w:val="24"/>
        </w:rPr>
        <w:t xml:space="preserve"> opaque</w:t>
      </w:r>
      <w:r w:rsidRPr="2CA62BA2" w:rsidR="3B6A605E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11ED7F7E">
        <w:rPr>
          <w:rFonts w:ascii="Cambria" w:hAnsi="Cambria" w:eastAsia="Cambria" w:cs="Cambria"/>
          <w:sz w:val="24"/>
          <w:szCs w:val="24"/>
        </w:rPr>
        <w:t>TAEH supports the City of Toronto’s recommendation that this data b</w:t>
      </w:r>
      <w:r w:rsidRPr="2CA62BA2" w:rsidR="331F3F07">
        <w:rPr>
          <w:rFonts w:ascii="Cambria" w:hAnsi="Cambria" w:eastAsia="Cambria" w:cs="Cambria"/>
          <w:sz w:val="24"/>
          <w:szCs w:val="24"/>
        </w:rPr>
        <w:t>e obtained from Statistics Canada and/or CMHC</w:t>
      </w:r>
      <w:r w:rsidRPr="2CA62BA2" w:rsidR="44D03AEF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56F8FB13">
        <w:rPr>
          <w:rFonts w:ascii="Cambria" w:hAnsi="Cambria" w:eastAsia="Cambria" w:cs="Cambria"/>
          <w:sz w:val="24"/>
          <w:szCs w:val="24"/>
        </w:rPr>
        <w:t>TAEH likewise supports the City</w:t>
      </w:r>
      <w:r w:rsidRPr="2CA62BA2" w:rsidR="159DE045">
        <w:rPr>
          <w:rFonts w:ascii="Cambria" w:hAnsi="Cambria" w:eastAsia="Cambria" w:cs="Cambria"/>
          <w:sz w:val="24"/>
          <w:szCs w:val="24"/>
        </w:rPr>
        <w:t>’</w:t>
      </w:r>
      <w:r w:rsidRPr="2CA62BA2" w:rsidR="56F8FB13">
        <w:rPr>
          <w:rFonts w:ascii="Cambria" w:hAnsi="Cambria" w:eastAsia="Cambria" w:cs="Cambria"/>
          <w:sz w:val="24"/>
          <w:szCs w:val="24"/>
        </w:rPr>
        <w:t xml:space="preserve">s request to </w:t>
      </w:r>
      <w:r w:rsidRPr="2CA62BA2" w:rsidR="56F8FB13">
        <w:rPr>
          <w:rFonts w:ascii="Cambria" w:hAnsi="Cambria" w:eastAsia="Cambria" w:cs="Cambria"/>
          <w:sz w:val="24"/>
          <w:szCs w:val="24"/>
        </w:rPr>
        <w:t>participate</w:t>
      </w:r>
      <w:r w:rsidRPr="2CA62BA2" w:rsidR="56F8FB13">
        <w:rPr>
          <w:rFonts w:ascii="Cambria" w:hAnsi="Cambria" w:eastAsia="Cambria" w:cs="Cambria"/>
          <w:sz w:val="24"/>
          <w:szCs w:val="24"/>
        </w:rPr>
        <w:t xml:space="preserve"> in meaningful consultation </w:t>
      </w:r>
      <w:r w:rsidRPr="2CA62BA2" w:rsidR="56F8FB13">
        <w:rPr>
          <w:rFonts w:ascii="Cambria" w:hAnsi="Cambria" w:eastAsia="Cambria" w:cs="Cambria"/>
          <w:sz w:val="24"/>
          <w:szCs w:val="24"/>
        </w:rPr>
        <w:t>regarding</w:t>
      </w:r>
      <w:r w:rsidRPr="2CA62BA2" w:rsidR="56F8FB13">
        <w:rPr>
          <w:rFonts w:ascii="Cambria" w:hAnsi="Cambria" w:eastAsia="Cambria" w:cs="Cambria"/>
          <w:sz w:val="24"/>
          <w:szCs w:val="24"/>
        </w:rPr>
        <w:t xml:space="preserve"> the calculation process prior to the release of any information through the publicat</w:t>
      </w:r>
      <w:r w:rsidRPr="2CA62BA2" w:rsidR="364B6DAC">
        <w:rPr>
          <w:rFonts w:ascii="Cambria" w:hAnsi="Cambria" w:eastAsia="Cambria" w:cs="Cambria"/>
          <w:sz w:val="24"/>
          <w:szCs w:val="24"/>
        </w:rPr>
        <w:t>ion of the Affordable Residential Units Bulletin.</w:t>
      </w:r>
    </w:p>
    <w:p w:rsidR="5CAE8E1E" w:rsidP="5CAE8E1E" w:rsidRDefault="5CAE8E1E" w14:paraId="3D57EC48" w14:textId="51F34542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637C6A23" w:rsidP="2CA62BA2" w:rsidRDefault="637C6A23" w14:paraId="038C87A6" w14:textId="1E69DE30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22C865AD">
        <w:rPr>
          <w:rFonts w:ascii="Cambria" w:hAnsi="Cambria" w:eastAsia="Cambria" w:cs="Cambria"/>
          <w:sz w:val="24"/>
          <w:szCs w:val="24"/>
        </w:rPr>
        <w:t>We are, however, also concerned that t</w:t>
      </w:r>
      <w:r w:rsidRPr="2CA62BA2" w:rsidR="203579DA">
        <w:rPr>
          <w:rFonts w:ascii="Cambria" w:hAnsi="Cambria" w:eastAsia="Cambria" w:cs="Cambria"/>
          <w:sz w:val="24"/>
          <w:szCs w:val="24"/>
        </w:rPr>
        <w:t>he</w:t>
      </w:r>
      <w:r w:rsidRPr="2CA62BA2" w:rsidR="203579DA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5EDA5F0B">
        <w:rPr>
          <w:rFonts w:ascii="Cambria" w:hAnsi="Cambria" w:eastAsia="Cambria" w:cs="Cambria"/>
          <w:sz w:val="24"/>
          <w:szCs w:val="24"/>
        </w:rPr>
        <w:t xml:space="preserve">proposed </w:t>
      </w:r>
      <w:r w:rsidRPr="2CA62BA2" w:rsidR="203579DA">
        <w:rPr>
          <w:rFonts w:ascii="Cambria" w:hAnsi="Cambria" w:eastAsia="Cambria" w:cs="Cambria"/>
          <w:sz w:val="24"/>
          <w:szCs w:val="24"/>
        </w:rPr>
        <w:t xml:space="preserve">distinction between household classes </w:t>
      </w:r>
      <w:r w:rsidRPr="2CA62BA2" w:rsidR="717B24C9">
        <w:rPr>
          <w:rFonts w:ascii="Cambria" w:hAnsi="Cambria" w:eastAsia="Cambria" w:cs="Cambria"/>
          <w:sz w:val="24"/>
          <w:szCs w:val="24"/>
        </w:rPr>
        <w:t xml:space="preserve">in a municipality </w:t>
      </w:r>
      <w:r w:rsidRPr="2CA62BA2" w:rsidR="203579DA">
        <w:rPr>
          <w:rFonts w:ascii="Cambria" w:hAnsi="Cambria" w:eastAsia="Cambria" w:cs="Cambria"/>
          <w:sz w:val="24"/>
          <w:szCs w:val="24"/>
        </w:rPr>
        <w:t xml:space="preserve">used to </w:t>
      </w:r>
      <w:r w:rsidRPr="2CA62BA2" w:rsidR="647572ED">
        <w:rPr>
          <w:rFonts w:ascii="Cambria" w:hAnsi="Cambria" w:eastAsia="Cambria" w:cs="Cambria"/>
          <w:sz w:val="24"/>
          <w:szCs w:val="24"/>
        </w:rPr>
        <w:t>identify</w:t>
      </w:r>
      <w:r w:rsidRPr="2CA62BA2" w:rsidR="203579DA">
        <w:rPr>
          <w:rFonts w:ascii="Cambria" w:hAnsi="Cambria" w:eastAsia="Cambria" w:cs="Cambria"/>
          <w:sz w:val="24"/>
          <w:szCs w:val="24"/>
        </w:rPr>
        <w:t xml:space="preserve"> the 60</w:t>
      </w:r>
      <w:r w:rsidRPr="2CA62BA2" w:rsidR="01D61861">
        <w:rPr>
          <w:rFonts w:ascii="Cambria" w:hAnsi="Cambria" w:eastAsia="Cambria" w:cs="Cambria"/>
          <w:sz w:val="24"/>
          <w:szCs w:val="24"/>
        </w:rPr>
        <w:t>th</w:t>
      </w:r>
      <w:r w:rsidRPr="2CA62BA2" w:rsidR="203579DA">
        <w:rPr>
          <w:rFonts w:ascii="Cambria" w:hAnsi="Cambria" w:eastAsia="Cambria" w:cs="Cambria"/>
          <w:sz w:val="24"/>
          <w:szCs w:val="24"/>
        </w:rPr>
        <w:t xml:space="preserve"> percentile to </w:t>
      </w:r>
      <w:r w:rsidRPr="2CA62BA2" w:rsidR="203579DA">
        <w:rPr>
          <w:rFonts w:ascii="Cambria" w:hAnsi="Cambria" w:eastAsia="Cambria" w:cs="Cambria"/>
          <w:sz w:val="24"/>
          <w:szCs w:val="24"/>
        </w:rPr>
        <w:t>d</w:t>
      </w:r>
      <w:r w:rsidRPr="2CA62BA2" w:rsidR="32E50AE4">
        <w:rPr>
          <w:rFonts w:ascii="Cambria" w:hAnsi="Cambria" w:eastAsia="Cambria" w:cs="Cambria"/>
          <w:sz w:val="24"/>
          <w:szCs w:val="24"/>
        </w:rPr>
        <w:t>etermine</w:t>
      </w:r>
      <w:r w:rsidRPr="2CA62BA2" w:rsidR="32E50AE4">
        <w:rPr>
          <w:rFonts w:ascii="Cambria" w:hAnsi="Cambria" w:eastAsia="Cambria" w:cs="Cambria"/>
          <w:sz w:val="24"/>
          <w:szCs w:val="24"/>
        </w:rPr>
        <w:t xml:space="preserve"> affordability </w:t>
      </w:r>
      <w:r w:rsidRPr="2CA62BA2" w:rsidR="203579DA">
        <w:rPr>
          <w:rFonts w:ascii="Cambria" w:hAnsi="Cambria" w:eastAsia="Cambria" w:cs="Cambria"/>
          <w:sz w:val="24"/>
          <w:szCs w:val="24"/>
        </w:rPr>
        <w:t>for rental units as opposed to</w:t>
      </w:r>
      <w:r w:rsidRPr="2CA62BA2" w:rsidR="3B70ADE0">
        <w:rPr>
          <w:rFonts w:ascii="Cambria" w:hAnsi="Cambria" w:eastAsia="Cambria" w:cs="Cambria"/>
          <w:sz w:val="24"/>
          <w:szCs w:val="24"/>
        </w:rPr>
        <w:t xml:space="preserve"> house purchases </w:t>
      </w:r>
      <w:r w:rsidRPr="2CA62BA2" w:rsidR="44936808">
        <w:rPr>
          <w:rFonts w:ascii="Cambria" w:hAnsi="Cambria" w:eastAsia="Cambria" w:cs="Cambria"/>
          <w:sz w:val="24"/>
          <w:szCs w:val="24"/>
        </w:rPr>
        <w:t>may</w:t>
      </w:r>
      <w:r w:rsidRPr="2CA62BA2" w:rsidR="3FE4FB1C">
        <w:rPr>
          <w:rFonts w:ascii="Cambria" w:hAnsi="Cambria" w:eastAsia="Cambria" w:cs="Cambria"/>
          <w:sz w:val="24"/>
          <w:szCs w:val="24"/>
        </w:rPr>
        <w:t xml:space="preserve"> lead to </w:t>
      </w:r>
      <w:r w:rsidRPr="2CA62BA2" w:rsidR="41C0F15D">
        <w:rPr>
          <w:rFonts w:ascii="Cambria" w:hAnsi="Cambria" w:eastAsia="Cambria" w:cs="Cambria"/>
          <w:sz w:val="24"/>
          <w:szCs w:val="24"/>
        </w:rPr>
        <w:t>unintended consequences that will increase economic disparity in our community</w:t>
      </w:r>
      <w:r w:rsidRPr="2CA62BA2" w:rsidR="3CEEEE91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3FE4FB1C">
        <w:rPr>
          <w:rFonts w:ascii="Cambria" w:hAnsi="Cambria" w:eastAsia="Cambria" w:cs="Cambria"/>
          <w:sz w:val="24"/>
          <w:szCs w:val="24"/>
        </w:rPr>
        <w:t>Many ho</w:t>
      </w:r>
      <w:r w:rsidRPr="2CA62BA2" w:rsidR="2D63B90A">
        <w:rPr>
          <w:rFonts w:ascii="Cambria" w:hAnsi="Cambria" w:eastAsia="Cambria" w:cs="Cambria"/>
          <w:sz w:val="24"/>
          <w:szCs w:val="24"/>
        </w:rPr>
        <w:t>useholds</w:t>
      </w:r>
      <w:r w:rsidRPr="2CA62BA2" w:rsidR="3FE4FB1C">
        <w:rPr>
          <w:rFonts w:ascii="Cambria" w:hAnsi="Cambria" w:eastAsia="Cambria" w:cs="Cambria"/>
          <w:sz w:val="24"/>
          <w:szCs w:val="24"/>
        </w:rPr>
        <w:t xml:space="preserve"> living in houses that are family legacy properties without </w:t>
      </w:r>
      <w:r w:rsidRPr="2CA62BA2" w:rsidR="7189F015">
        <w:rPr>
          <w:rFonts w:ascii="Cambria" w:hAnsi="Cambria" w:eastAsia="Cambria" w:cs="Cambria"/>
          <w:sz w:val="24"/>
          <w:szCs w:val="24"/>
        </w:rPr>
        <w:t>indebtedness</w:t>
      </w:r>
      <w:r w:rsidRPr="2CA62BA2" w:rsidR="29FE0F66">
        <w:rPr>
          <w:rFonts w:ascii="Cambria" w:hAnsi="Cambria" w:eastAsia="Cambria" w:cs="Cambria"/>
          <w:sz w:val="24"/>
          <w:szCs w:val="24"/>
        </w:rPr>
        <w:t xml:space="preserve"> can be “cash poor – property rich</w:t>
      </w:r>
      <w:r w:rsidRPr="2CA62BA2" w:rsidR="64EE8AFE">
        <w:rPr>
          <w:rFonts w:ascii="Cambria" w:hAnsi="Cambria" w:eastAsia="Cambria" w:cs="Cambria"/>
          <w:sz w:val="24"/>
          <w:szCs w:val="24"/>
        </w:rPr>
        <w:t>.</w:t>
      </w:r>
      <w:r w:rsidRPr="2CA62BA2" w:rsidR="29FE0F66">
        <w:rPr>
          <w:rFonts w:ascii="Cambria" w:hAnsi="Cambria" w:eastAsia="Cambria" w:cs="Cambria"/>
          <w:sz w:val="24"/>
          <w:szCs w:val="24"/>
        </w:rPr>
        <w:t xml:space="preserve">” </w:t>
      </w:r>
    </w:p>
    <w:p w:rsidR="637C6A23" w:rsidP="2CA62BA2" w:rsidRDefault="637C6A23" w14:paraId="4B4ACEFD" w14:textId="6CD98BA8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637C6A23" w:rsidP="5CAE8E1E" w:rsidRDefault="637C6A23" w14:paraId="2D2DF451" w14:textId="0A35B9DF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5F0C26BC">
        <w:rPr>
          <w:rFonts w:ascii="Cambria" w:hAnsi="Cambria" w:eastAsia="Cambria" w:cs="Cambria"/>
          <w:sz w:val="24"/>
          <w:szCs w:val="24"/>
        </w:rPr>
        <w:t xml:space="preserve">Current rents across Ontario are significantly greater </w:t>
      </w:r>
      <w:r w:rsidRPr="2CA62BA2" w:rsidR="71BBB7C6">
        <w:rPr>
          <w:rFonts w:ascii="Cambria" w:hAnsi="Cambria" w:eastAsia="Cambria" w:cs="Cambria"/>
          <w:sz w:val="24"/>
          <w:szCs w:val="24"/>
        </w:rPr>
        <w:t xml:space="preserve">than historic norms, and as such simply to be a renter </w:t>
      </w:r>
      <w:r w:rsidRPr="2CA62BA2" w:rsidR="62385561">
        <w:rPr>
          <w:rFonts w:ascii="Cambria" w:hAnsi="Cambria" w:eastAsia="Cambria" w:cs="Cambria"/>
          <w:sz w:val="24"/>
          <w:szCs w:val="24"/>
        </w:rPr>
        <w:t xml:space="preserve">household </w:t>
      </w:r>
      <w:r w:rsidRPr="2CA62BA2" w:rsidR="71BBB7C6">
        <w:rPr>
          <w:rFonts w:ascii="Cambria" w:hAnsi="Cambria" w:eastAsia="Cambria" w:cs="Cambria"/>
          <w:sz w:val="24"/>
          <w:szCs w:val="24"/>
        </w:rPr>
        <w:t xml:space="preserve">requires </w:t>
      </w:r>
      <w:r w:rsidRPr="2CA62BA2" w:rsidR="689EEBC5">
        <w:rPr>
          <w:rFonts w:ascii="Cambria" w:hAnsi="Cambria" w:eastAsia="Cambria" w:cs="Cambria"/>
          <w:sz w:val="24"/>
          <w:szCs w:val="24"/>
        </w:rPr>
        <w:t xml:space="preserve">such households to be earning </w:t>
      </w:r>
      <w:r w:rsidRPr="2CA62BA2" w:rsidR="71BBB7C6">
        <w:rPr>
          <w:rFonts w:ascii="Cambria" w:hAnsi="Cambria" w:eastAsia="Cambria" w:cs="Cambria"/>
          <w:sz w:val="24"/>
          <w:szCs w:val="24"/>
        </w:rPr>
        <w:t xml:space="preserve">a </w:t>
      </w:r>
      <w:r w:rsidRPr="2CA62BA2" w:rsidR="2D5236C8">
        <w:rPr>
          <w:rFonts w:ascii="Cambria" w:hAnsi="Cambria" w:eastAsia="Cambria" w:cs="Cambria"/>
          <w:sz w:val="24"/>
          <w:szCs w:val="24"/>
        </w:rPr>
        <w:t>com</w:t>
      </w:r>
      <w:r w:rsidRPr="2CA62BA2" w:rsidR="54510CB4">
        <w:rPr>
          <w:rFonts w:ascii="Cambria" w:hAnsi="Cambria" w:eastAsia="Cambria" w:cs="Cambria"/>
          <w:sz w:val="24"/>
          <w:szCs w:val="24"/>
        </w:rPr>
        <w:t>parative</w:t>
      </w:r>
      <w:r w:rsidRPr="2CA62BA2" w:rsidR="2D5236C8">
        <w:rPr>
          <w:rFonts w:ascii="Cambria" w:hAnsi="Cambria" w:eastAsia="Cambria" w:cs="Cambria"/>
          <w:sz w:val="24"/>
          <w:szCs w:val="24"/>
        </w:rPr>
        <w:t>ly high</w:t>
      </w:r>
      <w:r w:rsidRPr="2CA62BA2" w:rsidR="0E2597B5">
        <w:rPr>
          <w:rFonts w:ascii="Cambria" w:hAnsi="Cambria" w:eastAsia="Cambria" w:cs="Cambria"/>
          <w:sz w:val="24"/>
          <w:szCs w:val="24"/>
        </w:rPr>
        <w:t>er</w:t>
      </w:r>
      <w:r w:rsidRPr="2CA62BA2" w:rsidR="2D5236C8">
        <w:rPr>
          <w:rFonts w:ascii="Cambria" w:hAnsi="Cambria" w:eastAsia="Cambria" w:cs="Cambria"/>
          <w:sz w:val="24"/>
          <w:szCs w:val="24"/>
        </w:rPr>
        <w:t xml:space="preserve"> income</w:t>
      </w:r>
      <w:r w:rsidRPr="2CA62BA2" w:rsidR="457F65F0">
        <w:rPr>
          <w:rFonts w:ascii="Cambria" w:hAnsi="Cambria" w:eastAsia="Cambria" w:cs="Cambria"/>
          <w:sz w:val="24"/>
          <w:szCs w:val="24"/>
        </w:rPr>
        <w:t xml:space="preserve"> compared to a similarly situated </w:t>
      </w:r>
      <w:r w:rsidRPr="2CA62BA2" w:rsidR="771406F1">
        <w:rPr>
          <w:rFonts w:ascii="Cambria" w:hAnsi="Cambria" w:eastAsia="Cambria" w:cs="Cambria"/>
          <w:sz w:val="24"/>
          <w:szCs w:val="24"/>
        </w:rPr>
        <w:t xml:space="preserve">legacy </w:t>
      </w:r>
      <w:r w:rsidRPr="2CA62BA2" w:rsidR="457F65F0">
        <w:rPr>
          <w:rFonts w:ascii="Cambria" w:hAnsi="Cambria" w:eastAsia="Cambria" w:cs="Cambria"/>
          <w:sz w:val="24"/>
          <w:szCs w:val="24"/>
        </w:rPr>
        <w:t>homeowner</w:t>
      </w:r>
      <w:r w:rsidRPr="2CA62BA2" w:rsidR="1FBF76F2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2D5236C8">
        <w:rPr>
          <w:rFonts w:ascii="Cambria" w:hAnsi="Cambria" w:eastAsia="Cambria" w:cs="Cambria"/>
          <w:sz w:val="24"/>
          <w:szCs w:val="24"/>
        </w:rPr>
        <w:t>A</w:t>
      </w:r>
      <w:r w:rsidRPr="2CA62BA2" w:rsidR="29FE0F66">
        <w:rPr>
          <w:rFonts w:ascii="Cambria" w:hAnsi="Cambria" w:eastAsia="Cambria" w:cs="Cambria"/>
          <w:sz w:val="24"/>
          <w:szCs w:val="24"/>
        </w:rPr>
        <w:t xml:space="preserve">s </w:t>
      </w:r>
      <w:r w:rsidRPr="2CA62BA2" w:rsidR="0F8147E0">
        <w:rPr>
          <w:rFonts w:ascii="Cambria" w:hAnsi="Cambria" w:eastAsia="Cambria" w:cs="Cambria"/>
          <w:sz w:val="24"/>
          <w:szCs w:val="24"/>
        </w:rPr>
        <w:t xml:space="preserve">a </w:t>
      </w:r>
      <w:r w:rsidRPr="2CA62BA2" w:rsidR="601C5F80">
        <w:rPr>
          <w:rFonts w:ascii="Cambria" w:hAnsi="Cambria" w:eastAsia="Cambria" w:cs="Cambria"/>
          <w:sz w:val="24"/>
          <w:szCs w:val="24"/>
        </w:rPr>
        <w:t>result,</w:t>
      </w:r>
      <w:r w:rsidRPr="2CA62BA2" w:rsidR="0F8147E0">
        <w:rPr>
          <w:rFonts w:ascii="Cambria" w:hAnsi="Cambria" w:eastAsia="Cambria" w:cs="Cambria"/>
          <w:sz w:val="24"/>
          <w:szCs w:val="24"/>
        </w:rPr>
        <w:t xml:space="preserve"> the </w:t>
      </w:r>
      <w:r w:rsidRPr="2CA62BA2" w:rsidR="33B37AD5">
        <w:rPr>
          <w:rFonts w:ascii="Cambria" w:hAnsi="Cambria" w:eastAsia="Cambria" w:cs="Cambria"/>
          <w:sz w:val="24"/>
          <w:szCs w:val="24"/>
        </w:rPr>
        <w:t xml:space="preserve">income of the </w:t>
      </w:r>
      <w:r w:rsidRPr="2CA62BA2" w:rsidR="0F8147E0">
        <w:rPr>
          <w:rFonts w:ascii="Cambria" w:hAnsi="Cambria" w:eastAsia="Cambria" w:cs="Cambria"/>
          <w:sz w:val="24"/>
          <w:szCs w:val="24"/>
        </w:rPr>
        <w:t>60</w:t>
      </w:r>
      <w:r w:rsidRPr="2CA62BA2" w:rsidR="083CAEC5">
        <w:rPr>
          <w:rFonts w:ascii="Cambria" w:hAnsi="Cambria" w:eastAsia="Cambria" w:cs="Cambria"/>
          <w:sz w:val="24"/>
          <w:szCs w:val="24"/>
        </w:rPr>
        <w:t>th</w:t>
      </w:r>
      <w:r w:rsidRPr="2CA62BA2" w:rsidR="0F8147E0">
        <w:rPr>
          <w:rFonts w:ascii="Cambria" w:hAnsi="Cambria" w:eastAsia="Cambria" w:cs="Cambria"/>
          <w:sz w:val="24"/>
          <w:szCs w:val="24"/>
        </w:rPr>
        <w:t xml:space="preserve"> percentile by </w:t>
      </w:r>
      <w:r w:rsidRPr="2CA62BA2" w:rsidR="2346B2F0">
        <w:rPr>
          <w:rFonts w:ascii="Cambria" w:hAnsi="Cambria" w:eastAsia="Cambria" w:cs="Cambria"/>
          <w:sz w:val="24"/>
          <w:szCs w:val="24"/>
        </w:rPr>
        <w:t xml:space="preserve">gross annual </w:t>
      </w:r>
      <w:r w:rsidRPr="2CA62BA2" w:rsidR="0F8147E0">
        <w:rPr>
          <w:rFonts w:ascii="Cambria" w:hAnsi="Cambria" w:eastAsia="Cambria" w:cs="Cambria"/>
          <w:sz w:val="24"/>
          <w:szCs w:val="24"/>
        </w:rPr>
        <w:t xml:space="preserve">income for </w:t>
      </w:r>
      <w:r w:rsidRPr="2CA62BA2" w:rsidR="34445969">
        <w:rPr>
          <w:rFonts w:ascii="Cambria" w:hAnsi="Cambria" w:eastAsia="Cambria" w:cs="Cambria"/>
          <w:sz w:val="24"/>
          <w:szCs w:val="24"/>
        </w:rPr>
        <w:t>househ</w:t>
      </w:r>
      <w:r w:rsidRPr="2CA62BA2" w:rsidR="493CCDFD">
        <w:rPr>
          <w:rFonts w:ascii="Cambria" w:hAnsi="Cambria" w:eastAsia="Cambria" w:cs="Cambria"/>
          <w:sz w:val="24"/>
          <w:szCs w:val="24"/>
        </w:rPr>
        <w:t>olds</w:t>
      </w:r>
      <w:r w:rsidRPr="2CA62BA2" w:rsidR="33BD22D6">
        <w:rPr>
          <w:rFonts w:ascii="Cambria" w:hAnsi="Cambria" w:eastAsia="Cambria" w:cs="Cambria"/>
          <w:sz w:val="24"/>
          <w:szCs w:val="24"/>
        </w:rPr>
        <w:t xml:space="preserve"> in a municipality</w:t>
      </w:r>
      <w:r w:rsidRPr="2CA62BA2" w:rsidR="125B0C14">
        <w:rPr>
          <w:rFonts w:ascii="Cambria" w:hAnsi="Cambria" w:eastAsia="Cambria" w:cs="Cambria"/>
          <w:sz w:val="24"/>
          <w:szCs w:val="24"/>
        </w:rPr>
        <w:t xml:space="preserve"> could be </w:t>
      </w:r>
      <w:r w:rsidRPr="2CA62BA2" w:rsidR="10E504ED">
        <w:rPr>
          <w:rFonts w:ascii="Cambria" w:hAnsi="Cambria" w:eastAsia="Cambria" w:cs="Cambria"/>
          <w:sz w:val="24"/>
          <w:szCs w:val="24"/>
        </w:rPr>
        <w:t xml:space="preserve">depressed by the inclusion of </w:t>
      </w:r>
      <w:r w:rsidRPr="2CA62BA2" w:rsidR="10E504ED">
        <w:rPr>
          <w:rFonts w:ascii="Cambria" w:hAnsi="Cambria" w:eastAsia="Cambria" w:cs="Cambria"/>
          <w:sz w:val="24"/>
          <w:szCs w:val="24"/>
        </w:rPr>
        <w:t>legacy homeowners</w:t>
      </w:r>
      <w:r w:rsidRPr="2CA62BA2" w:rsidR="10E504ED">
        <w:rPr>
          <w:rFonts w:ascii="Cambria" w:hAnsi="Cambria" w:eastAsia="Cambria" w:cs="Cambria"/>
          <w:sz w:val="24"/>
          <w:szCs w:val="24"/>
        </w:rPr>
        <w:t xml:space="preserve">, while </w:t>
      </w:r>
      <w:r w:rsidRPr="2CA62BA2" w:rsidR="2F84B6BC">
        <w:rPr>
          <w:rFonts w:ascii="Cambria" w:hAnsi="Cambria" w:eastAsia="Cambria" w:cs="Cambria"/>
          <w:sz w:val="24"/>
          <w:szCs w:val="24"/>
        </w:rPr>
        <w:t>the income</w:t>
      </w:r>
      <w:r w:rsidRPr="2CA62BA2" w:rsidR="125B0C14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4761F480">
        <w:rPr>
          <w:rFonts w:ascii="Cambria" w:hAnsi="Cambria" w:eastAsia="Cambria" w:cs="Cambria"/>
          <w:sz w:val="24"/>
          <w:szCs w:val="24"/>
        </w:rPr>
        <w:t>of the 60</w:t>
      </w:r>
      <w:r w:rsidRPr="2CA62BA2" w:rsidR="5F97F94B">
        <w:rPr>
          <w:rFonts w:ascii="Cambria" w:hAnsi="Cambria" w:eastAsia="Cambria" w:cs="Cambria"/>
          <w:sz w:val="24"/>
          <w:szCs w:val="24"/>
        </w:rPr>
        <w:t>th</w:t>
      </w:r>
      <w:r w:rsidRPr="2CA62BA2" w:rsidR="4761F480">
        <w:rPr>
          <w:rFonts w:ascii="Cambria" w:hAnsi="Cambria" w:eastAsia="Cambria" w:cs="Cambria"/>
          <w:sz w:val="24"/>
          <w:szCs w:val="24"/>
        </w:rPr>
        <w:t xml:space="preserve"> percentile </w:t>
      </w:r>
      <w:r w:rsidRPr="2CA62BA2" w:rsidR="125B0C14">
        <w:rPr>
          <w:rFonts w:ascii="Cambria" w:hAnsi="Cambria" w:eastAsia="Cambria" w:cs="Cambria"/>
          <w:sz w:val="24"/>
          <w:szCs w:val="24"/>
        </w:rPr>
        <w:t>for rental households in the same municipality</w:t>
      </w:r>
      <w:r w:rsidRPr="2CA62BA2" w:rsidR="572DC314">
        <w:rPr>
          <w:rFonts w:ascii="Cambria" w:hAnsi="Cambria" w:eastAsia="Cambria" w:cs="Cambria"/>
          <w:sz w:val="24"/>
          <w:szCs w:val="24"/>
        </w:rPr>
        <w:t xml:space="preserve"> for similarly situated residential units</w:t>
      </w:r>
      <w:r w:rsidRPr="2CA62BA2" w:rsidR="5E7F2ADE">
        <w:rPr>
          <w:rFonts w:ascii="Cambria" w:hAnsi="Cambria" w:eastAsia="Cambria" w:cs="Cambria"/>
          <w:sz w:val="24"/>
          <w:szCs w:val="24"/>
        </w:rPr>
        <w:t xml:space="preserve"> will have been elevated by </w:t>
      </w:r>
      <w:r w:rsidRPr="2CA62BA2" w:rsidR="5BD2E4C4">
        <w:rPr>
          <w:rFonts w:ascii="Cambria" w:hAnsi="Cambria" w:eastAsia="Cambria" w:cs="Cambria"/>
          <w:sz w:val="24"/>
          <w:szCs w:val="24"/>
        </w:rPr>
        <w:t>more recent and by current market forces</w:t>
      </w:r>
      <w:r w:rsidRPr="2CA62BA2" w:rsidR="6BF1C9A2">
        <w:rPr>
          <w:rFonts w:ascii="Cambria" w:hAnsi="Cambria" w:eastAsia="Cambria" w:cs="Cambria"/>
          <w:sz w:val="24"/>
          <w:szCs w:val="24"/>
        </w:rPr>
        <w:t>.</w:t>
      </w:r>
    </w:p>
    <w:p w:rsidR="5CAE8E1E" w:rsidP="5CAE8E1E" w:rsidRDefault="5CAE8E1E" w14:paraId="09635945" w14:textId="064B2AAC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6BF1C9A2" w:rsidP="5CAE8E1E" w:rsidRDefault="6BF1C9A2" w14:paraId="3FB3A55C" w14:textId="7D9E0282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6BF1C9A2">
        <w:rPr>
          <w:rFonts w:ascii="Cambria" w:hAnsi="Cambria" w:eastAsia="Cambria" w:cs="Cambria"/>
          <w:sz w:val="24"/>
          <w:szCs w:val="24"/>
        </w:rPr>
        <w:t>Consequently,</w:t>
      </w:r>
      <w:r w:rsidRPr="2CA62BA2" w:rsidR="2743D0F7">
        <w:rPr>
          <w:rFonts w:ascii="Cambria" w:hAnsi="Cambria" w:eastAsia="Cambria" w:cs="Cambria"/>
          <w:sz w:val="24"/>
          <w:szCs w:val="24"/>
        </w:rPr>
        <w:t xml:space="preserve"> the income ceiling based on 30% of th</w:t>
      </w:r>
      <w:r w:rsidRPr="2CA62BA2" w:rsidR="20BA91CD">
        <w:rPr>
          <w:rFonts w:ascii="Cambria" w:hAnsi="Cambria" w:eastAsia="Cambria" w:cs="Cambria"/>
          <w:sz w:val="24"/>
          <w:szCs w:val="24"/>
        </w:rPr>
        <w:t>ese two</w:t>
      </w:r>
      <w:r w:rsidRPr="2CA62BA2" w:rsidR="2743D0F7">
        <w:rPr>
          <w:rFonts w:ascii="Cambria" w:hAnsi="Cambria" w:eastAsia="Cambria" w:cs="Cambria"/>
          <w:sz w:val="24"/>
          <w:szCs w:val="24"/>
        </w:rPr>
        <w:t xml:space="preserve"> number</w:t>
      </w:r>
      <w:r w:rsidRPr="2CA62BA2" w:rsidR="578D36E1">
        <w:rPr>
          <w:rFonts w:ascii="Cambria" w:hAnsi="Cambria" w:eastAsia="Cambria" w:cs="Cambria"/>
          <w:sz w:val="24"/>
          <w:szCs w:val="24"/>
        </w:rPr>
        <w:t>s</w:t>
      </w:r>
      <w:r w:rsidRPr="2CA62BA2" w:rsidR="2743D0F7">
        <w:rPr>
          <w:rFonts w:ascii="Cambria" w:hAnsi="Cambria" w:eastAsia="Cambria" w:cs="Cambria"/>
          <w:sz w:val="24"/>
          <w:szCs w:val="24"/>
        </w:rPr>
        <w:t xml:space="preserve"> could likewise skew in favour of prospective home purchasers compared to renters</w:t>
      </w:r>
      <w:r w:rsidRPr="2CA62BA2" w:rsidR="6C1ACF33">
        <w:rPr>
          <w:rFonts w:ascii="Cambria" w:hAnsi="Cambria" w:eastAsia="Cambria" w:cs="Cambria"/>
          <w:sz w:val="24"/>
          <w:szCs w:val="24"/>
        </w:rPr>
        <w:t xml:space="preserve">, making it economically more attractive to build residential units for ownership, as opposed </w:t>
      </w:r>
      <w:r w:rsidRPr="2CA62BA2" w:rsidR="5331134A">
        <w:rPr>
          <w:rFonts w:ascii="Cambria" w:hAnsi="Cambria" w:eastAsia="Cambria" w:cs="Cambria"/>
          <w:sz w:val="24"/>
          <w:szCs w:val="24"/>
        </w:rPr>
        <w:t>to build them</w:t>
      </w:r>
      <w:r w:rsidRPr="2CA62BA2" w:rsidR="6C1ACF33">
        <w:rPr>
          <w:rFonts w:ascii="Cambria" w:hAnsi="Cambria" w:eastAsia="Cambria" w:cs="Cambria"/>
          <w:sz w:val="24"/>
          <w:szCs w:val="24"/>
        </w:rPr>
        <w:t xml:space="preserve"> for rental purposes</w:t>
      </w:r>
      <w:r w:rsidRPr="2CA62BA2" w:rsidR="0F788F75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1E37419E">
        <w:rPr>
          <w:rFonts w:ascii="Cambria" w:hAnsi="Cambria" w:eastAsia="Cambria" w:cs="Cambria"/>
          <w:sz w:val="24"/>
          <w:szCs w:val="24"/>
        </w:rPr>
        <w:t xml:space="preserve">Under the National </w:t>
      </w:r>
      <w:r w:rsidRPr="2CA62BA2" w:rsidR="00471A32">
        <w:rPr>
          <w:rFonts w:ascii="Cambria" w:hAnsi="Cambria" w:eastAsia="Cambria" w:cs="Cambria"/>
          <w:sz w:val="24"/>
          <w:szCs w:val="24"/>
        </w:rPr>
        <w:t>Housing</w:t>
      </w:r>
      <w:r w:rsidRPr="2CA62BA2" w:rsidR="1E37419E">
        <w:rPr>
          <w:rFonts w:ascii="Cambria" w:hAnsi="Cambria" w:eastAsia="Cambria" w:cs="Cambria"/>
          <w:sz w:val="24"/>
          <w:szCs w:val="24"/>
        </w:rPr>
        <w:t xml:space="preserve"> Strategy, </w:t>
      </w:r>
      <w:r w:rsidRPr="2CA62BA2" w:rsidR="3CB2CB8A">
        <w:rPr>
          <w:rFonts w:ascii="Cambria" w:hAnsi="Cambria" w:eastAsia="Cambria" w:cs="Cambria"/>
          <w:sz w:val="24"/>
          <w:szCs w:val="24"/>
        </w:rPr>
        <w:t>and</w:t>
      </w:r>
      <w:r w:rsidRPr="2CA62BA2" w:rsidR="6BE28770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1E37419E">
        <w:rPr>
          <w:rFonts w:ascii="Cambria" w:hAnsi="Cambria" w:eastAsia="Cambria" w:cs="Cambria"/>
          <w:sz w:val="24"/>
          <w:szCs w:val="24"/>
        </w:rPr>
        <w:t>independent of it</w:t>
      </w:r>
      <w:r w:rsidRPr="2CA62BA2" w:rsidR="621FA6AE">
        <w:rPr>
          <w:rFonts w:ascii="Cambria" w:hAnsi="Cambria" w:eastAsia="Cambria" w:cs="Cambria"/>
          <w:sz w:val="24"/>
          <w:szCs w:val="24"/>
        </w:rPr>
        <w:t>,</w:t>
      </w:r>
      <w:r w:rsidRPr="2CA62BA2" w:rsidR="1E37419E">
        <w:rPr>
          <w:rFonts w:ascii="Cambria" w:hAnsi="Cambria" w:eastAsia="Cambria" w:cs="Cambria"/>
          <w:sz w:val="24"/>
          <w:szCs w:val="24"/>
        </w:rPr>
        <w:t xml:space="preserve"> through CMHC, the federal government already </w:t>
      </w:r>
      <w:r w:rsidRPr="2CA62BA2" w:rsidR="1E37419E">
        <w:rPr>
          <w:rFonts w:ascii="Cambria" w:hAnsi="Cambria" w:eastAsia="Cambria" w:cs="Cambria"/>
          <w:sz w:val="24"/>
          <w:szCs w:val="24"/>
        </w:rPr>
        <w:t>provides</w:t>
      </w:r>
      <w:r w:rsidRPr="2CA62BA2" w:rsidR="1E37419E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5CEA9248">
        <w:rPr>
          <w:rFonts w:ascii="Cambria" w:hAnsi="Cambria" w:eastAsia="Cambria" w:cs="Cambria"/>
          <w:sz w:val="24"/>
          <w:szCs w:val="24"/>
        </w:rPr>
        <w:t>several</w:t>
      </w:r>
      <w:r w:rsidRPr="2CA62BA2" w:rsidR="1E37419E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6C8E9E6B">
        <w:rPr>
          <w:rFonts w:ascii="Cambria" w:hAnsi="Cambria" w:eastAsia="Cambria" w:cs="Cambria"/>
          <w:sz w:val="24"/>
          <w:szCs w:val="24"/>
        </w:rPr>
        <w:t xml:space="preserve">financial </w:t>
      </w:r>
      <w:r w:rsidRPr="2CA62BA2" w:rsidR="1E37419E">
        <w:rPr>
          <w:rFonts w:ascii="Cambria" w:hAnsi="Cambria" w:eastAsia="Cambria" w:cs="Cambria"/>
          <w:sz w:val="24"/>
          <w:szCs w:val="24"/>
        </w:rPr>
        <w:t>supports for homeowners that are n</w:t>
      </w:r>
      <w:r w:rsidRPr="2CA62BA2" w:rsidR="2D3DA23F">
        <w:rPr>
          <w:rFonts w:ascii="Cambria" w:hAnsi="Cambria" w:eastAsia="Cambria" w:cs="Cambria"/>
          <w:sz w:val="24"/>
          <w:szCs w:val="24"/>
        </w:rPr>
        <w:t>either available (by definition) to renters, nor required to be passed on to renters where applicable</w:t>
      </w:r>
      <w:r w:rsidRPr="2CA62BA2" w:rsidR="4D08B81D">
        <w:rPr>
          <w:rFonts w:ascii="Cambria" w:hAnsi="Cambria" w:eastAsia="Cambria" w:cs="Cambria"/>
          <w:sz w:val="24"/>
          <w:szCs w:val="24"/>
        </w:rPr>
        <w:t xml:space="preserve"> through rent reductions</w:t>
      </w:r>
      <w:r w:rsidRPr="2CA62BA2" w:rsidR="7DED4155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57F5A058">
        <w:rPr>
          <w:rFonts w:ascii="Cambria" w:hAnsi="Cambria" w:eastAsia="Cambria" w:cs="Cambria"/>
          <w:sz w:val="24"/>
          <w:szCs w:val="24"/>
        </w:rPr>
        <w:t>Creating a policy landscape that preferences development of new homes for ownership over rentals ignores the economic advantage of home equi</w:t>
      </w:r>
      <w:r w:rsidRPr="2CA62BA2" w:rsidR="536F4E81">
        <w:rPr>
          <w:rFonts w:ascii="Cambria" w:hAnsi="Cambria" w:eastAsia="Cambria" w:cs="Cambria"/>
          <w:sz w:val="24"/>
          <w:szCs w:val="24"/>
        </w:rPr>
        <w:t>ty, does not address the gap in resources and targeted supports for homeowners that are unavailable to renters, and has serious potential to further counter the goal of in</w:t>
      </w:r>
      <w:r w:rsidRPr="2CA62BA2" w:rsidR="1E5D2E59">
        <w:rPr>
          <w:rFonts w:ascii="Cambria" w:hAnsi="Cambria" w:eastAsia="Cambria" w:cs="Cambria"/>
          <w:sz w:val="24"/>
          <w:szCs w:val="24"/>
        </w:rPr>
        <w:t>creasing the provincial stock of affordable rental housing</w:t>
      </w:r>
      <w:r w:rsidRPr="2CA62BA2" w:rsidR="0B6F6218">
        <w:rPr>
          <w:rFonts w:ascii="Cambria" w:hAnsi="Cambria" w:eastAsia="Cambria" w:cs="Cambria"/>
          <w:sz w:val="24"/>
          <w:szCs w:val="24"/>
        </w:rPr>
        <w:t>.</w:t>
      </w:r>
    </w:p>
    <w:p w:rsidR="5CAE8E1E" w:rsidP="5CAE8E1E" w:rsidRDefault="5CAE8E1E" w14:paraId="0E399E45" w14:textId="06B3284C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7F7EDDDC" w:rsidP="2CA62BA2" w:rsidRDefault="7F7EDDDC" w14:paraId="62D361ED" w14:textId="30C067FB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7F7EDDDC">
        <w:rPr>
          <w:rFonts w:ascii="Cambria" w:hAnsi="Cambria" w:eastAsia="Cambria" w:cs="Cambria"/>
          <w:sz w:val="24"/>
          <w:szCs w:val="24"/>
        </w:rPr>
        <w:t>As such, TAEH recommends that a proviso be added to the proposed determination process</w:t>
      </w:r>
      <w:r w:rsidRPr="2CA62BA2" w:rsidR="209E3509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7F7EDDDC">
        <w:rPr>
          <w:rFonts w:ascii="Cambria" w:hAnsi="Cambria" w:eastAsia="Cambria" w:cs="Cambria"/>
          <w:sz w:val="24"/>
          <w:szCs w:val="24"/>
        </w:rPr>
        <w:t xml:space="preserve">We propose that the definition make clear that </w:t>
      </w:r>
      <w:r w:rsidRPr="2CA62BA2" w:rsidR="1FAF6980">
        <w:rPr>
          <w:rFonts w:ascii="Cambria" w:hAnsi="Cambria" w:eastAsia="Cambria" w:cs="Cambria"/>
          <w:sz w:val="24"/>
          <w:szCs w:val="24"/>
        </w:rPr>
        <w:t xml:space="preserve">a comparison be made between </w:t>
      </w:r>
      <w:r w:rsidRPr="2CA62BA2" w:rsidR="7F7EDDDC">
        <w:rPr>
          <w:rFonts w:ascii="Cambria" w:hAnsi="Cambria" w:eastAsia="Cambria" w:cs="Cambria"/>
          <w:sz w:val="24"/>
          <w:szCs w:val="24"/>
        </w:rPr>
        <w:t xml:space="preserve">the actual </w:t>
      </w:r>
      <w:r w:rsidRPr="2CA62BA2" w:rsidR="1948D31C">
        <w:rPr>
          <w:rFonts w:ascii="Cambria" w:hAnsi="Cambria" w:eastAsia="Cambria" w:cs="Cambria"/>
          <w:sz w:val="24"/>
          <w:szCs w:val="24"/>
        </w:rPr>
        <w:t xml:space="preserve">gross annual </w:t>
      </w:r>
      <w:r w:rsidRPr="2CA62BA2" w:rsidR="7F7EDDDC">
        <w:rPr>
          <w:rFonts w:ascii="Cambria" w:hAnsi="Cambria" w:eastAsia="Cambria" w:cs="Cambria"/>
          <w:sz w:val="24"/>
          <w:szCs w:val="24"/>
        </w:rPr>
        <w:t>income</w:t>
      </w:r>
      <w:r w:rsidRPr="2CA62BA2" w:rsidR="1DF80C76">
        <w:rPr>
          <w:rFonts w:ascii="Cambria" w:hAnsi="Cambria" w:eastAsia="Cambria" w:cs="Cambria"/>
          <w:sz w:val="24"/>
          <w:szCs w:val="24"/>
        </w:rPr>
        <w:t xml:space="preserve"> arrived at </w:t>
      </w:r>
      <w:r w:rsidRPr="2CA62BA2" w:rsidR="48F3E972">
        <w:rPr>
          <w:rFonts w:ascii="Cambria" w:hAnsi="Cambria" w:eastAsia="Cambria" w:cs="Cambria"/>
          <w:sz w:val="24"/>
          <w:szCs w:val="24"/>
        </w:rPr>
        <w:t xml:space="preserve">“in the applicable </w:t>
      </w:r>
      <w:r w:rsidRPr="2CA62BA2" w:rsidR="75E51017">
        <w:rPr>
          <w:rFonts w:ascii="Cambria" w:hAnsi="Cambria" w:eastAsia="Cambria" w:cs="Cambria"/>
          <w:sz w:val="24"/>
          <w:szCs w:val="24"/>
        </w:rPr>
        <w:t>municipality</w:t>
      </w:r>
      <w:r w:rsidRPr="2CA62BA2" w:rsidR="48F3E972">
        <w:rPr>
          <w:rFonts w:ascii="Cambria" w:hAnsi="Cambria" w:eastAsia="Cambria" w:cs="Cambria"/>
          <w:sz w:val="24"/>
          <w:szCs w:val="24"/>
        </w:rPr>
        <w:t>” for the 6</w:t>
      </w:r>
      <w:r w:rsidRPr="2CA62BA2" w:rsidR="6A867145">
        <w:rPr>
          <w:rFonts w:ascii="Cambria" w:hAnsi="Cambria" w:eastAsia="Cambria" w:cs="Cambria"/>
          <w:sz w:val="24"/>
          <w:szCs w:val="24"/>
        </w:rPr>
        <w:t>0th</w:t>
      </w:r>
      <w:r w:rsidRPr="2CA62BA2" w:rsidR="48F3E972">
        <w:rPr>
          <w:rFonts w:ascii="Cambria" w:hAnsi="Cambria" w:eastAsia="Cambria" w:cs="Cambria"/>
          <w:sz w:val="24"/>
          <w:szCs w:val="24"/>
        </w:rPr>
        <w:t xml:space="preserve"> income percentiles for households in general and for rental households only</w:t>
      </w:r>
      <w:r w:rsidRPr="2CA62BA2" w:rsidR="7858B7E7">
        <w:rPr>
          <w:rFonts w:ascii="Cambria" w:hAnsi="Cambria" w:eastAsia="Cambria" w:cs="Cambria"/>
          <w:sz w:val="24"/>
          <w:szCs w:val="24"/>
        </w:rPr>
        <w:t xml:space="preserve">; </w:t>
      </w:r>
      <w:r w:rsidRPr="2CA62BA2" w:rsidR="48F3E972">
        <w:rPr>
          <w:rFonts w:ascii="Cambria" w:hAnsi="Cambria" w:eastAsia="Cambria" w:cs="Cambria"/>
          <w:sz w:val="24"/>
          <w:szCs w:val="24"/>
        </w:rPr>
        <w:t xml:space="preserve">and that where the </w:t>
      </w:r>
      <w:r w:rsidRPr="2CA62BA2" w:rsidR="0568727D">
        <w:rPr>
          <w:rFonts w:ascii="Cambria" w:hAnsi="Cambria" w:eastAsia="Cambria" w:cs="Cambria"/>
          <w:sz w:val="24"/>
          <w:szCs w:val="24"/>
        </w:rPr>
        <w:t xml:space="preserve">income valuation </w:t>
      </w:r>
      <w:r w:rsidRPr="2CA62BA2" w:rsidR="2C36FCC7">
        <w:rPr>
          <w:rFonts w:ascii="Cambria" w:hAnsi="Cambria" w:eastAsia="Cambria" w:cs="Cambria"/>
          <w:sz w:val="24"/>
          <w:szCs w:val="24"/>
        </w:rPr>
        <w:t xml:space="preserve">to determine unaffordability </w:t>
      </w:r>
      <w:r w:rsidRPr="2CA62BA2" w:rsidR="0568727D">
        <w:rPr>
          <w:rFonts w:ascii="Cambria" w:hAnsi="Cambria" w:eastAsia="Cambria" w:cs="Cambria"/>
          <w:sz w:val="24"/>
          <w:szCs w:val="24"/>
        </w:rPr>
        <w:t xml:space="preserve">for ownership housing is less than, or equal to, that arrived at for </w:t>
      </w:r>
      <w:r w:rsidRPr="2CA62BA2" w:rsidR="2A4B7235">
        <w:rPr>
          <w:rFonts w:ascii="Cambria" w:hAnsi="Cambria" w:eastAsia="Cambria" w:cs="Cambria"/>
          <w:sz w:val="24"/>
          <w:szCs w:val="24"/>
        </w:rPr>
        <w:t>rental households only, that the valuation for rental households be used for both classe</w:t>
      </w:r>
      <w:r w:rsidRPr="2CA62BA2" w:rsidR="4D1BEA95">
        <w:rPr>
          <w:rFonts w:ascii="Cambria" w:hAnsi="Cambria" w:eastAsia="Cambria" w:cs="Cambria"/>
          <w:sz w:val="24"/>
          <w:szCs w:val="24"/>
        </w:rPr>
        <w:t>s of affordable housing.</w:t>
      </w:r>
      <w:r w:rsidRPr="2CA62BA2" w:rsidR="43C4F325">
        <w:rPr>
          <w:rFonts w:ascii="Cambria" w:hAnsi="Cambria" w:eastAsia="Cambria" w:cs="Cambria"/>
          <w:sz w:val="24"/>
          <w:szCs w:val="24"/>
        </w:rPr>
        <w:t xml:space="preserve"> </w:t>
      </w:r>
    </w:p>
    <w:p w:rsidR="7F7EDDDC" w:rsidP="2CA62BA2" w:rsidRDefault="7F7EDDDC" w14:paraId="18859D65" w14:textId="6A8C2745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7F7EDDDC" w:rsidP="37C0A24A" w:rsidRDefault="7F7EDDDC" w14:paraId="523FCB68" w14:textId="416EDE4B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14113392">
        <w:rPr>
          <w:rFonts w:ascii="Cambria" w:hAnsi="Cambria" w:eastAsia="Cambria" w:cs="Cambria"/>
          <w:sz w:val="24"/>
          <w:szCs w:val="24"/>
        </w:rPr>
        <w:t xml:space="preserve">Alternatively, or in addition, TAEH recommends using databases </w:t>
      </w:r>
      <w:r w:rsidRPr="2CA62BA2" w:rsidR="52B618C3">
        <w:rPr>
          <w:rFonts w:ascii="Cambria" w:hAnsi="Cambria" w:eastAsia="Cambria" w:cs="Cambria"/>
          <w:sz w:val="24"/>
          <w:szCs w:val="24"/>
        </w:rPr>
        <w:t xml:space="preserve">restricted only to households that have </w:t>
      </w:r>
      <w:r w:rsidRPr="2CA62BA2" w:rsidR="52B618C3">
        <w:rPr>
          <w:rFonts w:ascii="Cambria" w:hAnsi="Cambria" w:eastAsia="Cambria" w:cs="Cambria"/>
          <w:sz w:val="24"/>
          <w:szCs w:val="24"/>
        </w:rPr>
        <w:t>purchased</w:t>
      </w:r>
      <w:r w:rsidRPr="2CA62BA2" w:rsidR="52B618C3">
        <w:rPr>
          <w:rFonts w:ascii="Cambria" w:hAnsi="Cambria" w:eastAsia="Cambria" w:cs="Cambria"/>
          <w:sz w:val="24"/>
          <w:szCs w:val="24"/>
        </w:rPr>
        <w:t xml:space="preserve"> homes or rented residential units more recently:  the past ten years for any gi</w:t>
      </w:r>
      <w:r w:rsidRPr="2CA62BA2" w:rsidR="32088B5C">
        <w:rPr>
          <w:rFonts w:ascii="Cambria" w:hAnsi="Cambria" w:eastAsia="Cambria" w:cs="Cambria"/>
          <w:sz w:val="24"/>
          <w:szCs w:val="24"/>
        </w:rPr>
        <w:t>ven Affordable Residential Units Bulleti</w:t>
      </w:r>
      <w:r w:rsidRPr="2CA62BA2" w:rsidR="6C11A897">
        <w:rPr>
          <w:rFonts w:ascii="Cambria" w:hAnsi="Cambria" w:eastAsia="Cambria" w:cs="Cambria"/>
          <w:sz w:val="24"/>
          <w:szCs w:val="24"/>
        </w:rPr>
        <w:t>n</w:t>
      </w:r>
      <w:r w:rsidRPr="2CA62BA2" w:rsidR="32088B5C">
        <w:rPr>
          <w:rFonts w:ascii="Cambria" w:hAnsi="Cambria" w:eastAsia="Cambria" w:cs="Cambria"/>
          <w:sz w:val="24"/>
          <w:szCs w:val="24"/>
        </w:rPr>
        <w:t xml:space="preserve"> would appear reasonable, </w:t>
      </w:r>
      <w:r w:rsidRPr="2CA62BA2" w:rsidR="1A78DE72">
        <w:rPr>
          <w:rFonts w:ascii="Cambria" w:hAnsi="Cambria" w:eastAsia="Cambria" w:cs="Cambria"/>
          <w:sz w:val="24"/>
          <w:szCs w:val="24"/>
        </w:rPr>
        <w:t>as far as</w:t>
      </w:r>
      <w:r w:rsidRPr="2CA62BA2" w:rsidR="32088B5C">
        <w:rPr>
          <w:rFonts w:ascii="Cambria" w:hAnsi="Cambria" w:eastAsia="Cambria" w:cs="Cambria"/>
          <w:sz w:val="24"/>
          <w:szCs w:val="24"/>
        </w:rPr>
        <w:t xml:space="preserve"> it would show current trends yet soften any </w:t>
      </w:r>
      <w:r w:rsidRPr="2CA62BA2" w:rsidR="138AE878">
        <w:rPr>
          <w:rFonts w:ascii="Cambria" w:hAnsi="Cambria" w:eastAsia="Cambria" w:cs="Cambria"/>
          <w:sz w:val="24"/>
          <w:szCs w:val="24"/>
        </w:rPr>
        <w:t>short-term</w:t>
      </w:r>
      <w:r w:rsidRPr="2CA62BA2" w:rsidR="32088B5C">
        <w:rPr>
          <w:rFonts w:ascii="Cambria" w:hAnsi="Cambria" w:eastAsia="Cambria" w:cs="Cambria"/>
          <w:sz w:val="24"/>
          <w:szCs w:val="24"/>
        </w:rPr>
        <w:t xml:space="preserve"> fluctuati</w:t>
      </w:r>
      <w:r w:rsidRPr="2CA62BA2" w:rsidR="482BCA57">
        <w:rPr>
          <w:rFonts w:ascii="Cambria" w:hAnsi="Cambria" w:eastAsia="Cambria" w:cs="Cambria"/>
          <w:sz w:val="24"/>
          <w:szCs w:val="24"/>
        </w:rPr>
        <w:t>ons away from those trends.</w:t>
      </w:r>
    </w:p>
    <w:p w:rsidR="5CAE8E1E" w:rsidP="5CAE8E1E" w:rsidRDefault="5CAE8E1E" w14:paraId="78BC2ED6" w14:textId="42858E58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5CAE8E1E" w:rsidP="5CAE8E1E" w:rsidRDefault="5CAE8E1E" w14:paraId="710E4BA7" w14:textId="08E64C26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4D1BEA95" w:rsidP="5CAE8E1E" w:rsidRDefault="4D1BEA95" w14:paraId="576D178B" w14:textId="60928EE1">
      <w:pPr>
        <w:pStyle w:val="Normal"/>
        <w:spacing w:after="0" w:line="240" w:lineRule="auto"/>
        <w:rPr>
          <w:rFonts w:ascii="Cambria" w:hAnsi="Cambria" w:eastAsia="Cambria" w:cs="Cambria"/>
          <w:b w:val="1"/>
          <w:bCs w:val="1"/>
          <w:sz w:val="24"/>
          <w:szCs w:val="24"/>
        </w:rPr>
      </w:pPr>
      <w:r w:rsidRPr="2CA62BA2" w:rsidR="4D1BEA95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Defining and </w:t>
      </w:r>
      <w:r w:rsidRPr="2CA62BA2" w:rsidR="4D1BEA95">
        <w:rPr>
          <w:rFonts w:ascii="Cambria" w:hAnsi="Cambria" w:eastAsia="Cambria" w:cs="Cambria"/>
          <w:b w:val="1"/>
          <w:bCs w:val="1"/>
          <w:sz w:val="24"/>
          <w:szCs w:val="24"/>
        </w:rPr>
        <w:t>determining</w:t>
      </w:r>
      <w:r w:rsidRPr="2CA62BA2" w:rsidR="4D1BEA95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“annual </w:t>
      </w:r>
      <w:r w:rsidRPr="2CA62BA2" w:rsidR="2271322B">
        <w:rPr>
          <w:rFonts w:ascii="Cambria" w:hAnsi="Cambria" w:eastAsia="Cambria" w:cs="Cambria"/>
          <w:b w:val="1"/>
          <w:bCs w:val="1"/>
          <w:sz w:val="24"/>
          <w:szCs w:val="24"/>
        </w:rPr>
        <w:t>accommodation</w:t>
      </w:r>
      <w:r w:rsidRPr="2CA62BA2" w:rsidR="4D1BEA95">
        <w:rPr>
          <w:rFonts w:ascii="Cambria" w:hAnsi="Cambria" w:eastAsia="Cambria" w:cs="Cambria"/>
          <w:b w:val="1"/>
          <w:bCs w:val="1"/>
          <w:sz w:val="24"/>
          <w:szCs w:val="24"/>
        </w:rPr>
        <w:t xml:space="preserve"> costs</w:t>
      </w:r>
      <w:r w:rsidRPr="2CA62BA2" w:rsidR="53FFD8E8">
        <w:rPr>
          <w:rFonts w:ascii="Cambria" w:hAnsi="Cambria" w:eastAsia="Cambria" w:cs="Cambria"/>
          <w:b w:val="1"/>
          <w:bCs w:val="1"/>
          <w:sz w:val="24"/>
          <w:szCs w:val="24"/>
        </w:rPr>
        <w:t>.”</w:t>
      </w:r>
    </w:p>
    <w:p w:rsidR="29437A8F" w:rsidP="5CAE8E1E" w:rsidRDefault="29437A8F" w14:paraId="138E652C" w14:textId="5DD8CA8A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29437A8F">
        <w:rPr>
          <w:rFonts w:ascii="Cambria" w:hAnsi="Cambria" w:eastAsia="Cambria" w:cs="Cambria"/>
          <w:sz w:val="24"/>
          <w:szCs w:val="24"/>
        </w:rPr>
        <w:t xml:space="preserve">TAEH is </w:t>
      </w:r>
      <w:r w:rsidRPr="2CA62BA2" w:rsidR="38D30A81">
        <w:rPr>
          <w:rFonts w:ascii="Cambria" w:hAnsi="Cambria" w:eastAsia="Cambria" w:cs="Cambria"/>
          <w:sz w:val="24"/>
          <w:szCs w:val="24"/>
        </w:rPr>
        <w:t xml:space="preserve">also </w:t>
      </w:r>
      <w:r w:rsidRPr="2CA62BA2" w:rsidR="29437A8F">
        <w:rPr>
          <w:rFonts w:ascii="Cambria" w:hAnsi="Cambria" w:eastAsia="Cambria" w:cs="Cambria"/>
          <w:sz w:val="24"/>
          <w:szCs w:val="24"/>
        </w:rPr>
        <w:t>concerned that</w:t>
      </w:r>
      <w:r w:rsidRPr="2CA62BA2" w:rsidR="0310833B">
        <w:rPr>
          <w:rFonts w:ascii="Cambria" w:hAnsi="Cambria" w:eastAsia="Cambria" w:cs="Cambria"/>
          <w:sz w:val="24"/>
          <w:szCs w:val="24"/>
        </w:rPr>
        <w:t xml:space="preserve"> another aspect of this proposal will privilege </w:t>
      </w:r>
      <w:r w:rsidRPr="2CA62BA2" w:rsidR="58116903">
        <w:rPr>
          <w:rFonts w:ascii="Cambria" w:hAnsi="Cambria" w:eastAsia="Cambria" w:cs="Cambria"/>
          <w:sz w:val="24"/>
          <w:szCs w:val="24"/>
        </w:rPr>
        <w:t xml:space="preserve">the construction of </w:t>
      </w:r>
      <w:r w:rsidRPr="2CA62BA2" w:rsidR="0310833B">
        <w:rPr>
          <w:rFonts w:ascii="Cambria" w:hAnsi="Cambria" w:eastAsia="Cambria" w:cs="Cambria"/>
          <w:sz w:val="24"/>
          <w:szCs w:val="24"/>
        </w:rPr>
        <w:t xml:space="preserve">residential units for </w:t>
      </w:r>
      <w:r w:rsidRPr="2CA62BA2" w:rsidR="39352CC3">
        <w:rPr>
          <w:rFonts w:ascii="Cambria" w:hAnsi="Cambria" w:eastAsia="Cambria" w:cs="Cambria"/>
          <w:sz w:val="24"/>
          <w:szCs w:val="24"/>
        </w:rPr>
        <w:t xml:space="preserve">private </w:t>
      </w:r>
      <w:r w:rsidRPr="2CA62BA2" w:rsidR="0310833B">
        <w:rPr>
          <w:rFonts w:ascii="Cambria" w:hAnsi="Cambria" w:eastAsia="Cambria" w:cs="Cambria"/>
          <w:sz w:val="24"/>
          <w:szCs w:val="24"/>
        </w:rPr>
        <w:t>ownership as opposed to rental.</w:t>
      </w:r>
      <w:r w:rsidRPr="2CA62BA2" w:rsidR="01784BB4">
        <w:rPr>
          <w:rFonts w:ascii="Cambria" w:hAnsi="Cambria" w:eastAsia="Cambria" w:cs="Cambria"/>
          <w:sz w:val="24"/>
          <w:szCs w:val="24"/>
        </w:rPr>
        <w:t xml:space="preserve"> In</w:t>
      </w:r>
      <w:r w:rsidRPr="2CA62BA2" w:rsidR="116A294F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116A294F">
        <w:rPr>
          <w:rFonts w:ascii="Cambria" w:hAnsi="Cambria" w:eastAsia="Cambria" w:cs="Cambria"/>
          <w:sz w:val="24"/>
          <w:szCs w:val="24"/>
        </w:rPr>
        <w:t>determining</w:t>
      </w:r>
      <w:r w:rsidRPr="2CA62BA2" w:rsidR="116A294F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7D7165BA">
        <w:rPr>
          <w:rFonts w:ascii="Cambria" w:hAnsi="Cambria" w:eastAsia="Cambria" w:cs="Cambria"/>
          <w:sz w:val="24"/>
          <w:szCs w:val="24"/>
        </w:rPr>
        <w:t>affordability</w:t>
      </w:r>
      <w:r w:rsidRPr="2CA62BA2" w:rsidR="116A294F">
        <w:rPr>
          <w:rFonts w:ascii="Cambria" w:hAnsi="Cambria" w:eastAsia="Cambria" w:cs="Cambria"/>
          <w:sz w:val="24"/>
          <w:szCs w:val="24"/>
        </w:rPr>
        <w:t xml:space="preserve"> in house </w:t>
      </w:r>
      <w:r w:rsidRPr="2CA62BA2" w:rsidR="2D3C3909">
        <w:rPr>
          <w:rFonts w:ascii="Cambria" w:hAnsi="Cambria" w:eastAsia="Cambria" w:cs="Cambria"/>
          <w:sz w:val="24"/>
          <w:szCs w:val="24"/>
        </w:rPr>
        <w:t>purchasing</w:t>
      </w:r>
      <w:r w:rsidRPr="2CA62BA2" w:rsidR="116A294F">
        <w:rPr>
          <w:rFonts w:ascii="Cambria" w:hAnsi="Cambria" w:eastAsia="Cambria" w:cs="Cambria"/>
          <w:sz w:val="24"/>
          <w:szCs w:val="24"/>
        </w:rPr>
        <w:t xml:space="preserve">, the proposed </w:t>
      </w:r>
      <w:r w:rsidRPr="2CA62BA2" w:rsidR="5CC3D853">
        <w:rPr>
          <w:rFonts w:ascii="Cambria" w:hAnsi="Cambria" w:eastAsia="Cambria" w:cs="Cambria"/>
          <w:sz w:val="24"/>
          <w:szCs w:val="24"/>
        </w:rPr>
        <w:t>definition</w:t>
      </w:r>
      <w:r w:rsidRPr="2CA62BA2" w:rsidR="116A294F">
        <w:rPr>
          <w:rFonts w:ascii="Cambria" w:hAnsi="Cambria" w:eastAsia="Cambria" w:cs="Cambria"/>
          <w:sz w:val="24"/>
          <w:szCs w:val="24"/>
        </w:rPr>
        <w:t xml:space="preserve"> for affordable house</w:t>
      </w:r>
      <w:r w:rsidRPr="2CA62BA2" w:rsidR="0565CC06">
        <w:rPr>
          <w:rFonts w:ascii="Cambria" w:hAnsi="Cambria" w:eastAsia="Cambria" w:cs="Cambria"/>
          <w:sz w:val="24"/>
          <w:szCs w:val="24"/>
        </w:rPr>
        <w:t xml:space="preserve"> purchase price</w:t>
      </w:r>
      <w:r w:rsidRPr="2CA62BA2" w:rsidR="51C897C9">
        <w:rPr>
          <w:rFonts w:ascii="Cambria" w:hAnsi="Cambria" w:eastAsia="Cambria" w:cs="Cambria"/>
          <w:sz w:val="24"/>
          <w:szCs w:val="24"/>
        </w:rPr>
        <w:t xml:space="preserve"> in the Act </w:t>
      </w:r>
      <w:r w:rsidRPr="2CA62BA2" w:rsidR="116A294F">
        <w:rPr>
          <w:rFonts w:ascii="Cambria" w:hAnsi="Cambria" w:eastAsia="Cambria" w:cs="Cambria"/>
          <w:sz w:val="24"/>
          <w:szCs w:val="24"/>
        </w:rPr>
        <w:t xml:space="preserve">references 30% of </w:t>
      </w:r>
      <w:r w:rsidRPr="2CA62BA2" w:rsidR="4D5DC998">
        <w:rPr>
          <w:rFonts w:ascii="Cambria" w:hAnsi="Cambria" w:eastAsia="Cambria" w:cs="Cambria"/>
          <w:sz w:val="24"/>
          <w:szCs w:val="24"/>
        </w:rPr>
        <w:t>“</w:t>
      </w:r>
      <w:r w:rsidRPr="2CA62BA2" w:rsidR="5E913CFF">
        <w:rPr>
          <w:rFonts w:ascii="Cambria" w:hAnsi="Cambria" w:eastAsia="Cambria" w:cs="Cambria"/>
          <w:sz w:val="24"/>
          <w:szCs w:val="24"/>
        </w:rPr>
        <w:t>a</w:t>
      </w:r>
      <w:r w:rsidRPr="2CA62BA2" w:rsidR="4D5DC998">
        <w:rPr>
          <w:rFonts w:ascii="Cambria" w:hAnsi="Cambria" w:eastAsia="Cambria" w:cs="Cambria"/>
          <w:sz w:val="24"/>
          <w:szCs w:val="24"/>
        </w:rPr>
        <w:t xml:space="preserve">nnual accommodation costs” </w:t>
      </w:r>
      <w:r w:rsidRPr="2CA62BA2" w:rsidR="4C7129EA">
        <w:rPr>
          <w:rFonts w:ascii="Cambria" w:hAnsi="Cambria" w:eastAsia="Cambria" w:cs="Cambria"/>
          <w:sz w:val="24"/>
          <w:szCs w:val="24"/>
        </w:rPr>
        <w:t>yet this term is not defined</w:t>
      </w:r>
      <w:r w:rsidRPr="2CA62BA2" w:rsidR="4EC8359B">
        <w:rPr>
          <w:rFonts w:ascii="Cambria" w:hAnsi="Cambria" w:eastAsia="Cambria" w:cs="Cambria"/>
          <w:sz w:val="24"/>
          <w:szCs w:val="24"/>
        </w:rPr>
        <w:t xml:space="preserve"> in either the </w:t>
      </w:r>
      <w:r w:rsidRPr="2CA62BA2" w:rsidR="2F1659B1">
        <w:rPr>
          <w:rFonts w:ascii="Cambria" w:hAnsi="Cambria" w:eastAsia="Cambria" w:cs="Cambria"/>
          <w:i w:val="1"/>
          <w:iCs w:val="1"/>
          <w:sz w:val="24"/>
          <w:szCs w:val="24"/>
        </w:rPr>
        <w:t xml:space="preserve">PPS </w:t>
      </w:r>
      <w:r w:rsidRPr="2CA62BA2" w:rsidR="2F1659B1">
        <w:rPr>
          <w:rFonts w:ascii="Cambria" w:hAnsi="Cambria" w:eastAsia="Cambria" w:cs="Cambria"/>
          <w:i w:val="0"/>
          <w:iCs w:val="0"/>
          <w:sz w:val="24"/>
          <w:szCs w:val="24"/>
        </w:rPr>
        <w:t>or</w:t>
      </w:r>
      <w:r w:rsidRPr="2CA62BA2" w:rsidR="4EC8359B">
        <w:rPr>
          <w:rFonts w:ascii="Cambria" w:hAnsi="Cambria" w:eastAsia="Cambria" w:cs="Cambria"/>
          <w:sz w:val="24"/>
          <w:szCs w:val="24"/>
        </w:rPr>
        <w:t xml:space="preserve"> in the proposed amendment to the</w:t>
      </w:r>
      <w:r w:rsidRPr="2CA62BA2" w:rsidR="5F6AC003">
        <w:rPr>
          <w:rFonts w:ascii="Cambria" w:hAnsi="Cambria" w:eastAsia="Cambria" w:cs="Cambria"/>
          <w:sz w:val="24"/>
          <w:szCs w:val="24"/>
        </w:rPr>
        <w:t xml:space="preserve"> Act</w:t>
      </w:r>
      <w:r w:rsidRPr="2CA62BA2" w:rsidR="2D8CBDFF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0ED9CBF4">
        <w:rPr>
          <w:rFonts w:ascii="Cambria" w:hAnsi="Cambria" w:eastAsia="Cambria" w:cs="Cambria"/>
          <w:sz w:val="24"/>
          <w:szCs w:val="24"/>
        </w:rPr>
        <w:t>It is unclear</w:t>
      </w:r>
      <w:r w:rsidRPr="2CA62BA2" w:rsidR="0F5DFE16">
        <w:rPr>
          <w:rFonts w:ascii="Cambria" w:hAnsi="Cambria" w:eastAsia="Cambria" w:cs="Cambria"/>
          <w:sz w:val="24"/>
          <w:szCs w:val="24"/>
        </w:rPr>
        <w:t xml:space="preserve"> whether it relates to property t</w:t>
      </w:r>
      <w:r w:rsidRPr="2CA62BA2" w:rsidR="4C7129EA">
        <w:rPr>
          <w:rFonts w:ascii="Cambria" w:hAnsi="Cambria" w:eastAsia="Cambria" w:cs="Cambria"/>
          <w:sz w:val="24"/>
          <w:szCs w:val="24"/>
        </w:rPr>
        <w:t>axes, mortgage indebtedness,</w:t>
      </w:r>
      <w:r w:rsidRPr="2CA62BA2" w:rsidR="4A2CAA3E">
        <w:rPr>
          <w:rFonts w:ascii="Cambria" w:hAnsi="Cambria" w:eastAsia="Cambria" w:cs="Cambria"/>
          <w:sz w:val="24"/>
          <w:szCs w:val="24"/>
        </w:rPr>
        <w:t xml:space="preserve"> hydro, and/or water costs</w:t>
      </w:r>
      <w:r w:rsidRPr="2CA62BA2" w:rsidR="479C4CE3">
        <w:rPr>
          <w:rFonts w:ascii="Cambria" w:hAnsi="Cambria" w:eastAsia="Cambria" w:cs="Cambria"/>
          <w:sz w:val="24"/>
          <w:szCs w:val="24"/>
        </w:rPr>
        <w:t>, or if</w:t>
      </w:r>
      <w:r w:rsidRPr="2CA62BA2" w:rsidR="61BD6BA4">
        <w:rPr>
          <w:rFonts w:ascii="Cambria" w:hAnsi="Cambria" w:eastAsia="Cambria" w:cs="Cambria"/>
          <w:sz w:val="24"/>
          <w:szCs w:val="24"/>
        </w:rPr>
        <w:t xml:space="preserve"> there a </w:t>
      </w:r>
      <w:r w:rsidRPr="2CA62BA2" w:rsidR="56AD664C">
        <w:rPr>
          <w:rFonts w:ascii="Cambria" w:hAnsi="Cambria" w:eastAsia="Cambria" w:cs="Cambria"/>
          <w:sz w:val="24"/>
          <w:szCs w:val="24"/>
        </w:rPr>
        <w:t>component</w:t>
      </w:r>
      <w:r w:rsidRPr="2CA62BA2" w:rsidR="61BD6BA4">
        <w:rPr>
          <w:rFonts w:ascii="Cambria" w:hAnsi="Cambria" w:eastAsia="Cambria" w:cs="Cambria"/>
          <w:sz w:val="24"/>
          <w:szCs w:val="24"/>
        </w:rPr>
        <w:t xml:space="preserve"> for wear and tear or capital repairs</w:t>
      </w:r>
      <w:r w:rsidRPr="2CA62BA2" w:rsidR="6C0CA81A">
        <w:rPr>
          <w:rFonts w:ascii="Cambria" w:hAnsi="Cambria" w:eastAsia="Cambria" w:cs="Cambria"/>
          <w:sz w:val="24"/>
          <w:szCs w:val="24"/>
        </w:rPr>
        <w:t>.</w:t>
      </w:r>
      <w:r w:rsidRPr="2CA62BA2" w:rsidR="470BF6EA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61BD6BA4">
        <w:rPr>
          <w:rFonts w:ascii="Cambria" w:hAnsi="Cambria" w:eastAsia="Cambria" w:cs="Cambria"/>
          <w:sz w:val="24"/>
          <w:szCs w:val="24"/>
        </w:rPr>
        <w:t>While some of these costs are readily ascertainable</w:t>
      </w:r>
      <w:r w:rsidRPr="2CA62BA2" w:rsidR="38F44622">
        <w:rPr>
          <w:rFonts w:ascii="Cambria" w:hAnsi="Cambria" w:eastAsia="Cambria" w:cs="Cambria"/>
          <w:sz w:val="24"/>
          <w:szCs w:val="24"/>
        </w:rPr>
        <w:t xml:space="preserve"> or determinable</w:t>
      </w:r>
      <w:r w:rsidRPr="2CA62BA2" w:rsidR="61BD6BA4">
        <w:rPr>
          <w:rFonts w:ascii="Cambria" w:hAnsi="Cambria" w:eastAsia="Cambria" w:cs="Cambria"/>
          <w:sz w:val="24"/>
          <w:szCs w:val="24"/>
        </w:rPr>
        <w:t xml:space="preserve">, </w:t>
      </w:r>
      <w:r w:rsidRPr="2CA62BA2" w:rsidR="314759D9">
        <w:rPr>
          <w:rFonts w:ascii="Cambria" w:hAnsi="Cambria" w:eastAsia="Cambria" w:cs="Cambria"/>
          <w:sz w:val="24"/>
          <w:szCs w:val="24"/>
        </w:rPr>
        <w:t xml:space="preserve">some, such as indebtedness, are not. </w:t>
      </w:r>
    </w:p>
    <w:p w:rsidR="5CAE8E1E" w:rsidP="5CAE8E1E" w:rsidRDefault="5CAE8E1E" w14:paraId="4ABDA5EE" w14:textId="62C03680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75848EAB" w:rsidP="5CAE8E1E" w:rsidRDefault="75848EAB" w14:paraId="0A19C87A" w14:textId="79307F6D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75848EAB">
        <w:rPr>
          <w:rFonts w:ascii="Cambria" w:hAnsi="Cambria" w:eastAsia="Cambria" w:cs="Cambria"/>
          <w:sz w:val="24"/>
          <w:szCs w:val="24"/>
        </w:rPr>
        <w:t>It is also the case in Ontario, with certa</w:t>
      </w:r>
      <w:r w:rsidRPr="2CA62BA2" w:rsidR="342973DD">
        <w:rPr>
          <w:rFonts w:ascii="Cambria" w:hAnsi="Cambria" w:eastAsia="Cambria" w:cs="Cambria"/>
          <w:sz w:val="24"/>
          <w:szCs w:val="24"/>
        </w:rPr>
        <w:t>in “</w:t>
      </w:r>
      <w:r w:rsidRPr="2CA62BA2" w:rsidR="262B7780">
        <w:rPr>
          <w:rFonts w:ascii="Cambria" w:hAnsi="Cambria" w:eastAsia="Cambria" w:cs="Cambria"/>
          <w:sz w:val="24"/>
          <w:szCs w:val="24"/>
        </w:rPr>
        <w:t>a</w:t>
      </w:r>
      <w:r w:rsidRPr="2CA62BA2" w:rsidR="479D53BB">
        <w:rPr>
          <w:rFonts w:ascii="Cambria" w:hAnsi="Cambria" w:eastAsia="Cambria" w:cs="Cambria"/>
          <w:sz w:val="24"/>
          <w:szCs w:val="24"/>
        </w:rPr>
        <w:t>nnual a</w:t>
      </w:r>
      <w:r w:rsidRPr="2CA62BA2" w:rsidR="262B7780">
        <w:rPr>
          <w:rFonts w:ascii="Cambria" w:hAnsi="Cambria" w:eastAsia="Cambria" w:cs="Cambria"/>
          <w:sz w:val="24"/>
          <w:szCs w:val="24"/>
        </w:rPr>
        <w:t>ccommodation</w:t>
      </w:r>
      <w:r w:rsidRPr="2CA62BA2" w:rsidR="342973DD">
        <w:rPr>
          <w:rFonts w:ascii="Cambria" w:hAnsi="Cambria" w:eastAsia="Cambria" w:cs="Cambria"/>
          <w:sz w:val="24"/>
          <w:szCs w:val="24"/>
        </w:rPr>
        <w:t xml:space="preserve"> costs” </w:t>
      </w:r>
      <w:r w:rsidRPr="2CA62BA2" w:rsidR="4875C501">
        <w:rPr>
          <w:rFonts w:ascii="Cambria" w:hAnsi="Cambria" w:eastAsia="Cambria" w:cs="Cambria"/>
          <w:sz w:val="24"/>
          <w:szCs w:val="24"/>
        </w:rPr>
        <w:t xml:space="preserve">being </w:t>
      </w:r>
      <w:r w:rsidRPr="2CA62BA2" w:rsidR="342973DD">
        <w:rPr>
          <w:rFonts w:ascii="Cambria" w:hAnsi="Cambria" w:eastAsia="Cambria" w:cs="Cambria"/>
          <w:sz w:val="24"/>
          <w:szCs w:val="24"/>
        </w:rPr>
        <w:t xml:space="preserve">passed on to tenants, </w:t>
      </w:r>
      <w:r w:rsidRPr="2CA62BA2" w:rsidR="1F81D20F">
        <w:rPr>
          <w:rFonts w:ascii="Cambria" w:hAnsi="Cambria" w:eastAsia="Cambria" w:cs="Cambria"/>
          <w:sz w:val="24"/>
          <w:szCs w:val="24"/>
        </w:rPr>
        <w:t xml:space="preserve">plus an </w:t>
      </w:r>
      <w:r w:rsidRPr="2CA62BA2" w:rsidR="1F81D20F">
        <w:rPr>
          <w:rFonts w:ascii="Cambria" w:hAnsi="Cambria" w:eastAsia="Cambria" w:cs="Cambria"/>
          <w:sz w:val="24"/>
          <w:szCs w:val="24"/>
        </w:rPr>
        <w:t>additional</w:t>
      </w:r>
      <w:r w:rsidRPr="2CA62BA2" w:rsidR="1F81D20F">
        <w:rPr>
          <w:rFonts w:ascii="Cambria" w:hAnsi="Cambria" w:eastAsia="Cambria" w:cs="Cambria"/>
          <w:sz w:val="24"/>
          <w:szCs w:val="24"/>
        </w:rPr>
        <w:t xml:space="preserve"> profit margin, </w:t>
      </w:r>
      <w:r w:rsidRPr="2CA62BA2" w:rsidR="342973DD">
        <w:rPr>
          <w:rFonts w:ascii="Cambria" w:hAnsi="Cambria" w:eastAsia="Cambria" w:cs="Cambria"/>
          <w:sz w:val="24"/>
          <w:szCs w:val="24"/>
        </w:rPr>
        <w:t xml:space="preserve">that the cost of owning a </w:t>
      </w:r>
      <w:r w:rsidRPr="2CA62BA2" w:rsidR="342973DD">
        <w:rPr>
          <w:rFonts w:ascii="Cambria" w:hAnsi="Cambria" w:eastAsia="Cambria" w:cs="Cambria"/>
          <w:sz w:val="24"/>
          <w:szCs w:val="24"/>
        </w:rPr>
        <w:t>property</w:t>
      </w:r>
      <w:r w:rsidRPr="2CA62BA2" w:rsidR="6CEBF4CC">
        <w:rPr>
          <w:rFonts w:ascii="Cambria" w:hAnsi="Cambria" w:eastAsia="Cambria" w:cs="Cambria"/>
          <w:sz w:val="24"/>
          <w:szCs w:val="24"/>
        </w:rPr>
        <w:t xml:space="preserve"> compared to renting the same </w:t>
      </w:r>
      <w:r w:rsidRPr="2CA62BA2" w:rsidR="134FB457">
        <w:rPr>
          <w:rFonts w:ascii="Cambria" w:hAnsi="Cambria" w:eastAsia="Cambria" w:cs="Cambria"/>
          <w:sz w:val="24"/>
          <w:szCs w:val="24"/>
        </w:rPr>
        <w:t xml:space="preserve">property </w:t>
      </w:r>
      <w:r w:rsidRPr="2CA62BA2" w:rsidR="6CEBF4CC">
        <w:rPr>
          <w:rFonts w:ascii="Cambria" w:hAnsi="Cambria" w:eastAsia="Cambria" w:cs="Cambria"/>
          <w:sz w:val="24"/>
          <w:szCs w:val="24"/>
        </w:rPr>
        <w:t>is lower</w:t>
      </w:r>
      <w:r w:rsidRPr="2CA62BA2" w:rsidR="6566BE49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6CEBF4CC">
        <w:rPr>
          <w:rFonts w:ascii="Cambria" w:hAnsi="Cambria" w:eastAsia="Cambria" w:cs="Cambria"/>
          <w:sz w:val="24"/>
          <w:szCs w:val="24"/>
        </w:rPr>
        <w:t xml:space="preserve">Were this not the case, home ownership would be </w:t>
      </w:r>
      <w:r w:rsidRPr="2CA62BA2" w:rsidR="6CEBF4CC">
        <w:rPr>
          <w:rFonts w:ascii="Cambria" w:hAnsi="Cambria" w:eastAsia="Cambria" w:cs="Cambria"/>
          <w:sz w:val="24"/>
          <w:szCs w:val="24"/>
        </w:rPr>
        <w:t>disincentivised</w:t>
      </w:r>
      <w:r w:rsidRPr="2CA62BA2" w:rsidR="6CEBF4CC">
        <w:rPr>
          <w:rFonts w:ascii="Cambria" w:hAnsi="Cambria" w:eastAsia="Cambria" w:cs="Cambria"/>
          <w:sz w:val="24"/>
          <w:szCs w:val="24"/>
        </w:rPr>
        <w:t xml:space="preserve">, which is patently not </w:t>
      </w:r>
      <w:r w:rsidRPr="2CA62BA2" w:rsidR="252A439A">
        <w:rPr>
          <w:rFonts w:ascii="Cambria" w:hAnsi="Cambria" w:eastAsia="Cambria" w:cs="Cambria"/>
          <w:sz w:val="24"/>
          <w:szCs w:val="24"/>
        </w:rPr>
        <w:t>evident</w:t>
      </w:r>
      <w:r w:rsidRPr="2CA62BA2" w:rsidR="0FFB4087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14DEE7CE">
        <w:rPr>
          <w:rFonts w:ascii="Cambria" w:hAnsi="Cambria" w:eastAsia="Cambria" w:cs="Cambria"/>
          <w:sz w:val="24"/>
          <w:szCs w:val="24"/>
        </w:rPr>
        <w:t xml:space="preserve">The </w:t>
      </w:r>
      <w:r w:rsidRPr="2CA62BA2" w:rsidR="467B28C2">
        <w:rPr>
          <w:rFonts w:ascii="Cambria" w:hAnsi="Cambria" w:eastAsia="Cambria" w:cs="Cambria"/>
          <w:sz w:val="24"/>
          <w:szCs w:val="24"/>
        </w:rPr>
        <w:t>larg</w:t>
      </w:r>
      <w:r w:rsidRPr="2CA62BA2" w:rsidR="078AB68B">
        <w:rPr>
          <w:rFonts w:ascii="Cambria" w:hAnsi="Cambria" w:eastAsia="Cambria" w:cs="Cambria"/>
          <w:sz w:val="24"/>
          <w:szCs w:val="24"/>
        </w:rPr>
        <w:t>e</w:t>
      </w:r>
      <w:r w:rsidRPr="2CA62BA2" w:rsidR="0BC21BCD">
        <w:rPr>
          <w:rFonts w:ascii="Cambria" w:hAnsi="Cambria" w:eastAsia="Cambria" w:cs="Cambria"/>
          <w:sz w:val="24"/>
          <w:szCs w:val="24"/>
        </w:rPr>
        <w:t xml:space="preserve">r the bundle of costs included, and the </w:t>
      </w:r>
      <w:r w:rsidRPr="2CA62BA2" w:rsidR="750B76A7">
        <w:rPr>
          <w:rFonts w:ascii="Cambria" w:hAnsi="Cambria" w:eastAsia="Cambria" w:cs="Cambria"/>
          <w:sz w:val="24"/>
          <w:szCs w:val="24"/>
        </w:rPr>
        <w:t>high</w:t>
      </w:r>
      <w:r w:rsidRPr="2CA62BA2" w:rsidR="14DEE7CE">
        <w:rPr>
          <w:rFonts w:ascii="Cambria" w:hAnsi="Cambria" w:eastAsia="Cambria" w:cs="Cambria"/>
          <w:sz w:val="24"/>
          <w:szCs w:val="24"/>
        </w:rPr>
        <w:t xml:space="preserve">er this </w:t>
      </w:r>
      <w:r w:rsidRPr="2CA62BA2" w:rsidR="14DEE7CE">
        <w:rPr>
          <w:rFonts w:ascii="Cambria" w:hAnsi="Cambria" w:eastAsia="Cambria" w:cs="Cambria"/>
          <w:sz w:val="24"/>
          <w:szCs w:val="24"/>
        </w:rPr>
        <w:t>value</w:t>
      </w:r>
      <w:r w:rsidRPr="2CA62BA2" w:rsidR="393CD5FC">
        <w:rPr>
          <w:rFonts w:ascii="Cambria" w:hAnsi="Cambria" w:eastAsia="Cambria" w:cs="Cambria"/>
          <w:sz w:val="24"/>
          <w:szCs w:val="24"/>
        </w:rPr>
        <w:t xml:space="preserve"> is overall</w:t>
      </w:r>
      <w:r w:rsidRPr="2CA62BA2" w:rsidR="14DEE7CE">
        <w:rPr>
          <w:rFonts w:ascii="Cambria" w:hAnsi="Cambria" w:eastAsia="Cambria" w:cs="Cambria"/>
          <w:sz w:val="24"/>
          <w:szCs w:val="24"/>
        </w:rPr>
        <w:t xml:space="preserve">, the </w:t>
      </w:r>
      <w:r w:rsidRPr="2CA62BA2" w:rsidR="14DEE7CE">
        <w:rPr>
          <w:rFonts w:ascii="Cambria" w:hAnsi="Cambria" w:eastAsia="Cambria" w:cs="Cambria"/>
          <w:sz w:val="24"/>
          <w:szCs w:val="24"/>
        </w:rPr>
        <w:t>more expensive a property can be that still qualifies</w:t>
      </w:r>
      <w:r w:rsidRPr="2CA62BA2" w:rsidR="72707CE9">
        <w:rPr>
          <w:rFonts w:ascii="Cambria" w:hAnsi="Cambria" w:eastAsia="Cambria" w:cs="Cambria"/>
          <w:sz w:val="24"/>
          <w:szCs w:val="24"/>
        </w:rPr>
        <w:t xml:space="preserve"> as</w:t>
      </w:r>
      <w:r w:rsidRPr="2CA62BA2" w:rsidR="14DEE7CE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529E1BCB">
        <w:rPr>
          <w:rFonts w:ascii="Cambria" w:hAnsi="Cambria" w:eastAsia="Cambria" w:cs="Cambria"/>
          <w:sz w:val="24"/>
          <w:szCs w:val="24"/>
        </w:rPr>
        <w:t>being un</w:t>
      </w:r>
      <w:r w:rsidRPr="2CA62BA2" w:rsidR="14DEE7CE">
        <w:rPr>
          <w:rFonts w:ascii="Cambria" w:hAnsi="Cambria" w:eastAsia="Cambria" w:cs="Cambria"/>
          <w:sz w:val="24"/>
          <w:szCs w:val="24"/>
        </w:rPr>
        <w:t>affordable</w:t>
      </w:r>
      <w:r w:rsidRPr="2CA62BA2" w:rsidR="233B1F79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4C11FFFE">
        <w:rPr>
          <w:rFonts w:ascii="Cambria" w:hAnsi="Cambria" w:eastAsia="Cambria" w:cs="Cambria"/>
          <w:sz w:val="24"/>
          <w:szCs w:val="24"/>
        </w:rPr>
        <w:t xml:space="preserve">This is another way in which the discretion of the Minister in </w:t>
      </w:r>
      <w:r w:rsidRPr="2CA62BA2" w:rsidR="4C11FFFE">
        <w:rPr>
          <w:rFonts w:ascii="Cambria" w:hAnsi="Cambria" w:eastAsia="Cambria" w:cs="Cambria"/>
          <w:sz w:val="24"/>
          <w:szCs w:val="24"/>
        </w:rPr>
        <w:t>determining</w:t>
      </w:r>
      <w:r w:rsidRPr="2CA62BA2" w:rsidR="4C11FFFE">
        <w:rPr>
          <w:rFonts w:ascii="Cambria" w:hAnsi="Cambria" w:eastAsia="Cambria" w:cs="Cambria"/>
          <w:sz w:val="24"/>
          <w:szCs w:val="24"/>
        </w:rPr>
        <w:t xml:space="preserve"> this bundle of costs</w:t>
      </w:r>
      <w:r w:rsidRPr="2CA62BA2" w:rsidR="43FF1E94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37BFA86E">
        <w:rPr>
          <w:rFonts w:ascii="Cambria" w:hAnsi="Cambria" w:eastAsia="Cambria" w:cs="Cambria"/>
          <w:sz w:val="24"/>
          <w:szCs w:val="24"/>
        </w:rPr>
        <w:t>c</w:t>
      </w:r>
      <w:r w:rsidRPr="2CA62BA2" w:rsidR="7D334999">
        <w:rPr>
          <w:rFonts w:ascii="Cambria" w:hAnsi="Cambria" w:eastAsia="Cambria" w:cs="Cambria"/>
          <w:sz w:val="24"/>
          <w:szCs w:val="24"/>
        </w:rPr>
        <w:t>ould</w:t>
      </w:r>
      <w:r w:rsidRPr="2CA62BA2" w:rsidR="37BFA86E">
        <w:rPr>
          <w:rFonts w:ascii="Cambria" w:hAnsi="Cambria" w:eastAsia="Cambria" w:cs="Cambria"/>
          <w:sz w:val="24"/>
          <w:szCs w:val="24"/>
        </w:rPr>
        <w:t xml:space="preserve"> make it more likely that developers will build </w:t>
      </w:r>
      <w:r w:rsidRPr="2CA62BA2" w:rsidR="2351912D">
        <w:rPr>
          <w:rFonts w:ascii="Cambria" w:hAnsi="Cambria" w:eastAsia="Cambria" w:cs="Cambria"/>
          <w:sz w:val="24"/>
          <w:szCs w:val="24"/>
        </w:rPr>
        <w:t xml:space="preserve">ownership </w:t>
      </w:r>
      <w:r w:rsidRPr="2CA62BA2" w:rsidR="44F21960">
        <w:rPr>
          <w:rFonts w:ascii="Cambria" w:hAnsi="Cambria" w:eastAsia="Cambria" w:cs="Cambria"/>
          <w:sz w:val="24"/>
          <w:szCs w:val="24"/>
        </w:rPr>
        <w:t>housing,</w:t>
      </w:r>
      <w:r w:rsidRPr="2CA62BA2" w:rsidR="2351912D">
        <w:rPr>
          <w:rFonts w:ascii="Cambria" w:hAnsi="Cambria" w:eastAsia="Cambria" w:cs="Cambria"/>
          <w:sz w:val="24"/>
          <w:szCs w:val="24"/>
        </w:rPr>
        <w:t xml:space="preserve"> as opposed to </w:t>
      </w:r>
      <w:r w:rsidRPr="2CA62BA2" w:rsidR="37BFA86E">
        <w:rPr>
          <w:rFonts w:ascii="Cambria" w:hAnsi="Cambria" w:eastAsia="Cambria" w:cs="Cambria"/>
          <w:sz w:val="24"/>
          <w:szCs w:val="24"/>
        </w:rPr>
        <w:t>residential units for</w:t>
      </w:r>
      <w:r w:rsidRPr="2CA62BA2" w:rsidR="29B82791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37BFA86E">
        <w:rPr>
          <w:rFonts w:ascii="Cambria" w:hAnsi="Cambria" w:eastAsia="Cambria" w:cs="Cambria"/>
          <w:sz w:val="24"/>
          <w:szCs w:val="24"/>
        </w:rPr>
        <w:t>renters.</w:t>
      </w:r>
    </w:p>
    <w:p w:rsidR="5CAE8E1E" w:rsidP="5CAE8E1E" w:rsidRDefault="5CAE8E1E" w14:paraId="215CFEA6" w14:textId="79548774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1E1A7202" w:rsidP="5CAE8E1E" w:rsidRDefault="1E1A7202" w14:paraId="0EFD8391" w14:textId="47E54B07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1E1A7202">
        <w:rPr>
          <w:rFonts w:ascii="Cambria" w:hAnsi="Cambria" w:eastAsia="Cambria" w:cs="Cambria"/>
          <w:sz w:val="24"/>
          <w:szCs w:val="24"/>
        </w:rPr>
        <w:t xml:space="preserve">Likewise, while some costs of home ownership, such as mortgage payments, are indeed tied to the purchase price of a home, others, such as hydro and water bills, are </w:t>
      </w:r>
      <w:r w:rsidRPr="2CA62BA2" w:rsidR="5658C0CF">
        <w:rPr>
          <w:rFonts w:ascii="Cambria" w:hAnsi="Cambria" w:eastAsia="Cambria" w:cs="Cambria"/>
          <w:sz w:val="24"/>
          <w:szCs w:val="24"/>
        </w:rPr>
        <w:t>not, and others, such as capital repairs scale with price but not in a linear manner</w:t>
      </w:r>
      <w:r w:rsidRPr="2CA62BA2" w:rsidR="12A854C2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5658C0CF">
        <w:rPr>
          <w:rFonts w:ascii="Cambria" w:hAnsi="Cambria" w:eastAsia="Cambria" w:cs="Cambria"/>
          <w:sz w:val="24"/>
          <w:szCs w:val="24"/>
        </w:rPr>
        <w:t>As such, whatever inp</w:t>
      </w:r>
      <w:r w:rsidRPr="2CA62BA2" w:rsidR="2146A0A7">
        <w:rPr>
          <w:rFonts w:ascii="Cambria" w:hAnsi="Cambria" w:eastAsia="Cambria" w:cs="Cambria"/>
          <w:sz w:val="24"/>
          <w:szCs w:val="24"/>
        </w:rPr>
        <w:t xml:space="preserve">uts are used in the arrived at calculation, such inputs must be </w:t>
      </w:r>
      <w:r w:rsidRPr="2CA62BA2" w:rsidR="2146A0A7">
        <w:rPr>
          <w:rFonts w:ascii="Cambria" w:hAnsi="Cambria" w:eastAsia="Cambria" w:cs="Cambria"/>
          <w:sz w:val="24"/>
          <w:szCs w:val="24"/>
        </w:rPr>
        <w:t>modified</w:t>
      </w:r>
      <w:r w:rsidRPr="2CA62BA2" w:rsidR="2146A0A7">
        <w:rPr>
          <w:rFonts w:ascii="Cambria" w:hAnsi="Cambria" w:eastAsia="Cambria" w:cs="Cambria"/>
          <w:sz w:val="24"/>
          <w:szCs w:val="24"/>
        </w:rPr>
        <w:t xml:space="preserve"> to </w:t>
      </w:r>
      <w:r w:rsidRPr="2CA62BA2" w:rsidR="66521C3C">
        <w:rPr>
          <w:rFonts w:ascii="Cambria" w:hAnsi="Cambria" w:eastAsia="Cambria" w:cs="Cambria"/>
          <w:sz w:val="24"/>
          <w:szCs w:val="24"/>
        </w:rPr>
        <w:t>reflect</w:t>
      </w:r>
      <w:r w:rsidRPr="2CA62BA2" w:rsidR="2146A0A7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2146A0A7">
        <w:rPr>
          <w:rFonts w:ascii="Cambria" w:hAnsi="Cambria" w:eastAsia="Cambria" w:cs="Cambria"/>
          <w:sz w:val="24"/>
          <w:szCs w:val="24"/>
        </w:rPr>
        <w:t>how closely such costs scale with valuation, otherwise more expensive h</w:t>
      </w:r>
      <w:r w:rsidRPr="2CA62BA2" w:rsidR="7216E4C0">
        <w:rPr>
          <w:rFonts w:ascii="Cambria" w:hAnsi="Cambria" w:eastAsia="Cambria" w:cs="Cambria"/>
          <w:sz w:val="24"/>
          <w:szCs w:val="24"/>
        </w:rPr>
        <w:t xml:space="preserve">omes will </w:t>
      </w:r>
      <w:r w:rsidRPr="2CA62BA2" w:rsidR="15958F3A">
        <w:rPr>
          <w:rFonts w:ascii="Cambria" w:hAnsi="Cambria" w:eastAsia="Cambria" w:cs="Cambria"/>
          <w:sz w:val="24"/>
          <w:szCs w:val="24"/>
        </w:rPr>
        <w:t>be more likely to be determined to be affordable under the proposed definition</w:t>
      </w:r>
      <w:r w:rsidRPr="2CA62BA2" w:rsidR="1C13F7EC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15958F3A">
        <w:rPr>
          <w:rFonts w:ascii="Cambria" w:hAnsi="Cambria" w:eastAsia="Cambria" w:cs="Cambria"/>
          <w:sz w:val="24"/>
          <w:szCs w:val="24"/>
        </w:rPr>
        <w:t>As noted above, developers w</w:t>
      </w:r>
      <w:r w:rsidRPr="2CA62BA2" w:rsidR="24F7016E">
        <w:rPr>
          <w:rFonts w:ascii="Cambria" w:hAnsi="Cambria" w:eastAsia="Cambria" w:cs="Cambria"/>
          <w:sz w:val="24"/>
          <w:szCs w:val="24"/>
        </w:rPr>
        <w:t xml:space="preserve">ill prefer constructing higher value ownership housing over lower value </w:t>
      </w:r>
      <w:r w:rsidRPr="2CA62BA2" w:rsidR="797FC3E3">
        <w:rPr>
          <w:rFonts w:ascii="Cambria" w:hAnsi="Cambria" w:eastAsia="Cambria" w:cs="Cambria"/>
          <w:sz w:val="24"/>
          <w:szCs w:val="24"/>
        </w:rPr>
        <w:t>rental</w:t>
      </w:r>
      <w:r w:rsidRPr="2CA62BA2" w:rsidR="24F7016E">
        <w:rPr>
          <w:rFonts w:ascii="Cambria" w:hAnsi="Cambria" w:eastAsia="Cambria" w:cs="Cambria"/>
          <w:sz w:val="24"/>
          <w:szCs w:val="24"/>
        </w:rPr>
        <w:t xml:space="preserve"> buildings, all other things being </w:t>
      </w:r>
      <w:r w:rsidRPr="2CA62BA2" w:rsidR="04497407">
        <w:rPr>
          <w:rFonts w:ascii="Cambria" w:hAnsi="Cambria" w:eastAsia="Cambria" w:cs="Cambria"/>
          <w:sz w:val="24"/>
          <w:szCs w:val="24"/>
        </w:rPr>
        <w:t>equal, and such a bias would weaken provincial and municipal City of Toronto policies to i</w:t>
      </w:r>
      <w:r w:rsidRPr="2CA62BA2" w:rsidR="74C611A1">
        <w:rPr>
          <w:rFonts w:ascii="Cambria" w:hAnsi="Cambria" w:eastAsia="Cambria" w:cs="Cambria"/>
          <w:sz w:val="24"/>
          <w:szCs w:val="24"/>
        </w:rPr>
        <w:t>ncrease affordable rental housing construction.</w:t>
      </w:r>
      <w:r w:rsidRPr="2CA62BA2" w:rsidR="5658C0CF">
        <w:rPr>
          <w:rFonts w:ascii="Cambria" w:hAnsi="Cambria" w:eastAsia="Cambria" w:cs="Cambria"/>
          <w:sz w:val="24"/>
          <w:szCs w:val="24"/>
        </w:rPr>
        <w:t xml:space="preserve"> </w:t>
      </w:r>
    </w:p>
    <w:p w:rsidR="14DEE7CE" w:rsidP="5CAE8E1E" w:rsidRDefault="14DEE7CE" w14:paraId="6067BB17" w14:textId="5F367D91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5CAE8E1E" w:rsidR="14DEE7CE">
        <w:rPr>
          <w:rFonts w:ascii="Cambria" w:hAnsi="Cambria" w:eastAsia="Cambria" w:cs="Cambria"/>
          <w:sz w:val="24"/>
          <w:szCs w:val="24"/>
        </w:rPr>
        <w:t xml:space="preserve"> </w:t>
      </w:r>
      <w:r w:rsidRPr="5CAE8E1E" w:rsidR="314759D9">
        <w:rPr>
          <w:rFonts w:ascii="Cambria" w:hAnsi="Cambria" w:eastAsia="Cambria" w:cs="Cambria"/>
          <w:sz w:val="24"/>
          <w:szCs w:val="24"/>
        </w:rPr>
        <w:t xml:space="preserve"> </w:t>
      </w:r>
    </w:p>
    <w:p w:rsidR="0C36C8CF" w:rsidP="2CA62BA2" w:rsidRDefault="0C36C8CF" w14:paraId="36C2B30B" w14:textId="7B19A8D5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7FCE9563">
        <w:rPr>
          <w:rFonts w:ascii="Cambria" w:hAnsi="Cambria" w:eastAsia="Cambria" w:cs="Cambria"/>
          <w:sz w:val="24"/>
          <w:szCs w:val="24"/>
        </w:rPr>
        <w:t>TAEH believes that a related concern</w:t>
      </w:r>
      <w:r w:rsidRPr="2CA62BA2" w:rsidR="31661B66">
        <w:rPr>
          <w:rFonts w:ascii="Cambria" w:hAnsi="Cambria" w:eastAsia="Cambria" w:cs="Cambria"/>
          <w:sz w:val="24"/>
          <w:szCs w:val="24"/>
        </w:rPr>
        <w:t xml:space="preserve"> is that the </w:t>
      </w:r>
      <w:r w:rsidRPr="2CA62BA2" w:rsidR="31661B66">
        <w:rPr>
          <w:rFonts w:ascii="Cambria" w:hAnsi="Cambria" w:eastAsia="Cambria" w:cs="Cambria"/>
          <w:sz w:val="24"/>
          <w:szCs w:val="24"/>
        </w:rPr>
        <w:t xml:space="preserve">manner of calculation </w:t>
      </w:r>
      <w:r w:rsidRPr="2CA62BA2" w:rsidR="4F2AC7BD">
        <w:rPr>
          <w:rFonts w:ascii="Cambria" w:hAnsi="Cambria" w:eastAsia="Cambria" w:cs="Cambria"/>
          <w:sz w:val="24"/>
          <w:szCs w:val="24"/>
        </w:rPr>
        <w:t>is</w:t>
      </w:r>
      <w:r w:rsidRPr="2CA62BA2" w:rsidR="31661B66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3842AAD2">
        <w:rPr>
          <w:rFonts w:ascii="Cambria" w:hAnsi="Cambria" w:eastAsia="Cambria" w:cs="Cambria"/>
          <w:sz w:val="24"/>
          <w:szCs w:val="24"/>
        </w:rPr>
        <w:t>different</w:t>
      </w:r>
      <w:r w:rsidRPr="2CA62BA2" w:rsidR="31661B66">
        <w:rPr>
          <w:rFonts w:ascii="Cambria" w:hAnsi="Cambria" w:eastAsia="Cambria" w:cs="Cambria"/>
          <w:sz w:val="24"/>
          <w:szCs w:val="24"/>
        </w:rPr>
        <w:t xml:space="preserve"> for the two classes:   </w:t>
      </w:r>
      <w:r w:rsidRPr="2CA62BA2" w:rsidR="4F5D7330">
        <w:rPr>
          <w:rFonts w:ascii="Cambria" w:hAnsi="Cambria" w:eastAsia="Cambria" w:cs="Cambria"/>
          <w:sz w:val="24"/>
          <w:szCs w:val="24"/>
        </w:rPr>
        <w:t xml:space="preserve">for renters, income </w:t>
      </w:r>
      <w:r w:rsidRPr="2CA62BA2" w:rsidR="4F5D7330">
        <w:rPr>
          <w:rFonts w:ascii="Cambria" w:hAnsi="Cambria" w:eastAsia="Cambria" w:cs="Cambria"/>
          <w:sz w:val="24"/>
          <w:szCs w:val="24"/>
        </w:rPr>
        <w:t>determines</w:t>
      </w:r>
      <w:r w:rsidRPr="2CA62BA2" w:rsidR="4F5D7330">
        <w:rPr>
          <w:rFonts w:ascii="Cambria" w:hAnsi="Cambria" w:eastAsia="Cambria" w:cs="Cambria"/>
          <w:sz w:val="24"/>
          <w:szCs w:val="24"/>
        </w:rPr>
        <w:t xml:space="preserve"> affordable rent, while for homeowners, a percentage of income</w:t>
      </w:r>
      <w:r w:rsidRPr="2CA62BA2" w:rsidR="415F76D3">
        <w:rPr>
          <w:rFonts w:ascii="Cambria" w:hAnsi="Cambria" w:eastAsia="Cambria" w:cs="Cambria"/>
          <w:sz w:val="24"/>
          <w:szCs w:val="24"/>
        </w:rPr>
        <w:t xml:space="preserve"> based on an undefined basket of costs </w:t>
      </w:r>
      <w:r w:rsidRPr="2CA62BA2" w:rsidR="415F76D3">
        <w:rPr>
          <w:rFonts w:ascii="Cambria" w:hAnsi="Cambria" w:eastAsia="Cambria" w:cs="Cambria"/>
          <w:sz w:val="24"/>
          <w:szCs w:val="24"/>
        </w:rPr>
        <w:t>determines</w:t>
      </w:r>
      <w:r w:rsidRPr="2CA62BA2" w:rsidR="415F76D3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4CA73D93">
        <w:rPr>
          <w:rFonts w:ascii="Cambria" w:hAnsi="Cambria" w:eastAsia="Cambria" w:cs="Cambria"/>
          <w:sz w:val="24"/>
          <w:szCs w:val="24"/>
        </w:rPr>
        <w:t xml:space="preserve">affordable </w:t>
      </w:r>
      <w:r w:rsidRPr="2CA62BA2" w:rsidR="415F76D3">
        <w:rPr>
          <w:rFonts w:ascii="Cambria" w:hAnsi="Cambria" w:eastAsia="Cambria" w:cs="Cambria"/>
          <w:sz w:val="24"/>
          <w:szCs w:val="24"/>
        </w:rPr>
        <w:t>purchase price</w:t>
      </w:r>
      <w:r w:rsidRPr="2CA62BA2" w:rsidR="415F76D3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3EA94136">
        <w:rPr>
          <w:rFonts w:ascii="Cambria" w:hAnsi="Cambria" w:eastAsia="Cambria" w:cs="Cambria"/>
          <w:sz w:val="24"/>
          <w:szCs w:val="24"/>
        </w:rPr>
        <w:t xml:space="preserve">Mortgage providers </w:t>
      </w:r>
      <w:r w:rsidRPr="2CA62BA2" w:rsidR="0C36E0F5">
        <w:rPr>
          <w:rFonts w:ascii="Cambria" w:hAnsi="Cambria" w:eastAsia="Cambria" w:cs="Cambria"/>
          <w:sz w:val="24"/>
          <w:szCs w:val="24"/>
        </w:rPr>
        <w:t xml:space="preserve">must </w:t>
      </w:r>
      <w:r w:rsidRPr="2CA62BA2" w:rsidR="3EA94136">
        <w:rPr>
          <w:rFonts w:ascii="Cambria" w:hAnsi="Cambria" w:eastAsia="Cambria" w:cs="Cambria"/>
          <w:sz w:val="24"/>
          <w:szCs w:val="24"/>
        </w:rPr>
        <w:t>determin</w:t>
      </w:r>
      <w:r w:rsidRPr="2CA62BA2" w:rsidR="00E2BFFE">
        <w:rPr>
          <w:rFonts w:ascii="Cambria" w:hAnsi="Cambria" w:eastAsia="Cambria" w:cs="Cambria"/>
          <w:sz w:val="24"/>
          <w:szCs w:val="24"/>
        </w:rPr>
        <w:t>e</w:t>
      </w:r>
      <w:r w:rsidRPr="2CA62BA2" w:rsidR="3EA94136">
        <w:rPr>
          <w:rFonts w:ascii="Cambria" w:hAnsi="Cambria" w:eastAsia="Cambria" w:cs="Cambria"/>
          <w:sz w:val="24"/>
          <w:szCs w:val="24"/>
        </w:rPr>
        <w:t xml:space="preserve"> affordability based on income in relation to </w:t>
      </w:r>
      <w:r w:rsidRPr="2CA62BA2" w:rsidR="3EA94136">
        <w:rPr>
          <w:rFonts w:ascii="Cambria" w:hAnsi="Cambria" w:eastAsia="Cambria" w:cs="Cambria"/>
          <w:sz w:val="24"/>
          <w:szCs w:val="24"/>
        </w:rPr>
        <w:t>purchase</w:t>
      </w:r>
      <w:r w:rsidRPr="2CA62BA2" w:rsidR="3EA94136">
        <w:rPr>
          <w:rFonts w:ascii="Cambria" w:hAnsi="Cambria" w:eastAsia="Cambria" w:cs="Cambria"/>
          <w:sz w:val="24"/>
          <w:szCs w:val="24"/>
        </w:rPr>
        <w:t xml:space="preserve"> price</w:t>
      </w:r>
      <w:r w:rsidRPr="2CA62BA2" w:rsidR="5456158F">
        <w:rPr>
          <w:rFonts w:ascii="Cambria" w:hAnsi="Cambria" w:eastAsia="Cambria" w:cs="Cambria"/>
          <w:sz w:val="24"/>
          <w:szCs w:val="24"/>
        </w:rPr>
        <w:t>,</w:t>
      </w:r>
      <w:r w:rsidRPr="2CA62BA2" w:rsidR="4DEF7F2B">
        <w:rPr>
          <w:rFonts w:ascii="Cambria" w:hAnsi="Cambria" w:eastAsia="Cambria" w:cs="Cambria"/>
          <w:sz w:val="24"/>
          <w:szCs w:val="24"/>
        </w:rPr>
        <w:t xml:space="preserve"> current interest rates</w:t>
      </w:r>
      <w:r w:rsidRPr="2CA62BA2" w:rsidR="5AE23469">
        <w:rPr>
          <w:rFonts w:ascii="Cambria" w:hAnsi="Cambria" w:eastAsia="Cambria" w:cs="Cambria"/>
          <w:sz w:val="24"/>
          <w:szCs w:val="24"/>
        </w:rPr>
        <w:t>,</w:t>
      </w:r>
      <w:r w:rsidRPr="2CA62BA2" w:rsidR="4DEF7F2B">
        <w:rPr>
          <w:rFonts w:ascii="Cambria" w:hAnsi="Cambria" w:eastAsia="Cambria" w:cs="Cambria"/>
          <w:sz w:val="24"/>
          <w:szCs w:val="24"/>
        </w:rPr>
        <w:t xml:space="preserve"> and standard terms, based on a value of no more than 25% of annual income, </w:t>
      </w:r>
      <w:r w:rsidRPr="2CA62BA2" w:rsidR="3EA94136">
        <w:rPr>
          <w:rFonts w:ascii="Cambria" w:hAnsi="Cambria" w:eastAsia="Cambria" w:cs="Cambria"/>
          <w:sz w:val="24"/>
          <w:szCs w:val="24"/>
        </w:rPr>
        <w:t>without</w:t>
      </w:r>
      <w:r w:rsidRPr="2CA62BA2" w:rsidR="129D7759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3EA94136">
        <w:rPr>
          <w:rFonts w:ascii="Cambria" w:hAnsi="Cambria" w:eastAsia="Cambria" w:cs="Cambria"/>
          <w:sz w:val="24"/>
          <w:szCs w:val="24"/>
        </w:rPr>
        <w:t>creat</w:t>
      </w:r>
      <w:r w:rsidRPr="2CA62BA2" w:rsidR="71EFE9F1">
        <w:rPr>
          <w:rFonts w:ascii="Cambria" w:hAnsi="Cambria" w:eastAsia="Cambria" w:cs="Cambria"/>
          <w:sz w:val="24"/>
          <w:szCs w:val="24"/>
        </w:rPr>
        <w:t>ing</w:t>
      </w:r>
      <w:r w:rsidRPr="2CA62BA2" w:rsidR="3EA94136">
        <w:rPr>
          <w:rFonts w:ascii="Cambria" w:hAnsi="Cambria" w:eastAsia="Cambria" w:cs="Cambria"/>
          <w:sz w:val="24"/>
          <w:szCs w:val="24"/>
        </w:rPr>
        <w:t xml:space="preserve"> an arbitrary </w:t>
      </w:r>
      <w:r w:rsidRPr="2CA62BA2" w:rsidR="76E79003">
        <w:rPr>
          <w:rFonts w:ascii="Cambria" w:hAnsi="Cambria" w:eastAsia="Cambria" w:cs="Cambria"/>
          <w:sz w:val="24"/>
          <w:szCs w:val="24"/>
        </w:rPr>
        <w:t>and notional “</w:t>
      </w:r>
      <w:r w:rsidRPr="2CA62BA2" w:rsidR="38BDFB81">
        <w:rPr>
          <w:rFonts w:ascii="Cambria" w:hAnsi="Cambria" w:eastAsia="Cambria" w:cs="Cambria"/>
          <w:sz w:val="24"/>
          <w:szCs w:val="24"/>
        </w:rPr>
        <w:t>a</w:t>
      </w:r>
      <w:r w:rsidRPr="2CA62BA2" w:rsidR="327437F6">
        <w:rPr>
          <w:rFonts w:ascii="Cambria" w:hAnsi="Cambria" w:eastAsia="Cambria" w:cs="Cambria"/>
          <w:sz w:val="24"/>
          <w:szCs w:val="24"/>
        </w:rPr>
        <w:t>nnual a</w:t>
      </w:r>
      <w:r w:rsidRPr="2CA62BA2" w:rsidR="38BDFB81">
        <w:rPr>
          <w:rFonts w:ascii="Cambria" w:hAnsi="Cambria" w:eastAsia="Cambria" w:cs="Cambria"/>
          <w:sz w:val="24"/>
          <w:szCs w:val="24"/>
        </w:rPr>
        <w:t>ccommodation</w:t>
      </w:r>
      <w:r w:rsidRPr="2CA62BA2" w:rsidR="76E79003">
        <w:rPr>
          <w:rFonts w:ascii="Cambria" w:hAnsi="Cambria" w:eastAsia="Cambria" w:cs="Cambria"/>
          <w:sz w:val="24"/>
          <w:szCs w:val="24"/>
        </w:rPr>
        <w:t xml:space="preserve"> cost.”</w:t>
      </w:r>
      <w:r w:rsidRPr="2CA62BA2" w:rsidR="7F16FA85">
        <w:rPr>
          <w:rFonts w:ascii="Cambria" w:hAnsi="Cambria" w:eastAsia="Cambria" w:cs="Cambria"/>
          <w:sz w:val="24"/>
          <w:szCs w:val="24"/>
        </w:rPr>
        <w:t xml:space="preserve"> </w:t>
      </w:r>
    </w:p>
    <w:p w:rsidR="0C36C8CF" w:rsidP="2CA62BA2" w:rsidRDefault="0C36C8CF" w14:paraId="0DF1876E" w14:textId="5DE8169A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0C36C8CF" w:rsidP="5CAE8E1E" w:rsidRDefault="0C36C8CF" w14:paraId="1FDF75A5" w14:textId="5A36F8DE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16711639">
        <w:rPr>
          <w:rFonts w:ascii="Cambria" w:hAnsi="Cambria" w:eastAsia="Cambria" w:cs="Cambria"/>
          <w:sz w:val="24"/>
          <w:szCs w:val="24"/>
        </w:rPr>
        <w:t xml:space="preserve">As such, </w:t>
      </w:r>
      <w:r w:rsidRPr="2CA62BA2" w:rsidR="36773365">
        <w:rPr>
          <w:rFonts w:ascii="Cambria" w:hAnsi="Cambria" w:eastAsia="Cambria" w:cs="Cambria"/>
          <w:sz w:val="24"/>
          <w:szCs w:val="24"/>
        </w:rPr>
        <w:t>we</w:t>
      </w:r>
      <w:r w:rsidRPr="2CA62BA2" w:rsidR="16711639">
        <w:rPr>
          <w:rFonts w:ascii="Cambria" w:hAnsi="Cambria" w:eastAsia="Cambria" w:cs="Cambria"/>
          <w:sz w:val="24"/>
          <w:szCs w:val="24"/>
        </w:rPr>
        <w:t xml:space="preserve"> recommend this term be defined in the Act and </w:t>
      </w:r>
      <w:r w:rsidRPr="2CA62BA2" w:rsidR="5A2F8DD8">
        <w:rPr>
          <w:rFonts w:ascii="Cambria" w:hAnsi="Cambria" w:eastAsia="Cambria" w:cs="Cambria"/>
          <w:sz w:val="24"/>
          <w:szCs w:val="24"/>
        </w:rPr>
        <w:t xml:space="preserve">that the definition reflects </w:t>
      </w:r>
      <w:r w:rsidRPr="2CA62BA2" w:rsidR="16711639">
        <w:rPr>
          <w:rFonts w:ascii="Cambria" w:hAnsi="Cambria" w:eastAsia="Cambria" w:cs="Cambria"/>
          <w:sz w:val="24"/>
          <w:szCs w:val="24"/>
        </w:rPr>
        <w:t xml:space="preserve">the costs traditionally assigned to home ownership by the mortgage industry in </w:t>
      </w:r>
      <w:r w:rsidRPr="2CA62BA2" w:rsidR="16711639">
        <w:rPr>
          <w:rFonts w:ascii="Cambria" w:hAnsi="Cambria" w:eastAsia="Cambria" w:cs="Cambria"/>
          <w:sz w:val="24"/>
          <w:szCs w:val="24"/>
        </w:rPr>
        <w:t>determining</w:t>
      </w:r>
      <w:r w:rsidRPr="2CA62BA2" w:rsidR="16711639">
        <w:rPr>
          <w:rFonts w:ascii="Cambria" w:hAnsi="Cambria" w:eastAsia="Cambria" w:cs="Cambria"/>
          <w:sz w:val="24"/>
          <w:szCs w:val="24"/>
        </w:rPr>
        <w:t xml:space="preserve"> the eligibility of prospective mortgage holders</w:t>
      </w:r>
      <w:r w:rsidRPr="2CA62BA2" w:rsidR="4C602822">
        <w:rPr>
          <w:rFonts w:ascii="Cambria" w:hAnsi="Cambria" w:eastAsia="Cambria" w:cs="Cambria"/>
          <w:sz w:val="24"/>
          <w:szCs w:val="24"/>
        </w:rPr>
        <w:t xml:space="preserve">. </w:t>
      </w:r>
      <w:r w:rsidRPr="2CA62BA2" w:rsidR="77A2B380">
        <w:rPr>
          <w:rFonts w:ascii="Cambria" w:hAnsi="Cambria" w:eastAsia="Cambria" w:cs="Cambria"/>
          <w:sz w:val="24"/>
          <w:szCs w:val="24"/>
        </w:rPr>
        <w:t xml:space="preserve">It may well be that </w:t>
      </w:r>
      <w:r w:rsidRPr="2CA62BA2" w:rsidR="77A2B380">
        <w:rPr>
          <w:rFonts w:ascii="Cambria" w:hAnsi="Cambria" w:eastAsia="Cambria" w:cs="Cambria"/>
          <w:sz w:val="24"/>
          <w:szCs w:val="24"/>
        </w:rPr>
        <w:t>additional</w:t>
      </w:r>
      <w:r w:rsidRPr="2CA62BA2" w:rsidR="77A2B380">
        <w:rPr>
          <w:rFonts w:ascii="Cambria" w:hAnsi="Cambria" w:eastAsia="Cambria" w:cs="Cambria"/>
          <w:sz w:val="24"/>
          <w:szCs w:val="24"/>
        </w:rPr>
        <w:t xml:space="preserve"> costs as referenced above may also be </w:t>
      </w:r>
      <w:r w:rsidRPr="2CA62BA2" w:rsidR="30653470">
        <w:rPr>
          <w:rFonts w:ascii="Cambria" w:hAnsi="Cambria" w:eastAsia="Cambria" w:cs="Cambria"/>
          <w:sz w:val="24"/>
          <w:szCs w:val="24"/>
        </w:rPr>
        <w:t xml:space="preserve">a </w:t>
      </w:r>
      <w:r w:rsidRPr="2CA62BA2" w:rsidR="77A2B380">
        <w:rPr>
          <w:rFonts w:ascii="Cambria" w:hAnsi="Cambria" w:eastAsia="Cambria" w:cs="Cambria"/>
          <w:sz w:val="24"/>
          <w:szCs w:val="24"/>
        </w:rPr>
        <w:t>reasonabl</w:t>
      </w:r>
      <w:r w:rsidRPr="2CA62BA2" w:rsidR="7725B1BC">
        <w:rPr>
          <w:rFonts w:ascii="Cambria" w:hAnsi="Cambria" w:eastAsia="Cambria" w:cs="Cambria"/>
          <w:sz w:val="24"/>
          <w:szCs w:val="24"/>
        </w:rPr>
        <w:t>e</w:t>
      </w:r>
      <w:r w:rsidRPr="2CA62BA2" w:rsidR="77A2B380">
        <w:rPr>
          <w:rFonts w:ascii="Cambria" w:hAnsi="Cambria" w:eastAsia="Cambria" w:cs="Cambria"/>
          <w:sz w:val="24"/>
          <w:szCs w:val="24"/>
        </w:rPr>
        <w:t xml:space="preserve"> inclu</w:t>
      </w:r>
      <w:r w:rsidRPr="2CA62BA2" w:rsidR="414657AA">
        <w:rPr>
          <w:rFonts w:ascii="Cambria" w:hAnsi="Cambria" w:eastAsia="Cambria" w:cs="Cambria"/>
          <w:sz w:val="24"/>
          <w:szCs w:val="24"/>
        </w:rPr>
        <w:t>sion</w:t>
      </w:r>
      <w:r w:rsidRPr="2CA62BA2" w:rsidR="77A2B380">
        <w:rPr>
          <w:rFonts w:ascii="Cambria" w:hAnsi="Cambria" w:eastAsia="Cambria" w:cs="Cambria"/>
          <w:sz w:val="24"/>
          <w:szCs w:val="24"/>
        </w:rPr>
        <w:t xml:space="preserve">, resulting </w:t>
      </w:r>
      <w:r w:rsidRPr="2CA62BA2" w:rsidR="7826E5A2">
        <w:rPr>
          <w:rFonts w:ascii="Cambria" w:hAnsi="Cambria" w:eastAsia="Cambria" w:cs="Cambria"/>
          <w:sz w:val="24"/>
          <w:szCs w:val="24"/>
        </w:rPr>
        <w:t xml:space="preserve">in a 30% </w:t>
      </w:r>
      <w:r w:rsidRPr="2CA62BA2" w:rsidR="62C11EFB">
        <w:rPr>
          <w:rFonts w:ascii="Cambria" w:hAnsi="Cambria" w:eastAsia="Cambria" w:cs="Cambria"/>
          <w:sz w:val="24"/>
          <w:szCs w:val="24"/>
        </w:rPr>
        <w:t>of</w:t>
      </w:r>
      <w:r w:rsidRPr="2CA62BA2" w:rsidR="723D65A4">
        <w:rPr>
          <w:rFonts w:ascii="Cambria" w:hAnsi="Cambria" w:eastAsia="Cambria" w:cs="Cambria"/>
          <w:sz w:val="24"/>
          <w:szCs w:val="24"/>
        </w:rPr>
        <w:t xml:space="preserve"> income </w:t>
      </w:r>
      <w:r w:rsidRPr="2CA62BA2" w:rsidR="7826E5A2">
        <w:rPr>
          <w:rFonts w:ascii="Cambria" w:hAnsi="Cambria" w:eastAsia="Cambria" w:cs="Cambria"/>
          <w:sz w:val="24"/>
          <w:szCs w:val="24"/>
        </w:rPr>
        <w:t xml:space="preserve">value for overall “annual accommodation costs,” </w:t>
      </w:r>
      <w:r w:rsidRPr="2CA62BA2" w:rsidR="704D22F2">
        <w:rPr>
          <w:rFonts w:ascii="Cambria" w:hAnsi="Cambria" w:eastAsia="Cambria" w:cs="Cambria"/>
          <w:sz w:val="24"/>
          <w:szCs w:val="24"/>
        </w:rPr>
        <w:t>but</w:t>
      </w:r>
      <w:r w:rsidRPr="2CA62BA2" w:rsidR="595ED052">
        <w:rPr>
          <w:rFonts w:ascii="Cambria" w:hAnsi="Cambria" w:eastAsia="Cambria" w:cs="Cambria"/>
          <w:sz w:val="24"/>
          <w:szCs w:val="24"/>
        </w:rPr>
        <w:t xml:space="preserve"> these need to be clearly set out as part of the definition.</w:t>
      </w:r>
      <w:r w:rsidRPr="2CA62BA2" w:rsidR="704D22F2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5F758CD0">
        <w:rPr>
          <w:rFonts w:ascii="Cambria" w:hAnsi="Cambria" w:eastAsia="Cambria" w:cs="Cambria"/>
          <w:sz w:val="24"/>
          <w:szCs w:val="24"/>
        </w:rPr>
        <w:t>Such cost categories can then be used to calculate an annual carrying cost for any given property</w:t>
      </w:r>
      <w:r w:rsidRPr="2CA62BA2" w:rsidR="5F758CD0">
        <w:rPr>
          <w:rFonts w:ascii="Cambria" w:hAnsi="Cambria" w:eastAsia="Cambria" w:cs="Cambria"/>
          <w:sz w:val="24"/>
          <w:szCs w:val="24"/>
        </w:rPr>
        <w:t>.</w:t>
      </w:r>
    </w:p>
    <w:p w:rsidR="5CAE8E1E" w:rsidP="5CAE8E1E" w:rsidRDefault="5CAE8E1E" w14:paraId="4CB2BF4F" w14:textId="4B37B821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37C0A24A" w:rsidP="37C0A24A" w:rsidRDefault="37C0A24A" w14:paraId="76207F34" w14:textId="7B75DDB0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2CA62BA2" w:rsidP="2CA62BA2" w:rsidRDefault="2CA62BA2" w14:paraId="37AAEA94" w14:textId="307C6AD1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63E0E643" w:rsidP="5CAE8E1E" w:rsidRDefault="63E0E643" w14:paraId="28BCE67F" w14:textId="24094478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5CAE8E1E" w:rsidR="63E0E643">
        <w:rPr>
          <w:rFonts w:ascii="Cambria" w:hAnsi="Cambria" w:eastAsia="Cambria" w:cs="Cambria"/>
          <w:b w:val="1"/>
          <w:bCs w:val="1"/>
          <w:sz w:val="24"/>
          <w:szCs w:val="24"/>
        </w:rPr>
        <w:t>Conclusion.</w:t>
      </w:r>
    </w:p>
    <w:p w:rsidR="18DE68F5" w:rsidP="5CAE8E1E" w:rsidRDefault="18DE68F5" w14:paraId="521F1BB4" w14:textId="27CC896B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2CA62BA2" w:rsidR="18DE68F5">
        <w:rPr>
          <w:rFonts w:ascii="Cambria" w:hAnsi="Cambria" w:eastAsia="Cambria" w:cs="Cambria"/>
          <w:sz w:val="24"/>
          <w:szCs w:val="24"/>
        </w:rPr>
        <w:t xml:space="preserve">Finally, TAEH fully supports the other recommendations contained in the </w:t>
      </w:r>
      <w:r w:rsidRPr="2CA62BA2" w:rsidR="12FC04B3">
        <w:rPr>
          <w:rFonts w:ascii="Cambria" w:hAnsi="Cambria" w:eastAsia="Cambria" w:cs="Cambria"/>
          <w:sz w:val="24"/>
          <w:szCs w:val="24"/>
        </w:rPr>
        <w:t xml:space="preserve">“City Comments on Provincial Bill 134 Proposed Definition of Affordable Residential Unit” report dated October 20, </w:t>
      </w:r>
      <w:r w:rsidRPr="2CA62BA2" w:rsidR="6F140F8C">
        <w:rPr>
          <w:rFonts w:ascii="Cambria" w:hAnsi="Cambria" w:eastAsia="Cambria" w:cs="Cambria"/>
          <w:sz w:val="24"/>
          <w:szCs w:val="24"/>
        </w:rPr>
        <w:t>2023</w:t>
      </w:r>
      <w:r w:rsidRPr="2CA62BA2" w:rsidR="2A73CDD8">
        <w:rPr>
          <w:rFonts w:ascii="Cambria" w:hAnsi="Cambria" w:eastAsia="Cambria" w:cs="Cambria"/>
          <w:sz w:val="24"/>
          <w:szCs w:val="24"/>
        </w:rPr>
        <w:t>;</w:t>
      </w:r>
      <w:r w:rsidRPr="2CA62BA2" w:rsidR="12FC04B3">
        <w:rPr>
          <w:rFonts w:ascii="Cambria" w:hAnsi="Cambria" w:eastAsia="Cambria" w:cs="Cambria"/>
          <w:sz w:val="24"/>
          <w:szCs w:val="24"/>
        </w:rPr>
        <w:t xml:space="preserve"> prepared for the </w:t>
      </w:r>
      <w:r w:rsidRPr="2CA62BA2" w:rsidR="74F673CE">
        <w:rPr>
          <w:rFonts w:ascii="Cambria" w:hAnsi="Cambria" w:eastAsia="Cambria" w:cs="Cambria"/>
          <w:sz w:val="24"/>
          <w:szCs w:val="24"/>
        </w:rPr>
        <w:t>Planning and Housing Committee of City Council</w:t>
      </w:r>
      <w:r w:rsidRPr="2CA62BA2" w:rsidR="463B1B92">
        <w:rPr>
          <w:rFonts w:ascii="Cambria" w:hAnsi="Cambria" w:eastAsia="Cambria" w:cs="Cambria"/>
          <w:sz w:val="24"/>
          <w:szCs w:val="24"/>
        </w:rPr>
        <w:t xml:space="preserve"> meeting on October 26, 2023</w:t>
      </w:r>
      <w:r w:rsidRPr="2CA62BA2" w:rsidR="285C7F1E">
        <w:rPr>
          <w:rFonts w:ascii="Cambria" w:hAnsi="Cambria" w:eastAsia="Cambria" w:cs="Cambria"/>
          <w:sz w:val="24"/>
          <w:szCs w:val="24"/>
        </w:rPr>
        <w:t>;</w:t>
      </w:r>
      <w:r w:rsidRPr="2CA62BA2" w:rsidR="463B1B92">
        <w:rPr>
          <w:rFonts w:ascii="Cambria" w:hAnsi="Cambria" w:eastAsia="Cambria" w:cs="Cambria"/>
          <w:sz w:val="24"/>
          <w:szCs w:val="24"/>
        </w:rPr>
        <w:t xml:space="preserve"> which are to be incorporated into the</w:t>
      </w:r>
      <w:r w:rsidRPr="2CA62BA2" w:rsidR="12FC04B3">
        <w:rPr>
          <w:rFonts w:ascii="Cambria" w:hAnsi="Cambria" w:eastAsia="Cambria" w:cs="Cambria"/>
          <w:sz w:val="24"/>
          <w:szCs w:val="24"/>
        </w:rPr>
        <w:t xml:space="preserve"> </w:t>
      </w:r>
      <w:r w:rsidRPr="2CA62BA2" w:rsidR="18DE68F5">
        <w:rPr>
          <w:rFonts w:ascii="Cambria" w:hAnsi="Cambria" w:eastAsia="Cambria" w:cs="Cambria"/>
          <w:sz w:val="24"/>
          <w:szCs w:val="24"/>
        </w:rPr>
        <w:t xml:space="preserve">submission from the </w:t>
      </w:r>
      <w:r w:rsidRPr="2CA62BA2" w:rsidR="216FFA18">
        <w:rPr>
          <w:rFonts w:ascii="Cambria" w:hAnsi="Cambria" w:eastAsia="Cambria" w:cs="Cambria"/>
          <w:sz w:val="24"/>
          <w:szCs w:val="24"/>
        </w:rPr>
        <w:t>City</w:t>
      </w:r>
      <w:r w:rsidRPr="2CA62BA2" w:rsidR="18DE68F5">
        <w:rPr>
          <w:rFonts w:ascii="Cambria" w:hAnsi="Cambria" w:eastAsia="Cambria" w:cs="Cambria"/>
          <w:sz w:val="24"/>
          <w:szCs w:val="24"/>
        </w:rPr>
        <w:t xml:space="preserve"> of Toronto</w:t>
      </w:r>
      <w:r w:rsidRPr="2CA62BA2" w:rsidR="6931AB4A">
        <w:rPr>
          <w:rFonts w:ascii="Cambria" w:hAnsi="Cambria" w:eastAsia="Cambria" w:cs="Cambria"/>
          <w:sz w:val="24"/>
          <w:szCs w:val="24"/>
        </w:rPr>
        <w:t xml:space="preserve"> to be filed in relation to this request for comments, and which pertain to other suggested changes to Bill 134.</w:t>
      </w:r>
    </w:p>
    <w:p w:rsidR="5CAE8E1E" w:rsidP="5CAE8E1E" w:rsidRDefault="5CAE8E1E" w14:paraId="69C6AAA6" w14:textId="6EB23F26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5CAE8E1E" w:rsidP="5CAE8E1E" w:rsidRDefault="5CAE8E1E" w14:paraId="0CD23403" w14:textId="1D223D39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37C0A24A" w:rsidP="37C0A24A" w:rsidRDefault="37C0A24A" w14:paraId="3F4DCE51" w14:textId="2D546DF1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</w:p>
    <w:p w:rsidR="44F98275" w:rsidP="5CAE8E1E" w:rsidRDefault="44F98275" w14:paraId="5F1AB3C2" w14:textId="2115DE6C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5CAE8E1E" w:rsidR="3413EEA7">
        <w:rPr>
          <w:rFonts w:ascii="Cambria" w:hAnsi="Cambria" w:eastAsia="Cambria" w:cs="Cambria"/>
          <w:sz w:val="24"/>
          <w:szCs w:val="24"/>
        </w:rPr>
        <w:t>Thank you,</w:t>
      </w:r>
    </w:p>
    <w:p w:rsidR="28543F98" w:rsidP="5CAE8E1E" w:rsidRDefault="28543F98" w14:paraId="3ACC81CD" w14:textId="6D7B0C31">
      <w:pPr>
        <w:pStyle w:val="Normal"/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="28543F98">
        <w:drawing>
          <wp:inline wp14:editId="518DE04D" wp14:anchorId="16106576">
            <wp:extent cx="1229845" cy="653356"/>
            <wp:effectExtent l="0" t="0" r="0" b="0"/>
            <wp:docPr id="1121396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d18abb62484d1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845" cy="65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413EEA7" w:rsidP="5CAE8E1E" w:rsidRDefault="3413EEA7" w14:paraId="216534B0" w14:textId="3E8D10CC" w14:noSpellErr="1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5CAE8E1E" w:rsidR="3413EEA7">
        <w:rPr>
          <w:rFonts w:ascii="Cambria" w:hAnsi="Cambria" w:eastAsia="Cambria" w:cs="Cambria"/>
          <w:sz w:val="24"/>
          <w:szCs w:val="24"/>
        </w:rPr>
        <w:t xml:space="preserve">Peter G. </w:t>
      </w:r>
      <w:r w:rsidRPr="5CAE8E1E" w:rsidR="3CA57FCA">
        <w:rPr>
          <w:rFonts w:ascii="Cambria" w:hAnsi="Cambria" w:eastAsia="Cambria" w:cs="Cambria"/>
          <w:sz w:val="24"/>
          <w:szCs w:val="24"/>
        </w:rPr>
        <w:t>Martin</w:t>
      </w:r>
    </w:p>
    <w:p w:rsidR="3413EEA7" w:rsidP="5CAE8E1E" w:rsidRDefault="3413EEA7" w14:paraId="7B0D0EE0" w14:textId="44F87E9A" w14:noSpellErr="1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5CAE8E1E" w:rsidR="3413EEA7">
        <w:rPr>
          <w:rFonts w:ascii="Cambria" w:hAnsi="Cambria" w:eastAsia="Cambria" w:cs="Cambria"/>
          <w:sz w:val="24"/>
          <w:szCs w:val="24"/>
        </w:rPr>
        <w:t>Housing Solutions Manager</w:t>
      </w:r>
    </w:p>
    <w:p w:rsidR="3413EEA7" w:rsidP="5CAE8E1E" w:rsidRDefault="3413EEA7" w14:paraId="49C698BA" w14:textId="1AE644FF" w14:noSpellErr="1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r w:rsidRPr="5CAE8E1E" w:rsidR="3413EEA7">
        <w:rPr>
          <w:rFonts w:ascii="Cambria" w:hAnsi="Cambria" w:eastAsia="Cambria" w:cs="Cambria"/>
          <w:sz w:val="24"/>
          <w:szCs w:val="24"/>
        </w:rPr>
        <w:t>647-913-7305</w:t>
      </w:r>
    </w:p>
    <w:p w:rsidR="23FB6C2F" w:rsidP="2CA62BA2" w:rsidRDefault="23FB6C2F" w14:noSpellErr="1" w14:paraId="6FA13D96" w14:textId="403920AD">
      <w:pPr>
        <w:spacing w:after="0" w:line="240" w:lineRule="auto"/>
        <w:rPr>
          <w:rFonts w:ascii="Cambria" w:hAnsi="Cambria" w:eastAsia="Cambria" w:cs="Cambria"/>
          <w:sz w:val="24"/>
          <w:szCs w:val="24"/>
        </w:rPr>
      </w:pPr>
      <w:hyperlink r:id="R4647ca84de474115">
        <w:r w:rsidRPr="2CA62BA2" w:rsidR="23FB6C2F">
          <w:rPr>
            <w:rStyle w:val="Hyperlink"/>
            <w:rFonts w:ascii="Cambria" w:hAnsi="Cambria" w:eastAsia="Cambria" w:cs="Cambria"/>
            <w:sz w:val="24"/>
            <w:szCs w:val="24"/>
          </w:rPr>
          <w:t>p</w:t>
        </w:r>
        <w:r w:rsidRPr="2CA62BA2" w:rsidR="3413EEA7">
          <w:rPr>
            <w:rStyle w:val="Hyperlink"/>
            <w:rFonts w:ascii="Cambria" w:hAnsi="Cambria" w:eastAsia="Cambria" w:cs="Cambria"/>
            <w:sz w:val="24"/>
            <w:szCs w:val="24"/>
          </w:rPr>
          <w:t>eter@taeh.ca</w:t>
        </w:r>
      </w:hyperlink>
    </w:p>
    <w:sectPr w:rsidR="23FB6C2F" w:rsidSect="00C30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6527" w:rsidRDefault="00766527" w14:paraId="567DC658" w14:textId="77777777">
      <w:pPr>
        <w:spacing w:after="0" w:line="240" w:lineRule="auto"/>
      </w:pPr>
      <w:r>
        <w:separator/>
      </w:r>
    </w:p>
  </w:endnote>
  <w:endnote w:type="continuationSeparator" w:id="0">
    <w:p w:rsidR="00766527" w:rsidRDefault="00766527" w14:paraId="517D93FF" w14:textId="77777777">
      <w:pPr>
        <w:spacing w:after="0" w:line="240" w:lineRule="auto"/>
      </w:pPr>
      <w:r>
        <w:continuationSeparator/>
      </w:r>
    </w:p>
  </w:endnote>
  <w:endnote w:type="continuationNotice" w:id="1">
    <w:p w:rsidR="00766527" w:rsidRDefault="00766527" w14:paraId="702B297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13D" w:rsidRDefault="00C3013D" w14:paraId="308996A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7A0" w:firstRow="1" w:lastRow="0" w:firstColumn="1" w:lastColumn="1" w:noHBand="1" w:noVBand="1"/>
    </w:tblPr>
    <w:tblGrid>
      <w:gridCol w:w="3120"/>
      <w:gridCol w:w="3120"/>
      <w:gridCol w:w="3120"/>
    </w:tblGrid>
    <w:tr w:rsidR="44F98275" w:rsidTr="2CA62BA2" w14:paraId="269AEA93" w14:textId="77777777">
      <w:trPr>
        <w:trHeight w:val="300"/>
      </w:trPr>
      <w:tc>
        <w:tcPr>
          <w:tcW w:w="3120" w:type="dxa"/>
          <w:tcMar/>
        </w:tcPr>
        <w:p w:rsidR="44F98275" w:rsidP="5CAE8E1E" w:rsidRDefault="44F98275" w14:paraId="07F8E40A" w14:textId="33BF3B39">
          <w:pPr>
            <w:pStyle w:val="Header"/>
            <w:ind w:left="-115"/>
            <w:rPr>
              <w:noProof w:val="0"/>
              <w:lang w:val="en-US"/>
            </w:rPr>
          </w:pPr>
          <w:r w:rsidR="5CAE8E1E">
            <w:drawing>
              <wp:inline wp14:editId="3BB963AE" wp14:anchorId="43DD2E6A">
                <wp:extent cx="911254" cy="539819"/>
                <wp:effectExtent l="0" t="0" r="0" b="0"/>
                <wp:docPr id="8650969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16fec17b5f04ee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254" cy="539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2CA62BA2" w:rsidP="2CA62BA2" w:rsidRDefault="2CA62BA2" w14:paraId="10FB6CE4" w14:textId="3ACA5AA9">
          <w:pPr>
            <w:pStyle w:val="Header"/>
            <w:jc w:val="center"/>
          </w:pPr>
        </w:p>
        <w:p w:rsidR="2CA62BA2" w:rsidP="2CA62BA2" w:rsidRDefault="2CA62BA2" w14:paraId="4A3532FD" w14:textId="7C39E99C">
          <w:pPr>
            <w:pStyle w:val="Header"/>
            <w:jc w:val="center"/>
          </w:pPr>
        </w:p>
        <w:p w:rsidR="2CA62BA2" w:rsidP="2CA62BA2" w:rsidRDefault="2CA62BA2" w14:paraId="49CDFAAB" w14:textId="24FB6A7F">
          <w:pPr>
            <w:pStyle w:val="Header"/>
            <w:jc w:val="center"/>
          </w:pPr>
        </w:p>
        <w:p w:rsidR="44F98275" w:rsidP="44F98275" w:rsidRDefault="44F98275" w14:paraId="516207D3" w14:textId="34981E81">
          <w:pPr>
            <w:pStyle w:val="Header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4F98275" w:rsidP="5CAE8E1E" w:rsidRDefault="44F98275" w14:paraId="515C2F1A" w14:textId="5706F3D6">
          <w:pPr>
            <w:pStyle w:val="Header"/>
            <w:ind w:left="-115"/>
            <w:jc w:val="right"/>
          </w:pPr>
          <w:r w:rsidRPr="5CAE8E1E" w:rsidR="5CAE8E1E">
            <w:rPr>
              <w:noProof w:val="0"/>
              <w:lang w:val="en-US"/>
            </w:rPr>
            <w:t>TAEH Comments</w:t>
          </w:r>
        </w:p>
        <w:p w:rsidR="44F98275" w:rsidP="5CAE8E1E" w:rsidRDefault="44F98275" w14:paraId="062E5C79" w14:textId="001B2FB4">
          <w:pPr>
            <w:pStyle w:val="Header"/>
            <w:ind w:left="-115"/>
            <w:jc w:val="right"/>
          </w:pPr>
          <w:r w:rsidRPr="5CAE8E1E" w:rsidR="5CAE8E1E">
            <w:rPr>
              <w:noProof w:val="0"/>
              <w:lang w:val="en-US"/>
            </w:rPr>
            <w:t>ERO 019-7669</w:t>
          </w:r>
        </w:p>
        <w:p w:rsidR="44F98275" w:rsidP="5CAE8E1E" w:rsidRDefault="44F98275" w14:paraId="16E65A0E" w14:textId="4CBA1DEE">
          <w:pPr>
            <w:pStyle w:val="Header"/>
            <w:ind w:left="-115"/>
            <w:jc w:val="right"/>
            <w:rPr>
              <w:noProof w:val="0"/>
              <w:lang w:val="en-US"/>
            </w:rPr>
          </w:pPr>
          <w:r w:rsidRPr="2CA62BA2" w:rsidR="2CA62BA2">
            <w:rPr>
              <w:noProof w:val="0"/>
              <w:lang w:val="en-US"/>
            </w:rPr>
            <w:t>October 28</w:t>
          </w:r>
          <w:r w:rsidRPr="2CA62BA2" w:rsidR="2CA62BA2">
            <w:rPr>
              <w:noProof w:val="0"/>
              <w:lang w:val="en-US"/>
            </w:rPr>
            <w:t>, 2023</w:t>
          </w:r>
        </w:p>
        <w:p w:rsidR="44F98275" w:rsidP="44F98275" w:rsidRDefault="44F98275" w14:paraId="0B066095" w14:textId="0F63C6E9">
          <w:pPr>
            <w:pStyle w:val="Header"/>
            <w:ind w:right="-115"/>
            <w:jc w:val="right"/>
          </w:pPr>
        </w:p>
      </w:tc>
    </w:tr>
  </w:tbl>
  <w:p w:rsidR="44F98275" w:rsidRDefault="44F98275" w14:paraId="6924E050" w14:textId="2ADED9FF">
    <w:pPr>
      <w:pStyle w:val="Footer"/>
      <w:pPrChange w:author="Peter Martin" w:date="2023-09-27T18:55:00Z" w:id="29">
        <w:pPr/>
      </w:pPrChange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13D" w:rsidRDefault="00C3013D" w14:paraId="1553B00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6527" w:rsidRDefault="00766527" w14:paraId="66D66CAC" w14:textId="77777777">
      <w:pPr>
        <w:spacing w:after="0" w:line="240" w:lineRule="auto"/>
      </w:pPr>
      <w:r>
        <w:separator/>
      </w:r>
    </w:p>
  </w:footnote>
  <w:footnote w:type="continuationSeparator" w:id="0">
    <w:p w:rsidR="00766527" w:rsidRDefault="00766527" w14:paraId="598CCD8C" w14:textId="77777777">
      <w:pPr>
        <w:spacing w:after="0" w:line="240" w:lineRule="auto"/>
      </w:pPr>
      <w:r>
        <w:continuationSeparator/>
      </w:r>
    </w:p>
  </w:footnote>
  <w:footnote w:type="continuationNotice" w:id="1">
    <w:p w:rsidR="00766527" w:rsidRDefault="00766527" w14:paraId="354215F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13D" w:rsidRDefault="00C3013D" w14:paraId="577C4C1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  <w:tblPrChange w:author="Peter Martin" w:date="2023-09-27T18:55:00Z" w:id="13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</w:tblGrid>
    <w:tr w:rsidR="44F98275" w:rsidTr="5CAE8E1E" w14:paraId="09D4986A" w14:textId="77777777">
      <w:trPr>
        <w:trHeight w:val="300"/>
        <w:trPrChange w:author="Peter Martin" w:date="2023-09-27T18:55:00Z" w:id="15">
          <w:trPr>
            <w:trHeight w:val="300"/>
          </w:trPr>
        </w:trPrChange>
      </w:trPr>
      <w:tc>
        <w:tcPr>
          <w:tcW w:w="3120" w:type="dxa"/>
          <w:tcMar/>
          <w:tcPrChange w:author="Peter Martin" w:date="2023-09-27T18:55:00Z" w:id="16">
            <w:tcPr>
              <w:tcW w:w="3120" w:type="dxa"/>
            </w:tcPr>
          </w:tcPrChange>
        </w:tcPr>
        <w:p w:rsidR="44F98275" w:rsidP="5CAE8E1E" w:rsidRDefault="44F98275" w14:paraId="51C8B19E" w14:textId="392E79C2" w14:noSpellErr="1">
          <w:pPr>
            <w:pStyle w:val="Header"/>
            <w:ind w:left="-115"/>
          </w:pPr>
        </w:p>
      </w:tc>
      <w:tc>
        <w:tcPr>
          <w:tcW w:w="3120" w:type="dxa"/>
          <w:tcMar/>
          <w:tcPrChange w:author="Peter Martin" w:date="2023-09-27T18:55:00Z" w:id="18">
            <w:tcPr>
              <w:tcW w:w="3120" w:type="dxa"/>
            </w:tcPr>
          </w:tcPrChange>
        </w:tcPr>
        <w:p w:rsidR="44F98275" w:rsidRDefault="44F98275" w14:paraId="4567B615" w14:textId="29752934">
          <w:pPr>
            <w:pStyle w:val="Header"/>
            <w:jc w:val="center"/>
            <w:pPrChange w:author="Peter Martin" w:date="2023-09-27T18:55:00Z" w:id="19">
              <w:pPr/>
            </w:pPrChange>
          </w:pPr>
        </w:p>
      </w:tc>
      <w:tc>
        <w:tcPr>
          <w:tcW w:w="3120" w:type="dxa"/>
          <w:tcMar/>
          <w:tcPrChange w:author="Peter Martin" w:date="2023-09-27T18:55:00Z" w:id="20">
            <w:tcPr>
              <w:tcW w:w="3120" w:type="dxa"/>
            </w:tcPr>
          </w:tcPrChange>
        </w:tcPr>
        <w:p w:rsidR="44F98275" w:rsidRDefault="44F98275" w14:paraId="1F914082" w14:textId="14A78DFB">
          <w:pPr>
            <w:pStyle w:val="Header"/>
            <w:ind w:right="-115"/>
            <w:jc w:val="right"/>
            <w:pPrChange w:author="Peter Martin" w:date="2023-09-27T18:55:00Z" w:id="21">
              <w:pPr/>
            </w:pPrChange>
          </w:pPr>
        </w:p>
      </w:tc>
    </w:tr>
  </w:tbl>
  <w:p w:rsidR="44F98275" w:rsidRDefault="44F98275" w14:paraId="3902A1CB" w14:textId="4AF60D78">
    <w:pPr>
      <w:pStyle w:val="Header"/>
      <w:pPrChange w:author="Peter Martin" w:date="2023-09-27T18:55:00Z" w:id="22">
        <w:pPr/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013D" w:rsidRDefault="00C3013D" w14:paraId="4C24F927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mU4mUIs8gDRjf" int2:id="nhcQ7GvI">
      <int2:state int2:type="AugLoop_Text_Critique" int2:value="Rejected"/>
    </int2:textHash>
    <int2:textHash int2:hashCode="SlYFDncvjWIs3o" int2:id="1dxn5nUJ">
      <int2:state int2:type="AugLoop_Text_Critique" int2:value="Rejected"/>
    </int2:textHash>
    <int2:textHash int2:hashCode="0ULwbkDCZF2lCW" int2:id="CpEGRHiM">
      <int2:state int2:type="AugLoop_Text_Critique" int2:value="Rejected"/>
    </int2:textHash>
    <int2:textHash int2:hashCode="DLsMoiyNNTouox" int2:id="RBeW6T0S">
      <int2:state int2:type="AugLoop_Text_Critique" int2:value="Rejected"/>
    </int2:textHash>
    <int2:textHash int2:hashCode="xQy+KnIliT8rxm" int2:id="SqTNzt4E">
      <int2:state int2:type="AugLoop_Text_Critique" int2:value="Rejected"/>
    </int2:textHash>
    <int2:textHash int2:hashCode="xmftP84rsrqd+6" int2:id="kfH11sZ2">
      <int2:state int2:type="AugLoop_Text_Critique" int2:value="Rejected"/>
    </int2:textHash>
    <int2:bookmark int2:bookmarkName="_Int_ucdpUm5k" int2:invalidationBookmarkName="" int2:hashCode="wCgj9rKdcuGrsF" int2:id="e81Yfpmi">
      <int2:state int2:type="AugLoop_Text_Critique" int2:value="Rejected"/>
    </int2:bookmark>
    <int2:bookmark int2:bookmarkName="_Int_PdDo0kaz" int2:invalidationBookmarkName="" int2:hashCode="nVCfD0FTt2UhQN" int2:id="A0hzByM0">
      <int2:state int2:type="AugLoop_Text_Critique" int2:value="Rejected"/>
    </int2:bookmark>
    <int2:bookmark int2:bookmarkName="_Int_xOADZxiZ" int2:invalidationBookmarkName="" int2:hashCode="yjINp5eVR4VLPX" int2:id="WOqxcv0d">
      <int2:state int2:type="AugLoop_Text_Critique" int2:value="Rejected"/>
    </int2:bookmark>
    <int2:bookmark int2:bookmarkName="_Int_8lnnnGpb" int2:invalidationBookmarkName="" int2:hashCode="f/mRBBrb0tPSLG" int2:id="3HkPSAXz">
      <int2:state int2:type="AugLoop_Text_Critique" int2:value="Rejected"/>
    </int2:bookmark>
    <int2:bookmark int2:bookmarkName="_Int_yqWLk9ZM" int2:invalidationBookmarkName="" int2:hashCode="tRE/eTZ7ILpgYi" int2:id="eSIjKYp2">
      <int2:state int2:type="AugLoop_Text_Critique" int2:value="Rejected"/>
    </int2:bookmark>
    <int2:bookmark int2:bookmarkName="_Int_c9qhfeQr" int2:invalidationBookmarkName="" int2:hashCode="SAvbETeSQL2XLY" int2:id="kFft6TSe">
      <int2:state int2:type="AugLoop_Text_Critique" int2:value="Rejected"/>
    </int2:bookmark>
    <int2:bookmark int2:bookmarkName="_Int_hyKbfP22" int2:invalidationBookmarkName="" int2:hashCode="FMDz0MLFTHdWBc" int2:id="uvhNnFav">
      <int2:state int2:type="AugLoop_Text_Critique" int2:value="Rejected"/>
    </int2:bookmark>
    <int2:bookmark int2:bookmarkName="_Int_MTiUjRe4" int2:invalidationBookmarkName="" int2:hashCode="hoskghF6TzAdE2" int2:id="cbKeOpmR">
      <int2:state int2:type="AugLoop_Text_Critique" int2:value="Rejected"/>
    </int2:bookmark>
    <int2:bookmark int2:bookmarkName="_Int_IodNn0yA" int2:invalidationBookmarkName="" int2:hashCode="f/mRBBrb0tPSLG" int2:id="Tq7ccCvO">
      <int2:state int2:type="AugLoop_Text_Critique" int2:value="Rejected"/>
    </int2:bookmark>
    <int2:bookmark int2:bookmarkName="_Int_3uDfcatv" int2:invalidationBookmarkName="" int2:hashCode="AbcEITPHpnqYJF" int2:id="Aq5rKKaR">
      <int2:state int2:type="AugLoop_Text_Critique" int2:value="Rejected"/>
    </int2:bookmark>
    <int2:bookmark int2:bookmarkName="_Int_faeJrVcD" int2:invalidationBookmarkName="" int2:hashCode="HEXtz+T4PyFSoL" int2:id="ccKOz26M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6a96d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23e80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aed7f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Letter"/>
      <w:lvlText w:val="%1)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d830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Letter"/>
      <w:lvlText w:val="%1)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A133F2"/>
    <w:rsid w:val="001236F3"/>
    <w:rsid w:val="001370AD"/>
    <w:rsid w:val="001CC890"/>
    <w:rsid w:val="001D0694"/>
    <w:rsid w:val="001E2DDE"/>
    <w:rsid w:val="00231A38"/>
    <w:rsid w:val="002D4360"/>
    <w:rsid w:val="002D64EE"/>
    <w:rsid w:val="003675AB"/>
    <w:rsid w:val="00471A32"/>
    <w:rsid w:val="004D9DCB"/>
    <w:rsid w:val="005370F6"/>
    <w:rsid w:val="005A572A"/>
    <w:rsid w:val="005E5A74"/>
    <w:rsid w:val="00632569"/>
    <w:rsid w:val="006520B4"/>
    <w:rsid w:val="0072D18A"/>
    <w:rsid w:val="00732CF7"/>
    <w:rsid w:val="00766527"/>
    <w:rsid w:val="007D187D"/>
    <w:rsid w:val="007EC9AA"/>
    <w:rsid w:val="008223A6"/>
    <w:rsid w:val="008563DF"/>
    <w:rsid w:val="008863C7"/>
    <w:rsid w:val="008C6014"/>
    <w:rsid w:val="008F1EA3"/>
    <w:rsid w:val="00987221"/>
    <w:rsid w:val="00AA3CCB"/>
    <w:rsid w:val="00BE377F"/>
    <w:rsid w:val="00C3013D"/>
    <w:rsid w:val="00D85B94"/>
    <w:rsid w:val="00DAB655"/>
    <w:rsid w:val="00E2A3DB"/>
    <w:rsid w:val="00E2BFFE"/>
    <w:rsid w:val="00E42A10"/>
    <w:rsid w:val="00F33D8D"/>
    <w:rsid w:val="00F6149A"/>
    <w:rsid w:val="00FE6848"/>
    <w:rsid w:val="01013746"/>
    <w:rsid w:val="0118D58E"/>
    <w:rsid w:val="011BECBF"/>
    <w:rsid w:val="012913BD"/>
    <w:rsid w:val="013CED5B"/>
    <w:rsid w:val="01784BB4"/>
    <w:rsid w:val="018CB964"/>
    <w:rsid w:val="0191553B"/>
    <w:rsid w:val="01A133F2"/>
    <w:rsid w:val="01A96B4E"/>
    <w:rsid w:val="01B16271"/>
    <w:rsid w:val="01C78D26"/>
    <w:rsid w:val="01D2460C"/>
    <w:rsid w:val="01D61861"/>
    <w:rsid w:val="01E0B583"/>
    <w:rsid w:val="01E66434"/>
    <w:rsid w:val="0215B2CA"/>
    <w:rsid w:val="02200A9C"/>
    <w:rsid w:val="0235516B"/>
    <w:rsid w:val="02464EC2"/>
    <w:rsid w:val="026CAE47"/>
    <w:rsid w:val="02742142"/>
    <w:rsid w:val="0290B077"/>
    <w:rsid w:val="0295672A"/>
    <w:rsid w:val="0296A247"/>
    <w:rsid w:val="02996912"/>
    <w:rsid w:val="02AE6918"/>
    <w:rsid w:val="02EB79B3"/>
    <w:rsid w:val="03093B45"/>
    <w:rsid w:val="030FB5D1"/>
    <w:rsid w:val="0310833B"/>
    <w:rsid w:val="031F0262"/>
    <w:rsid w:val="032889C5"/>
    <w:rsid w:val="0365F0D5"/>
    <w:rsid w:val="036E166D"/>
    <w:rsid w:val="03853E8D"/>
    <w:rsid w:val="039156B8"/>
    <w:rsid w:val="03A697E2"/>
    <w:rsid w:val="03AD174B"/>
    <w:rsid w:val="03CC3EEA"/>
    <w:rsid w:val="03CD675B"/>
    <w:rsid w:val="03CF7EF6"/>
    <w:rsid w:val="03D09733"/>
    <w:rsid w:val="03DBCDE0"/>
    <w:rsid w:val="03E1F085"/>
    <w:rsid w:val="03E225FA"/>
    <w:rsid w:val="040AB7F1"/>
    <w:rsid w:val="04125717"/>
    <w:rsid w:val="041A449D"/>
    <w:rsid w:val="04497407"/>
    <w:rsid w:val="044AD50E"/>
    <w:rsid w:val="04539EC9"/>
    <w:rsid w:val="04564951"/>
    <w:rsid w:val="045DB39D"/>
    <w:rsid w:val="048317F0"/>
    <w:rsid w:val="04897849"/>
    <w:rsid w:val="04B6FF14"/>
    <w:rsid w:val="04E10C10"/>
    <w:rsid w:val="04E47E4C"/>
    <w:rsid w:val="04E90333"/>
    <w:rsid w:val="05207026"/>
    <w:rsid w:val="053400A7"/>
    <w:rsid w:val="0565CC06"/>
    <w:rsid w:val="0568727D"/>
    <w:rsid w:val="057DC0E6"/>
    <w:rsid w:val="05913292"/>
    <w:rsid w:val="05A17117"/>
    <w:rsid w:val="05BB01EB"/>
    <w:rsid w:val="05C6C264"/>
    <w:rsid w:val="05CDD850"/>
    <w:rsid w:val="05E549F9"/>
    <w:rsid w:val="05EC46B1"/>
    <w:rsid w:val="05F64E0F"/>
    <w:rsid w:val="06099839"/>
    <w:rsid w:val="061419A6"/>
    <w:rsid w:val="062EC556"/>
    <w:rsid w:val="064AAE9D"/>
    <w:rsid w:val="064BEFB5"/>
    <w:rsid w:val="064D5462"/>
    <w:rsid w:val="0660D4F8"/>
    <w:rsid w:val="06617994"/>
    <w:rsid w:val="06763A28"/>
    <w:rsid w:val="067CDC71"/>
    <w:rsid w:val="06802AC7"/>
    <w:rsid w:val="069DFBF1"/>
    <w:rsid w:val="06ACC269"/>
    <w:rsid w:val="06B07298"/>
    <w:rsid w:val="06D13C09"/>
    <w:rsid w:val="06D5E86A"/>
    <w:rsid w:val="06D9F27A"/>
    <w:rsid w:val="06F026FA"/>
    <w:rsid w:val="06FE4511"/>
    <w:rsid w:val="07084BD8"/>
    <w:rsid w:val="07136EA2"/>
    <w:rsid w:val="07257C85"/>
    <w:rsid w:val="0745854E"/>
    <w:rsid w:val="075B38AF"/>
    <w:rsid w:val="07743D3C"/>
    <w:rsid w:val="07881712"/>
    <w:rsid w:val="078AB68B"/>
    <w:rsid w:val="079AB3E9"/>
    <w:rsid w:val="07AA857C"/>
    <w:rsid w:val="07B9C680"/>
    <w:rsid w:val="07C3AC44"/>
    <w:rsid w:val="07C4A0E5"/>
    <w:rsid w:val="07C891BD"/>
    <w:rsid w:val="07F5D8C5"/>
    <w:rsid w:val="07FA7B34"/>
    <w:rsid w:val="08048FE9"/>
    <w:rsid w:val="083CAEC5"/>
    <w:rsid w:val="085EBC99"/>
    <w:rsid w:val="08602F4C"/>
    <w:rsid w:val="087A0905"/>
    <w:rsid w:val="089C7449"/>
    <w:rsid w:val="08D5ED1C"/>
    <w:rsid w:val="08DA7543"/>
    <w:rsid w:val="08E1CAD5"/>
    <w:rsid w:val="08EAEA63"/>
    <w:rsid w:val="0941778D"/>
    <w:rsid w:val="0953861A"/>
    <w:rsid w:val="095CE96C"/>
    <w:rsid w:val="0975F87E"/>
    <w:rsid w:val="09896A5A"/>
    <w:rsid w:val="09973C71"/>
    <w:rsid w:val="09B7E109"/>
    <w:rsid w:val="09C64071"/>
    <w:rsid w:val="09D324D1"/>
    <w:rsid w:val="09E07D7B"/>
    <w:rsid w:val="09E50A73"/>
    <w:rsid w:val="09EBC768"/>
    <w:rsid w:val="09EFB440"/>
    <w:rsid w:val="09F96082"/>
    <w:rsid w:val="09FCB109"/>
    <w:rsid w:val="0A1B4BDD"/>
    <w:rsid w:val="0A2E36EB"/>
    <w:rsid w:val="0A35E5D3"/>
    <w:rsid w:val="0A396E53"/>
    <w:rsid w:val="0A4624E4"/>
    <w:rsid w:val="0A5A944B"/>
    <w:rsid w:val="0A81989B"/>
    <w:rsid w:val="0A898621"/>
    <w:rsid w:val="0A8C2231"/>
    <w:rsid w:val="0ACB47E4"/>
    <w:rsid w:val="0B07214A"/>
    <w:rsid w:val="0B13DB8D"/>
    <w:rsid w:val="0B17399C"/>
    <w:rsid w:val="0B2761DA"/>
    <w:rsid w:val="0B37A204"/>
    <w:rsid w:val="0B51B1A4"/>
    <w:rsid w:val="0B6F6218"/>
    <w:rsid w:val="0B716D14"/>
    <w:rsid w:val="0BC21BCD"/>
    <w:rsid w:val="0BC3981D"/>
    <w:rsid w:val="0BE59E0E"/>
    <w:rsid w:val="0BE5D51E"/>
    <w:rsid w:val="0BE87318"/>
    <w:rsid w:val="0BFEB5E6"/>
    <w:rsid w:val="0BFFA42E"/>
    <w:rsid w:val="0C0242F7"/>
    <w:rsid w:val="0C03740C"/>
    <w:rsid w:val="0C228B25"/>
    <w:rsid w:val="0C255682"/>
    <w:rsid w:val="0C26435D"/>
    <w:rsid w:val="0C36C8CF"/>
    <w:rsid w:val="0C36E0F5"/>
    <w:rsid w:val="0C3DA743"/>
    <w:rsid w:val="0C59EB00"/>
    <w:rsid w:val="0C6C074C"/>
    <w:rsid w:val="0C7923CA"/>
    <w:rsid w:val="0C878D88"/>
    <w:rsid w:val="0C9DE541"/>
    <w:rsid w:val="0CB00316"/>
    <w:rsid w:val="0D23682A"/>
    <w:rsid w:val="0D33F7BC"/>
    <w:rsid w:val="0D7362F5"/>
    <w:rsid w:val="0D83BD63"/>
    <w:rsid w:val="0DBE5B86"/>
    <w:rsid w:val="0E08701F"/>
    <w:rsid w:val="0E2597B5"/>
    <w:rsid w:val="0E394F95"/>
    <w:rsid w:val="0E5DD108"/>
    <w:rsid w:val="0E5F128F"/>
    <w:rsid w:val="0E6ADBA8"/>
    <w:rsid w:val="0E87EE56"/>
    <w:rsid w:val="0E8B6A6E"/>
    <w:rsid w:val="0EA1A9E4"/>
    <w:rsid w:val="0EA4C3EC"/>
    <w:rsid w:val="0EA695F4"/>
    <w:rsid w:val="0EB87894"/>
    <w:rsid w:val="0EBDF4F4"/>
    <w:rsid w:val="0EC98389"/>
    <w:rsid w:val="0ECC8BBF"/>
    <w:rsid w:val="0ED0A808"/>
    <w:rsid w:val="0ED26831"/>
    <w:rsid w:val="0ED9CBF4"/>
    <w:rsid w:val="0EE2C083"/>
    <w:rsid w:val="0EF0EE8A"/>
    <w:rsid w:val="0F0956F6"/>
    <w:rsid w:val="0F223CE9"/>
    <w:rsid w:val="0F2C90B2"/>
    <w:rsid w:val="0F359DE6"/>
    <w:rsid w:val="0F5DFE16"/>
    <w:rsid w:val="0F6695DA"/>
    <w:rsid w:val="0F788F75"/>
    <w:rsid w:val="0F7F9D6D"/>
    <w:rsid w:val="0F8147E0"/>
    <w:rsid w:val="0F90A87C"/>
    <w:rsid w:val="0FAA2C4A"/>
    <w:rsid w:val="0FB9D41B"/>
    <w:rsid w:val="0FBCD218"/>
    <w:rsid w:val="0FBF2E4A"/>
    <w:rsid w:val="0FC40693"/>
    <w:rsid w:val="0FC97ED4"/>
    <w:rsid w:val="0FCA8F03"/>
    <w:rsid w:val="0FE6E427"/>
    <w:rsid w:val="0FE7A3D8"/>
    <w:rsid w:val="0FF68373"/>
    <w:rsid w:val="0FFB4087"/>
    <w:rsid w:val="1005CE5F"/>
    <w:rsid w:val="10101B0F"/>
    <w:rsid w:val="1024515D"/>
    <w:rsid w:val="102CD6D5"/>
    <w:rsid w:val="1030A5B8"/>
    <w:rsid w:val="10426655"/>
    <w:rsid w:val="10460154"/>
    <w:rsid w:val="106ABDD6"/>
    <w:rsid w:val="106B987E"/>
    <w:rsid w:val="106BFF1B"/>
    <w:rsid w:val="10A82B9D"/>
    <w:rsid w:val="10AA2292"/>
    <w:rsid w:val="10CC5ECB"/>
    <w:rsid w:val="10D37945"/>
    <w:rsid w:val="10D5E3BF"/>
    <w:rsid w:val="10E504ED"/>
    <w:rsid w:val="10E81238"/>
    <w:rsid w:val="10F8C7A5"/>
    <w:rsid w:val="113F7A1C"/>
    <w:rsid w:val="114AEED4"/>
    <w:rsid w:val="116808B4"/>
    <w:rsid w:val="116A294F"/>
    <w:rsid w:val="116F22EB"/>
    <w:rsid w:val="11768D6D"/>
    <w:rsid w:val="1176EA57"/>
    <w:rsid w:val="1182F736"/>
    <w:rsid w:val="118B4134"/>
    <w:rsid w:val="11933CAF"/>
    <w:rsid w:val="11ABEB70"/>
    <w:rsid w:val="11B3417E"/>
    <w:rsid w:val="11BA64DC"/>
    <w:rsid w:val="11BF51AF"/>
    <w:rsid w:val="11CC7619"/>
    <w:rsid w:val="11D6C03E"/>
    <w:rsid w:val="11ED7F7E"/>
    <w:rsid w:val="11F3B215"/>
    <w:rsid w:val="1206E293"/>
    <w:rsid w:val="120EE614"/>
    <w:rsid w:val="123E7363"/>
    <w:rsid w:val="125B0C14"/>
    <w:rsid w:val="125E438E"/>
    <w:rsid w:val="1286BB32"/>
    <w:rsid w:val="128ABF97"/>
    <w:rsid w:val="1292C47F"/>
    <w:rsid w:val="129D7759"/>
    <w:rsid w:val="12A43DA7"/>
    <w:rsid w:val="12A854C2"/>
    <w:rsid w:val="12B2D7BD"/>
    <w:rsid w:val="12BB064F"/>
    <w:rsid w:val="12C08164"/>
    <w:rsid w:val="12C6C4D1"/>
    <w:rsid w:val="12D17C33"/>
    <w:rsid w:val="12DB4A7D"/>
    <w:rsid w:val="12F491F2"/>
    <w:rsid w:val="12FC04B3"/>
    <w:rsid w:val="12FE2937"/>
    <w:rsid w:val="130125C8"/>
    <w:rsid w:val="131D0A6B"/>
    <w:rsid w:val="134FB457"/>
    <w:rsid w:val="135B865E"/>
    <w:rsid w:val="1366CCE8"/>
    <w:rsid w:val="136F329C"/>
    <w:rsid w:val="13798151"/>
    <w:rsid w:val="137C7EF9"/>
    <w:rsid w:val="138AE878"/>
    <w:rsid w:val="138B51FA"/>
    <w:rsid w:val="13973230"/>
    <w:rsid w:val="13C2A39D"/>
    <w:rsid w:val="13F5DA44"/>
    <w:rsid w:val="140A7DB7"/>
    <w:rsid w:val="140D8481"/>
    <w:rsid w:val="14113392"/>
    <w:rsid w:val="141A1FEA"/>
    <w:rsid w:val="141E3E51"/>
    <w:rsid w:val="142AB57B"/>
    <w:rsid w:val="14306867"/>
    <w:rsid w:val="1433B6D3"/>
    <w:rsid w:val="1437A224"/>
    <w:rsid w:val="143C02B7"/>
    <w:rsid w:val="1443F05D"/>
    <w:rsid w:val="1449724C"/>
    <w:rsid w:val="14555F43"/>
    <w:rsid w:val="1458E485"/>
    <w:rsid w:val="1489C304"/>
    <w:rsid w:val="14C16976"/>
    <w:rsid w:val="14DDD9B9"/>
    <w:rsid w:val="14DEE7CE"/>
    <w:rsid w:val="14EAE240"/>
    <w:rsid w:val="150416DB"/>
    <w:rsid w:val="1514792B"/>
    <w:rsid w:val="15197277"/>
    <w:rsid w:val="151F22FA"/>
    <w:rsid w:val="153FE98C"/>
    <w:rsid w:val="154707B1"/>
    <w:rsid w:val="15475136"/>
    <w:rsid w:val="1572420E"/>
    <w:rsid w:val="1588D34D"/>
    <w:rsid w:val="158A78E4"/>
    <w:rsid w:val="1594A98D"/>
    <w:rsid w:val="15958F3A"/>
    <w:rsid w:val="159BD236"/>
    <w:rsid w:val="159DE045"/>
    <w:rsid w:val="159FCFEE"/>
    <w:rsid w:val="15BF184F"/>
    <w:rsid w:val="15C26059"/>
    <w:rsid w:val="15CFAA5A"/>
    <w:rsid w:val="15E30547"/>
    <w:rsid w:val="15F615B2"/>
    <w:rsid w:val="160A1192"/>
    <w:rsid w:val="1612EB3F"/>
    <w:rsid w:val="16259365"/>
    <w:rsid w:val="163FC2D2"/>
    <w:rsid w:val="1651C177"/>
    <w:rsid w:val="1656E55C"/>
    <w:rsid w:val="16711639"/>
    <w:rsid w:val="1685810D"/>
    <w:rsid w:val="16919E3A"/>
    <w:rsid w:val="169B8F5F"/>
    <w:rsid w:val="16B423D8"/>
    <w:rsid w:val="16B85896"/>
    <w:rsid w:val="16FA445F"/>
    <w:rsid w:val="171F2463"/>
    <w:rsid w:val="1729926C"/>
    <w:rsid w:val="1754C8AC"/>
    <w:rsid w:val="175AE8B0"/>
    <w:rsid w:val="17680929"/>
    <w:rsid w:val="17A63B0B"/>
    <w:rsid w:val="17A9CC4A"/>
    <w:rsid w:val="17B7F55D"/>
    <w:rsid w:val="17D2D16E"/>
    <w:rsid w:val="17DB9333"/>
    <w:rsid w:val="17E8AC1C"/>
    <w:rsid w:val="17FA0DB7"/>
    <w:rsid w:val="183EB545"/>
    <w:rsid w:val="18733430"/>
    <w:rsid w:val="1878D2DF"/>
    <w:rsid w:val="187EF1F8"/>
    <w:rsid w:val="18A4FD4A"/>
    <w:rsid w:val="18CC4A4F"/>
    <w:rsid w:val="18DE68F5"/>
    <w:rsid w:val="18F73CAD"/>
    <w:rsid w:val="18FA011B"/>
    <w:rsid w:val="191AA609"/>
    <w:rsid w:val="19246C4B"/>
    <w:rsid w:val="1928D066"/>
    <w:rsid w:val="192F7A90"/>
    <w:rsid w:val="1939512A"/>
    <w:rsid w:val="193AD2FA"/>
    <w:rsid w:val="19461B15"/>
    <w:rsid w:val="1948D31C"/>
    <w:rsid w:val="195B3CC2"/>
    <w:rsid w:val="195C7812"/>
    <w:rsid w:val="19776394"/>
    <w:rsid w:val="19938A05"/>
    <w:rsid w:val="1994DA99"/>
    <w:rsid w:val="199F9C24"/>
    <w:rsid w:val="19B0CC02"/>
    <w:rsid w:val="19C6C75A"/>
    <w:rsid w:val="19C988C1"/>
    <w:rsid w:val="1A017069"/>
    <w:rsid w:val="1A0624AA"/>
    <w:rsid w:val="1A0D9353"/>
    <w:rsid w:val="1A2E445C"/>
    <w:rsid w:val="1A34CADF"/>
    <w:rsid w:val="1A35B5B5"/>
    <w:rsid w:val="1A3A0FA8"/>
    <w:rsid w:val="1A4CB8AC"/>
    <w:rsid w:val="1A681AB0"/>
    <w:rsid w:val="1A75CC21"/>
    <w:rsid w:val="1A7822C7"/>
    <w:rsid w:val="1A786A4F"/>
    <w:rsid w:val="1A78DE72"/>
    <w:rsid w:val="1A8709F5"/>
    <w:rsid w:val="1AC40DF2"/>
    <w:rsid w:val="1AFB957C"/>
    <w:rsid w:val="1B102A0D"/>
    <w:rsid w:val="1B1333F5"/>
    <w:rsid w:val="1B32E51A"/>
    <w:rsid w:val="1B591B43"/>
    <w:rsid w:val="1B5CD7D0"/>
    <w:rsid w:val="1B67BB9A"/>
    <w:rsid w:val="1B6C0722"/>
    <w:rsid w:val="1B970E0B"/>
    <w:rsid w:val="1B9B7957"/>
    <w:rsid w:val="1BA776D6"/>
    <w:rsid w:val="1BB692BA"/>
    <w:rsid w:val="1BCA14BD"/>
    <w:rsid w:val="1BE48023"/>
    <w:rsid w:val="1BF9BA68"/>
    <w:rsid w:val="1C03EB11"/>
    <w:rsid w:val="1C13F7EC"/>
    <w:rsid w:val="1C25B686"/>
    <w:rsid w:val="1C5995D3"/>
    <w:rsid w:val="1C67019F"/>
    <w:rsid w:val="1CAE21F2"/>
    <w:rsid w:val="1CB16EFB"/>
    <w:rsid w:val="1CB9D957"/>
    <w:rsid w:val="1CCC7B5B"/>
    <w:rsid w:val="1CD0648E"/>
    <w:rsid w:val="1CDA10B0"/>
    <w:rsid w:val="1D122668"/>
    <w:rsid w:val="1D28511D"/>
    <w:rsid w:val="1D28D6E3"/>
    <w:rsid w:val="1D52631B"/>
    <w:rsid w:val="1D958AC9"/>
    <w:rsid w:val="1D99A6FC"/>
    <w:rsid w:val="1D9A599F"/>
    <w:rsid w:val="1DA91072"/>
    <w:rsid w:val="1DAD6CE3"/>
    <w:rsid w:val="1DBEAAB7"/>
    <w:rsid w:val="1DF4B91C"/>
    <w:rsid w:val="1DF80C76"/>
    <w:rsid w:val="1DFBAEB4"/>
    <w:rsid w:val="1E0FE42E"/>
    <w:rsid w:val="1E145E5E"/>
    <w:rsid w:val="1E1675F9"/>
    <w:rsid w:val="1E1A7202"/>
    <w:rsid w:val="1E1F097A"/>
    <w:rsid w:val="1E37419E"/>
    <w:rsid w:val="1E47CFE2"/>
    <w:rsid w:val="1E4AD4B7"/>
    <w:rsid w:val="1E4CCFF2"/>
    <w:rsid w:val="1E5D2E59"/>
    <w:rsid w:val="1E769034"/>
    <w:rsid w:val="1E7C7904"/>
    <w:rsid w:val="1E8042F1"/>
    <w:rsid w:val="1E92A35D"/>
    <w:rsid w:val="1EC43FF9"/>
    <w:rsid w:val="1EC7A7FC"/>
    <w:rsid w:val="1ED5D467"/>
    <w:rsid w:val="1EE17FFA"/>
    <w:rsid w:val="1EE275B4"/>
    <w:rsid w:val="1EF1C9E9"/>
    <w:rsid w:val="1EF4AF3B"/>
    <w:rsid w:val="1F1AB2A6"/>
    <w:rsid w:val="1F2E44E2"/>
    <w:rsid w:val="1F3D3680"/>
    <w:rsid w:val="1F493D44"/>
    <w:rsid w:val="1F4A9C6A"/>
    <w:rsid w:val="1F5D5748"/>
    <w:rsid w:val="1F8186F1"/>
    <w:rsid w:val="1F81D20F"/>
    <w:rsid w:val="1F861E5E"/>
    <w:rsid w:val="1F933044"/>
    <w:rsid w:val="1F977F15"/>
    <w:rsid w:val="1FAF1BA0"/>
    <w:rsid w:val="1FAF6980"/>
    <w:rsid w:val="1FB103C0"/>
    <w:rsid w:val="1FB9CD85"/>
    <w:rsid w:val="1FBF76F2"/>
    <w:rsid w:val="1FC9C158"/>
    <w:rsid w:val="1FE57251"/>
    <w:rsid w:val="1FF0F0B2"/>
    <w:rsid w:val="2034DF62"/>
    <w:rsid w:val="203579DA"/>
    <w:rsid w:val="203A7527"/>
    <w:rsid w:val="20496812"/>
    <w:rsid w:val="2056B0DB"/>
    <w:rsid w:val="205722B8"/>
    <w:rsid w:val="206CCD06"/>
    <w:rsid w:val="206DF276"/>
    <w:rsid w:val="2075662E"/>
    <w:rsid w:val="207AAC76"/>
    <w:rsid w:val="20908346"/>
    <w:rsid w:val="2090C0DC"/>
    <w:rsid w:val="209E3509"/>
    <w:rsid w:val="20A9ABA3"/>
    <w:rsid w:val="20BA91CD"/>
    <w:rsid w:val="20CA93FB"/>
    <w:rsid w:val="20CD71CD"/>
    <w:rsid w:val="2107E491"/>
    <w:rsid w:val="210EEB6F"/>
    <w:rsid w:val="212AC7D4"/>
    <w:rsid w:val="21334F76"/>
    <w:rsid w:val="213DFCE4"/>
    <w:rsid w:val="2144630F"/>
    <w:rsid w:val="2146A0A7"/>
    <w:rsid w:val="214DEB8C"/>
    <w:rsid w:val="21597139"/>
    <w:rsid w:val="215FE851"/>
    <w:rsid w:val="216FFA18"/>
    <w:rsid w:val="21700BEC"/>
    <w:rsid w:val="219534D0"/>
    <w:rsid w:val="219B9DD6"/>
    <w:rsid w:val="21A36DEA"/>
    <w:rsid w:val="21CA441F"/>
    <w:rsid w:val="21DBA931"/>
    <w:rsid w:val="21E98605"/>
    <w:rsid w:val="21FC4806"/>
    <w:rsid w:val="2200151B"/>
    <w:rsid w:val="221920BC"/>
    <w:rsid w:val="221A1676"/>
    <w:rsid w:val="221FB7B8"/>
    <w:rsid w:val="224B1687"/>
    <w:rsid w:val="2271322B"/>
    <w:rsid w:val="227B633A"/>
    <w:rsid w:val="2286407C"/>
    <w:rsid w:val="22921BDA"/>
    <w:rsid w:val="22B55F69"/>
    <w:rsid w:val="22C865AD"/>
    <w:rsid w:val="22DBD616"/>
    <w:rsid w:val="22E03370"/>
    <w:rsid w:val="22FBDA84"/>
    <w:rsid w:val="230C03F3"/>
    <w:rsid w:val="2311A9AB"/>
    <w:rsid w:val="2319AE7C"/>
    <w:rsid w:val="23204115"/>
    <w:rsid w:val="233B1F79"/>
    <w:rsid w:val="2344A2E4"/>
    <w:rsid w:val="2346B2F0"/>
    <w:rsid w:val="2351912D"/>
    <w:rsid w:val="23600806"/>
    <w:rsid w:val="237A036F"/>
    <w:rsid w:val="239792A1"/>
    <w:rsid w:val="23C99993"/>
    <w:rsid w:val="23E1C07C"/>
    <w:rsid w:val="23E96CC2"/>
    <w:rsid w:val="23FB6C2F"/>
    <w:rsid w:val="241002FA"/>
    <w:rsid w:val="2417F792"/>
    <w:rsid w:val="241B9BD5"/>
    <w:rsid w:val="241F27F0"/>
    <w:rsid w:val="2454C9BC"/>
    <w:rsid w:val="247AF4C2"/>
    <w:rsid w:val="248D3EA8"/>
    <w:rsid w:val="249451AF"/>
    <w:rsid w:val="24AD7A0C"/>
    <w:rsid w:val="24BEE715"/>
    <w:rsid w:val="24C01863"/>
    <w:rsid w:val="24C4D4FD"/>
    <w:rsid w:val="24CA60C6"/>
    <w:rsid w:val="24F7016E"/>
    <w:rsid w:val="24FD3E25"/>
    <w:rsid w:val="250D2093"/>
    <w:rsid w:val="250FDCDF"/>
    <w:rsid w:val="252A439A"/>
    <w:rsid w:val="252E3E60"/>
    <w:rsid w:val="253490F5"/>
    <w:rsid w:val="2534B42C"/>
    <w:rsid w:val="256709C5"/>
    <w:rsid w:val="2570A74C"/>
    <w:rsid w:val="25B58279"/>
    <w:rsid w:val="25BF0280"/>
    <w:rsid w:val="25C5605F"/>
    <w:rsid w:val="25D1E454"/>
    <w:rsid w:val="25F67711"/>
    <w:rsid w:val="25FD7FCD"/>
    <w:rsid w:val="260CDD9E"/>
    <w:rsid w:val="26223A34"/>
    <w:rsid w:val="26247FB2"/>
    <w:rsid w:val="262B7780"/>
    <w:rsid w:val="262EB613"/>
    <w:rsid w:val="26302210"/>
    <w:rsid w:val="263114DC"/>
    <w:rsid w:val="264EBCE4"/>
    <w:rsid w:val="26632997"/>
    <w:rsid w:val="267B4B27"/>
    <w:rsid w:val="267D75C4"/>
    <w:rsid w:val="26846A3A"/>
    <w:rsid w:val="2693FDD5"/>
    <w:rsid w:val="26B1A431"/>
    <w:rsid w:val="26B9A0AF"/>
    <w:rsid w:val="26F7AAF7"/>
    <w:rsid w:val="26FAFF87"/>
    <w:rsid w:val="2703A99F"/>
    <w:rsid w:val="270E625F"/>
    <w:rsid w:val="271F2E2E"/>
    <w:rsid w:val="27379E38"/>
    <w:rsid w:val="273C15FD"/>
    <w:rsid w:val="273D24AB"/>
    <w:rsid w:val="2743D0F7"/>
    <w:rsid w:val="2747A3BC"/>
    <w:rsid w:val="274A39DB"/>
    <w:rsid w:val="2751D2B8"/>
    <w:rsid w:val="27598FAF"/>
    <w:rsid w:val="275AD2E1"/>
    <w:rsid w:val="2776B81B"/>
    <w:rsid w:val="27EA8D45"/>
    <w:rsid w:val="27F1F40D"/>
    <w:rsid w:val="27F7B925"/>
    <w:rsid w:val="27FBCB34"/>
    <w:rsid w:val="283985A3"/>
    <w:rsid w:val="28451B35"/>
    <w:rsid w:val="28543F98"/>
    <w:rsid w:val="285A6D05"/>
    <w:rsid w:val="285C7F1E"/>
    <w:rsid w:val="289A2C55"/>
    <w:rsid w:val="289F7A00"/>
    <w:rsid w:val="28A60992"/>
    <w:rsid w:val="28ACACAE"/>
    <w:rsid w:val="28E3B94D"/>
    <w:rsid w:val="28F41E96"/>
    <w:rsid w:val="28F8CA1A"/>
    <w:rsid w:val="28FB8855"/>
    <w:rsid w:val="2904398E"/>
    <w:rsid w:val="2922F851"/>
    <w:rsid w:val="293B7987"/>
    <w:rsid w:val="29437A8F"/>
    <w:rsid w:val="29490CFD"/>
    <w:rsid w:val="297A6129"/>
    <w:rsid w:val="298B5280"/>
    <w:rsid w:val="29A0F79C"/>
    <w:rsid w:val="29B82791"/>
    <w:rsid w:val="29B8A278"/>
    <w:rsid w:val="29DFF403"/>
    <w:rsid w:val="29E091B6"/>
    <w:rsid w:val="29EADC61"/>
    <w:rsid w:val="29F14171"/>
    <w:rsid w:val="29FE0F66"/>
    <w:rsid w:val="2A15F064"/>
    <w:rsid w:val="2A24B092"/>
    <w:rsid w:val="2A4B7235"/>
    <w:rsid w:val="2A73CDD8"/>
    <w:rsid w:val="2A7CF2A1"/>
    <w:rsid w:val="2A9D2DBF"/>
    <w:rsid w:val="2ABC65D4"/>
    <w:rsid w:val="2AC69B39"/>
    <w:rsid w:val="2AC86207"/>
    <w:rsid w:val="2AEB4555"/>
    <w:rsid w:val="2B022736"/>
    <w:rsid w:val="2B09857A"/>
    <w:rsid w:val="2B1F02BC"/>
    <w:rsid w:val="2B3CC7FD"/>
    <w:rsid w:val="2B3F53B4"/>
    <w:rsid w:val="2B5F1792"/>
    <w:rsid w:val="2B6001B9"/>
    <w:rsid w:val="2B7C6217"/>
    <w:rsid w:val="2B7DBA02"/>
    <w:rsid w:val="2B86ACC2"/>
    <w:rsid w:val="2B8F5A1E"/>
    <w:rsid w:val="2BC4C703"/>
    <w:rsid w:val="2BCB07D9"/>
    <w:rsid w:val="2BCEBF1E"/>
    <w:rsid w:val="2BD1CD17"/>
    <w:rsid w:val="2BF34074"/>
    <w:rsid w:val="2BFF30DB"/>
    <w:rsid w:val="2C0890FD"/>
    <w:rsid w:val="2C0ACDCC"/>
    <w:rsid w:val="2C35CC8B"/>
    <w:rsid w:val="2C36FCC7"/>
    <w:rsid w:val="2C3B6B11"/>
    <w:rsid w:val="2C4C58FC"/>
    <w:rsid w:val="2C5502AD"/>
    <w:rsid w:val="2CA62BA2"/>
    <w:rsid w:val="2CB72264"/>
    <w:rsid w:val="2CC7FDCB"/>
    <w:rsid w:val="2CD3D0C4"/>
    <w:rsid w:val="2CEBAEAE"/>
    <w:rsid w:val="2D038859"/>
    <w:rsid w:val="2D0E33F0"/>
    <w:rsid w:val="2D20E5B5"/>
    <w:rsid w:val="2D227D23"/>
    <w:rsid w:val="2D28E233"/>
    <w:rsid w:val="2D296D4F"/>
    <w:rsid w:val="2D3B2F54"/>
    <w:rsid w:val="2D3B32DD"/>
    <w:rsid w:val="2D3C3909"/>
    <w:rsid w:val="2D3DA23F"/>
    <w:rsid w:val="2D5236C8"/>
    <w:rsid w:val="2D629FF7"/>
    <w:rsid w:val="2D63B90A"/>
    <w:rsid w:val="2D6D9D78"/>
    <w:rsid w:val="2D89F418"/>
    <w:rsid w:val="2D8CBDFF"/>
    <w:rsid w:val="2DA8BB45"/>
    <w:rsid w:val="2DB6683D"/>
    <w:rsid w:val="2DD6A1D3"/>
    <w:rsid w:val="2DE2D792"/>
    <w:rsid w:val="2DFE3BFB"/>
    <w:rsid w:val="2E0BFA39"/>
    <w:rsid w:val="2E1917CD"/>
    <w:rsid w:val="2E1FFB9F"/>
    <w:rsid w:val="2E2D4C19"/>
    <w:rsid w:val="2E3484E2"/>
    <w:rsid w:val="2E412A63"/>
    <w:rsid w:val="2E54928E"/>
    <w:rsid w:val="2E5E2C98"/>
    <w:rsid w:val="2E741681"/>
    <w:rsid w:val="2E8CD3B0"/>
    <w:rsid w:val="2EB402D9"/>
    <w:rsid w:val="2EB4C890"/>
    <w:rsid w:val="2EF629EC"/>
    <w:rsid w:val="2F1659B1"/>
    <w:rsid w:val="2F1A4BCE"/>
    <w:rsid w:val="2F20BC84"/>
    <w:rsid w:val="2F21AAA1"/>
    <w:rsid w:val="2F460A23"/>
    <w:rsid w:val="2F576D96"/>
    <w:rsid w:val="2F5F607E"/>
    <w:rsid w:val="2F654FE8"/>
    <w:rsid w:val="2F673710"/>
    <w:rsid w:val="2F7042D7"/>
    <w:rsid w:val="2F75A823"/>
    <w:rsid w:val="2F84B6BC"/>
    <w:rsid w:val="2F8C8D44"/>
    <w:rsid w:val="2F9A0C5C"/>
    <w:rsid w:val="2FB4E82E"/>
    <w:rsid w:val="2FBF5A1A"/>
    <w:rsid w:val="2FE5CF53"/>
    <w:rsid w:val="2FF31062"/>
    <w:rsid w:val="3017E3C2"/>
    <w:rsid w:val="3022198A"/>
    <w:rsid w:val="30261CDC"/>
    <w:rsid w:val="303372DC"/>
    <w:rsid w:val="303B291B"/>
    <w:rsid w:val="30475A98"/>
    <w:rsid w:val="30653470"/>
    <w:rsid w:val="30676182"/>
    <w:rsid w:val="30805037"/>
    <w:rsid w:val="30A1F8A7"/>
    <w:rsid w:val="30D6AC58"/>
    <w:rsid w:val="30EF590E"/>
    <w:rsid w:val="3103B91D"/>
    <w:rsid w:val="310F4B73"/>
    <w:rsid w:val="31269A24"/>
    <w:rsid w:val="313E7404"/>
    <w:rsid w:val="314759D9"/>
    <w:rsid w:val="315160C6"/>
    <w:rsid w:val="31661B66"/>
    <w:rsid w:val="317168BA"/>
    <w:rsid w:val="31A44045"/>
    <w:rsid w:val="31C795F0"/>
    <w:rsid w:val="31D4DBA6"/>
    <w:rsid w:val="31DD5923"/>
    <w:rsid w:val="31FCDE72"/>
    <w:rsid w:val="3205085F"/>
    <w:rsid w:val="32088B5C"/>
    <w:rsid w:val="3211A5CB"/>
    <w:rsid w:val="32132EF0"/>
    <w:rsid w:val="3238CE9B"/>
    <w:rsid w:val="327437F6"/>
    <w:rsid w:val="32804775"/>
    <w:rsid w:val="32A081BC"/>
    <w:rsid w:val="32B8F214"/>
    <w:rsid w:val="32E50AE4"/>
    <w:rsid w:val="3316929E"/>
    <w:rsid w:val="331F3F07"/>
    <w:rsid w:val="3332EC53"/>
    <w:rsid w:val="33417C93"/>
    <w:rsid w:val="335E272F"/>
    <w:rsid w:val="33699163"/>
    <w:rsid w:val="3381C9FD"/>
    <w:rsid w:val="338773FC"/>
    <w:rsid w:val="338839B3"/>
    <w:rsid w:val="3391A1C1"/>
    <w:rsid w:val="339B7A30"/>
    <w:rsid w:val="33B0C6A6"/>
    <w:rsid w:val="33B37AD5"/>
    <w:rsid w:val="33B64AEE"/>
    <w:rsid w:val="33B9F50C"/>
    <w:rsid w:val="33BD22D6"/>
    <w:rsid w:val="33D0F1D0"/>
    <w:rsid w:val="33DF6C6A"/>
    <w:rsid w:val="33F418B8"/>
    <w:rsid w:val="33FD7C96"/>
    <w:rsid w:val="34040CCE"/>
    <w:rsid w:val="3413EEA7"/>
    <w:rsid w:val="341ECB05"/>
    <w:rsid w:val="34255C58"/>
    <w:rsid w:val="342973DD"/>
    <w:rsid w:val="343CCBAC"/>
    <w:rsid w:val="34445969"/>
    <w:rsid w:val="3454C275"/>
    <w:rsid w:val="3472264C"/>
    <w:rsid w:val="347B0843"/>
    <w:rsid w:val="347DA1EF"/>
    <w:rsid w:val="3484B6E1"/>
    <w:rsid w:val="3497BF9C"/>
    <w:rsid w:val="349C1C55"/>
    <w:rsid w:val="349EE26A"/>
    <w:rsid w:val="34A9097C"/>
    <w:rsid w:val="34B5F96C"/>
    <w:rsid w:val="34D218BD"/>
    <w:rsid w:val="34D2638C"/>
    <w:rsid w:val="34EC5836"/>
    <w:rsid w:val="34EC60D2"/>
    <w:rsid w:val="351C0E9B"/>
    <w:rsid w:val="35209792"/>
    <w:rsid w:val="35240A14"/>
    <w:rsid w:val="35296DBD"/>
    <w:rsid w:val="352D7222"/>
    <w:rsid w:val="3545C6D7"/>
    <w:rsid w:val="355C416D"/>
    <w:rsid w:val="355FE6E1"/>
    <w:rsid w:val="35689AB4"/>
    <w:rsid w:val="356D3E12"/>
    <w:rsid w:val="357610C9"/>
    <w:rsid w:val="35A8057A"/>
    <w:rsid w:val="35BC86DA"/>
    <w:rsid w:val="35DAECB1"/>
    <w:rsid w:val="35F46F9A"/>
    <w:rsid w:val="35F7ED00"/>
    <w:rsid w:val="361C49A3"/>
    <w:rsid w:val="361F3184"/>
    <w:rsid w:val="362DA359"/>
    <w:rsid w:val="363995B1"/>
    <w:rsid w:val="363BA12D"/>
    <w:rsid w:val="363F177C"/>
    <w:rsid w:val="364B6DAC"/>
    <w:rsid w:val="36631885"/>
    <w:rsid w:val="36773365"/>
    <w:rsid w:val="367A8E09"/>
    <w:rsid w:val="3687682A"/>
    <w:rsid w:val="36916EF1"/>
    <w:rsid w:val="369C91BB"/>
    <w:rsid w:val="36A2E88C"/>
    <w:rsid w:val="36A7A4E7"/>
    <w:rsid w:val="36AE33DD"/>
    <w:rsid w:val="36BF14BE"/>
    <w:rsid w:val="36C53E1E"/>
    <w:rsid w:val="36D6695E"/>
    <w:rsid w:val="36EA0D6F"/>
    <w:rsid w:val="371DD61A"/>
    <w:rsid w:val="372195C2"/>
    <w:rsid w:val="37389CD0"/>
    <w:rsid w:val="373BAD90"/>
    <w:rsid w:val="373F7B44"/>
    <w:rsid w:val="3755842B"/>
    <w:rsid w:val="37641C01"/>
    <w:rsid w:val="37757FB3"/>
    <w:rsid w:val="3778E431"/>
    <w:rsid w:val="37A9C70E"/>
    <w:rsid w:val="37BF629B"/>
    <w:rsid w:val="37BFA86E"/>
    <w:rsid w:val="37C0A24A"/>
    <w:rsid w:val="37DF2155"/>
    <w:rsid w:val="37E2F0BA"/>
    <w:rsid w:val="37F0832A"/>
    <w:rsid w:val="38316772"/>
    <w:rsid w:val="3838621C"/>
    <w:rsid w:val="3842AAD2"/>
    <w:rsid w:val="3848636B"/>
    <w:rsid w:val="3850CAC8"/>
    <w:rsid w:val="387239BF"/>
    <w:rsid w:val="38730C28"/>
    <w:rsid w:val="3893E22F"/>
    <w:rsid w:val="38BDFB81"/>
    <w:rsid w:val="38D30A81"/>
    <w:rsid w:val="38DB4BA5"/>
    <w:rsid w:val="38E90530"/>
    <w:rsid w:val="38F0A64E"/>
    <w:rsid w:val="38F44622"/>
    <w:rsid w:val="38F8CB04"/>
    <w:rsid w:val="38F8DF06"/>
    <w:rsid w:val="39083D67"/>
    <w:rsid w:val="390E30DA"/>
    <w:rsid w:val="391A5D58"/>
    <w:rsid w:val="39352CC3"/>
    <w:rsid w:val="393CD5FC"/>
    <w:rsid w:val="393D132C"/>
    <w:rsid w:val="3956D246"/>
    <w:rsid w:val="395BE09F"/>
    <w:rsid w:val="397A165A"/>
    <w:rsid w:val="39817E1C"/>
    <w:rsid w:val="39846825"/>
    <w:rsid w:val="39A21703"/>
    <w:rsid w:val="39CB49D3"/>
    <w:rsid w:val="39DD2D6B"/>
    <w:rsid w:val="39E64060"/>
    <w:rsid w:val="39F77B37"/>
    <w:rsid w:val="39FCDEE0"/>
    <w:rsid w:val="39FD2D38"/>
    <w:rsid w:val="3A0089FF"/>
    <w:rsid w:val="3A02D0EB"/>
    <w:rsid w:val="3A0E0A20"/>
    <w:rsid w:val="3A1A5A48"/>
    <w:rsid w:val="3A465B68"/>
    <w:rsid w:val="3A7330EC"/>
    <w:rsid w:val="3AB62DB9"/>
    <w:rsid w:val="3ABB20BA"/>
    <w:rsid w:val="3AC9638E"/>
    <w:rsid w:val="3AE461F1"/>
    <w:rsid w:val="3AE657AE"/>
    <w:rsid w:val="3B154B26"/>
    <w:rsid w:val="3B1BFE29"/>
    <w:rsid w:val="3B220B92"/>
    <w:rsid w:val="3B25E07A"/>
    <w:rsid w:val="3B31FA86"/>
    <w:rsid w:val="3B6A605E"/>
    <w:rsid w:val="3B7002DE"/>
    <w:rsid w:val="3B70ADE0"/>
    <w:rsid w:val="3BAC1DBD"/>
    <w:rsid w:val="3BDC95E3"/>
    <w:rsid w:val="3C23862F"/>
    <w:rsid w:val="3C24D4E1"/>
    <w:rsid w:val="3C254B50"/>
    <w:rsid w:val="3C2D5864"/>
    <w:rsid w:val="3C371DE5"/>
    <w:rsid w:val="3C40F4FE"/>
    <w:rsid w:val="3C49EA7B"/>
    <w:rsid w:val="3C69970A"/>
    <w:rsid w:val="3C741693"/>
    <w:rsid w:val="3C7D3831"/>
    <w:rsid w:val="3C80AE7D"/>
    <w:rsid w:val="3C96608E"/>
    <w:rsid w:val="3CA57FCA"/>
    <w:rsid w:val="3CB15FDE"/>
    <w:rsid w:val="3CB2CB8A"/>
    <w:rsid w:val="3CBEFFC6"/>
    <w:rsid w:val="3CCC0C4E"/>
    <w:rsid w:val="3CE2C145"/>
    <w:rsid w:val="3CEA220E"/>
    <w:rsid w:val="3CEDB0D8"/>
    <w:rsid w:val="3CEEEE91"/>
    <w:rsid w:val="3D0E0BE3"/>
    <w:rsid w:val="3D1724E1"/>
    <w:rsid w:val="3D1DE122"/>
    <w:rsid w:val="3D3C6D28"/>
    <w:rsid w:val="3D45AAE2"/>
    <w:rsid w:val="3D5329FA"/>
    <w:rsid w:val="3D5D5CDB"/>
    <w:rsid w:val="3DAAEF14"/>
    <w:rsid w:val="3DB5E680"/>
    <w:rsid w:val="3DCA777F"/>
    <w:rsid w:val="3DD4798D"/>
    <w:rsid w:val="3DDC1617"/>
    <w:rsid w:val="3E17498A"/>
    <w:rsid w:val="3E1C7EDE"/>
    <w:rsid w:val="3E221935"/>
    <w:rsid w:val="3E2A4369"/>
    <w:rsid w:val="3E2F3347"/>
    <w:rsid w:val="3E318CAF"/>
    <w:rsid w:val="3E32F0F3"/>
    <w:rsid w:val="3E4AC84F"/>
    <w:rsid w:val="3E4DE989"/>
    <w:rsid w:val="3E5328BF"/>
    <w:rsid w:val="3E5FC4AE"/>
    <w:rsid w:val="3E6B339B"/>
    <w:rsid w:val="3E906702"/>
    <w:rsid w:val="3EA94136"/>
    <w:rsid w:val="3EC86911"/>
    <w:rsid w:val="3ED24A1F"/>
    <w:rsid w:val="3ED83D89"/>
    <w:rsid w:val="3EDED293"/>
    <w:rsid w:val="3EF487D5"/>
    <w:rsid w:val="3EFF3C5B"/>
    <w:rsid w:val="3F077981"/>
    <w:rsid w:val="3F115F7B"/>
    <w:rsid w:val="3F1E2C29"/>
    <w:rsid w:val="3F2F4B8B"/>
    <w:rsid w:val="3F34D321"/>
    <w:rsid w:val="3F3719E0"/>
    <w:rsid w:val="3F3F74FA"/>
    <w:rsid w:val="3F4D1F83"/>
    <w:rsid w:val="3F50C903"/>
    <w:rsid w:val="3F514F93"/>
    <w:rsid w:val="3F57B909"/>
    <w:rsid w:val="3F6D23A3"/>
    <w:rsid w:val="3F918C62"/>
    <w:rsid w:val="3FBE2E8A"/>
    <w:rsid w:val="3FCB896E"/>
    <w:rsid w:val="3FCE0150"/>
    <w:rsid w:val="3FD1AE6F"/>
    <w:rsid w:val="3FD4859F"/>
    <w:rsid w:val="3FDB933A"/>
    <w:rsid w:val="3FE4FB1C"/>
    <w:rsid w:val="3FEEF920"/>
    <w:rsid w:val="3FF4BB97"/>
    <w:rsid w:val="401650B3"/>
    <w:rsid w:val="4018A241"/>
    <w:rsid w:val="401D1661"/>
    <w:rsid w:val="402642AD"/>
    <w:rsid w:val="40541E7A"/>
    <w:rsid w:val="405F06D8"/>
    <w:rsid w:val="40643972"/>
    <w:rsid w:val="40898B80"/>
    <w:rsid w:val="409009C7"/>
    <w:rsid w:val="40AF74D8"/>
    <w:rsid w:val="40CE8EFA"/>
    <w:rsid w:val="40CE916C"/>
    <w:rsid w:val="40D7F60D"/>
    <w:rsid w:val="40DB455B"/>
    <w:rsid w:val="40E0EB13"/>
    <w:rsid w:val="40ED8742"/>
    <w:rsid w:val="40F84604"/>
    <w:rsid w:val="410D3867"/>
    <w:rsid w:val="410FDE3D"/>
    <w:rsid w:val="4112EBCD"/>
    <w:rsid w:val="411BB525"/>
    <w:rsid w:val="412EFCB4"/>
    <w:rsid w:val="4140919A"/>
    <w:rsid w:val="414657AA"/>
    <w:rsid w:val="41495DF2"/>
    <w:rsid w:val="414AF34E"/>
    <w:rsid w:val="415F76D3"/>
    <w:rsid w:val="416759CF"/>
    <w:rsid w:val="41705600"/>
    <w:rsid w:val="41819F0F"/>
    <w:rsid w:val="418F7A0A"/>
    <w:rsid w:val="41A7DA23"/>
    <w:rsid w:val="41C0F15D"/>
    <w:rsid w:val="41FCA53C"/>
    <w:rsid w:val="42191C05"/>
    <w:rsid w:val="422A2DFB"/>
    <w:rsid w:val="423549D4"/>
    <w:rsid w:val="424B51C2"/>
    <w:rsid w:val="4250FB51"/>
    <w:rsid w:val="4255A71E"/>
    <w:rsid w:val="425890CD"/>
    <w:rsid w:val="426088C1"/>
    <w:rsid w:val="42646D96"/>
    <w:rsid w:val="426A5F5B"/>
    <w:rsid w:val="427CBB74"/>
    <w:rsid w:val="428957A3"/>
    <w:rsid w:val="42CACD15"/>
    <w:rsid w:val="42E81DF2"/>
    <w:rsid w:val="42EA5D2F"/>
    <w:rsid w:val="42EC79B5"/>
    <w:rsid w:val="42F6F348"/>
    <w:rsid w:val="43032A30"/>
    <w:rsid w:val="430996B1"/>
    <w:rsid w:val="432B4A6B"/>
    <w:rsid w:val="432EBB1B"/>
    <w:rsid w:val="433335D1"/>
    <w:rsid w:val="43605637"/>
    <w:rsid w:val="4387BF7F"/>
    <w:rsid w:val="438BBF3C"/>
    <w:rsid w:val="43ABAEAC"/>
    <w:rsid w:val="43B35079"/>
    <w:rsid w:val="43B72FA2"/>
    <w:rsid w:val="43BCD9EC"/>
    <w:rsid w:val="43BE1374"/>
    <w:rsid w:val="43C4F325"/>
    <w:rsid w:val="43EE79D7"/>
    <w:rsid w:val="43F11E72"/>
    <w:rsid w:val="43F17B9C"/>
    <w:rsid w:val="43F4D797"/>
    <w:rsid w:val="43FF1E94"/>
    <w:rsid w:val="440DFAE2"/>
    <w:rsid w:val="440F96CF"/>
    <w:rsid w:val="443C17BD"/>
    <w:rsid w:val="44760825"/>
    <w:rsid w:val="447726FA"/>
    <w:rsid w:val="4478F813"/>
    <w:rsid w:val="4485D234"/>
    <w:rsid w:val="448AAF9D"/>
    <w:rsid w:val="448C3890"/>
    <w:rsid w:val="44936808"/>
    <w:rsid w:val="449E74CB"/>
    <w:rsid w:val="44A17273"/>
    <w:rsid w:val="44B930E2"/>
    <w:rsid w:val="44D03AEF"/>
    <w:rsid w:val="44D219A0"/>
    <w:rsid w:val="44F1C776"/>
    <w:rsid w:val="44F21960"/>
    <w:rsid w:val="44F3C3BD"/>
    <w:rsid w:val="44F98275"/>
    <w:rsid w:val="44FA73A0"/>
    <w:rsid w:val="45187968"/>
    <w:rsid w:val="4537AA95"/>
    <w:rsid w:val="4538E083"/>
    <w:rsid w:val="45477F0D"/>
    <w:rsid w:val="45700FD0"/>
    <w:rsid w:val="457917B1"/>
    <w:rsid w:val="457F65F0"/>
    <w:rsid w:val="45837CC0"/>
    <w:rsid w:val="45C6C9BC"/>
    <w:rsid w:val="45C9A012"/>
    <w:rsid w:val="45D7E81E"/>
    <w:rsid w:val="45DC00D6"/>
    <w:rsid w:val="45E65CF0"/>
    <w:rsid w:val="4613650A"/>
    <w:rsid w:val="461402BD"/>
    <w:rsid w:val="46199351"/>
    <w:rsid w:val="461E3082"/>
    <w:rsid w:val="461E63F6"/>
    <w:rsid w:val="46213B4A"/>
    <w:rsid w:val="4624D293"/>
    <w:rsid w:val="462790C3"/>
    <w:rsid w:val="46290A55"/>
    <w:rsid w:val="463B1B92"/>
    <w:rsid w:val="46698616"/>
    <w:rsid w:val="467B28C2"/>
    <w:rsid w:val="467F51A7"/>
    <w:rsid w:val="4690A47E"/>
    <w:rsid w:val="4691340C"/>
    <w:rsid w:val="46964401"/>
    <w:rsid w:val="46A81F29"/>
    <w:rsid w:val="46B0ACE0"/>
    <w:rsid w:val="46B2B585"/>
    <w:rsid w:val="46BD4E02"/>
    <w:rsid w:val="46E40BC9"/>
    <w:rsid w:val="46EC8D28"/>
    <w:rsid w:val="46EF405E"/>
    <w:rsid w:val="470BF6EA"/>
    <w:rsid w:val="4718DAC5"/>
    <w:rsid w:val="4745F4FE"/>
    <w:rsid w:val="474EC09A"/>
    <w:rsid w:val="4761F480"/>
    <w:rsid w:val="477EAF96"/>
    <w:rsid w:val="479B2D3E"/>
    <w:rsid w:val="479C4CE3"/>
    <w:rsid w:val="479D53BB"/>
    <w:rsid w:val="47B33DDF"/>
    <w:rsid w:val="47C4DAB6"/>
    <w:rsid w:val="47C8FB7B"/>
    <w:rsid w:val="47E2478A"/>
    <w:rsid w:val="47E65CBE"/>
    <w:rsid w:val="47E6A51F"/>
    <w:rsid w:val="47FC5749"/>
    <w:rsid w:val="480BAB7E"/>
    <w:rsid w:val="481215E1"/>
    <w:rsid w:val="4821B246"/>
    <w:rsid w:val="482BCA57"/>
    <w:rsid w:val="482C56D7"/>
    <w:rsid w:val="48508BB9"/>
    <w:rsid w:val="485B3450"/>
    <w:rsid w:val="4865E6DF"/>
    <w:rsid w:val="486F69AB"/>
    <w:rsid w:val="4875C501"/>
    <w:rsid w:val="487F1FCF"/>
    <w:rsid w:val="48904B0F"/>
    <w:rsid w:val="48CF3E2E"/>
    <w:rsid w:val="48D8E2F0"/>
    <w:rsid w:val="48DB0830"/>
    <w:rsid w:val="48F3E972"/>
    <w:rsid w:val="491DFDB2"/>
    <w:rsid w:val="493CCDFD"/>
    <w:rsid w:val="494BA922"/>
    <w:rsid w:val="496F1AA4"/>
    <w:rsid w:val="4975CF3E"/>
    <w:rsid w:val="497DAE27"/>
    <w:rsid w:val="4983556B"/>
    <w:rsid w:val="498BFEA7"/>
    <w:rsid w:val="49A10E7F"/>
    <w:rsid w:val="49A39BED"/>
    <w:rsid w:val="49D8156C"/>
    <w:rsid w:val="49F704B1"/>
    <w:rsid w:val="4A022596"/>
    <w:rsid w:val="4A1CF6BD"/>
    <w:rsid w:val="4A2C1B70"/>
    <w:rsid w:val="4A2CAA3E"/>
    <w:rsid w:val="4A314322"/>
    <w:rsid w:val="4A6F7F7B"/>
    <w:rsid w:val="4A9031F6"/>
    <w:rsid w:val="4A9C570E"/>
    <w:rsid w:val="4A9DA64F"/>
    <w:rsid w:val="4ABC0833"/>
    <w:rsid w:val="4AD2C9C1"/>
    <w:rsid w:val="4AD43F09"/>
    <w:rsid w:val="4AFC7B78"/>
    <w:rsid w:val="4AFE4E05"/>
    <w:rsid w:val="4B15AC25"/>
    <w:rsid w:val="4B1FC746"/>
    <w:rsid w:val="4B2076F6"/>
    <w:rsid w:val="4B34D367"/>
    <w:rsid w:val="4B37FA56"/>
    <w:rsid w:val="4B434C40"/>
    <w:rsid w:val="4B733544"/>
    <w:rsid w:val="4B73E5CD"/>
    <w:rsid w:val="4B8951B9"/>
    <w:rsid w:val="4BA6EC19"/>
    <w:rsid w:val="4BB15CE8"/>
    <w:rsid w:val="4BC24187"/>
    <w:rsid w:val="4BC554DF"/>
    <w:rsid w:val="4BCD6C72"/>
    <w:rsid w:val="4BEB3748"/>
    <w:rsid w:val="4BFE8B19"/>
    <w:rsid w:val="4C090960"/>
    <w:rsid w:val="4C0B4FDC"/>
    <w:rsid w:val="4C11FFFE"/>
    <w:rsid w:val="4C3976B0"/>
    <w:rsid w:val="4C56BA57"/>
    <w:rsid w:val="4C602822"/>
    <w:rsid w:val="4C7129EA"/>
    <w:rsid w:val="4C984BD9"/>
    <w:rsid w:val="4CA73D93"/>
    <w:rsid w:val="4CAA2219"/>
    <w:rsid w:val="4CAC8458"/>
    <w:rsid w:val="4CBAF62D"/>
    <w:rsid w:val="4CCC6A50"/>
    <w:rsid w:val="4CD5DFDA"/>
    <w:rsid w:val="4D08B81D"/>
    <w:rsid w:val="4D1B98AB"/>
    <w:rsid w:val="4D1BEA95"/>
    <w:rsid w:val="4D1CE3B1"/>
    <w:rsid w:val="4D22CA15"/>
    <w:rsid w:val="4D22E4A0"/>
    <w:rsid w:val="4D3404EC"/>
    <w:rsid w:val="4D42BC7A"/>
    <w:rsid w:val="4D44E17B"/>
    <w:rsid w:val="4D47CDD0"/>
    <w:rsid w:val="4D5D368F"/>
    <w:rsid w:val="4D5DC998"/>
    <w:rsid w:val="4D815E2B"/>
    <w:rsid w:val="4D966147"/>
    <w:rsid w:val="4D9FE3F1"/>
    <w:rsid w:val="4DB505CE"/>
    <w:rsid w:val="4DC7221A"/>
    <w:rsid w:val="4DDA0211"/>
    <w:rsid w:val="4DEF7F2B"/>
    <w:rsid w:val="4E1F14A2"/>
    <w:rsid w:val="4E2C15D7"/>
    <w:rsid w:val="4E38AC7E"/>
    <w:rsid w:val="4E4F117B"/>
    <w:rsid w:val="4E629560"/>
    <w:rsid w:val="4E6DE010"/>
    <w:rsid w:val="4E71B03B"/>
    <w:rsid w:val="4E7AED02"/>
    <w:rsid w:val="4E894E3F"/>
    <w:rsid w:val="4EBB6140"/>
    <w:rsid w:val="4EBD5ECD"/>
    <w:rsid w:val="4EC8359B"/>
    <w:rsid w:val="4ED2605D"/>
    <w:rsid w:val="4EDC8D01"/>
    <w:rsid w:val="4EE67A61"/>
    <w:rsid w:val="4F122AF9"/>
    <w:rsid w:val="4F288A07"/>
    <w:rsid w:val="4F2AC7BD"/>
    <w:rsid w:val="4F40AA22"/>
    <w:rsid w:val="4F42F09E"/>
    <w:rsid w:val="4F4D5CDB"/>
    <w:rsid w:val="4F52E471"/>
    <w:rsid w:val="4F5D7330"/>
    <w:rsid w:val="4F6A1012"/>
    <w:rsid w:val="4F6BBA14"/>
    <w:rsid w:val="4F7416D9"/>
    <w:rsid w:val="4F8DCBA4"/>
    <w:rsid w:val="4F9E64B2"/>
    <w:rsid w:val="4FE198FB"/>
    <w:rsid w:val="4FF9B514"/>
    <w:rsid w:val="5004DEB8"/>
    <w:rsid w:val="504F95AC"/>
    <w:rsid w:val="50570640"/>
    <w:rsid w:val="50664635"/>
    <w:rsid w:val="50824AC2"/>
    <w:rsid w:val="508ABD7F"/>
    <w:rsid w:val="5090C3ED"/>
    <w:rsid w:val="50A26A2F"/>
    <w:rsid w:val="50B7D690"/>
    <w:rsid w:val="50CEDAF6"/>
    <w:rsid w:val="50E0B247"/>
    <w:rsid w:val="50F6075D"/>
    <w:rsid w:val="5100A126"/>
    <w:rsid w:val="510B9892"/>
    <w:rsid w:val="51114E27"/>
    <w:rsid w:val="51209F50"/>
    <w:rsid w:val="5128FF43"/>
    <w:rsid w:val="51342370"/>
    <w:rsid w:val="516FDDC1"/>
    <w:rsid w:val="5170C76D"/>
    <w:rsid w:val="51B2773C"/>
    <w:rsid w:val="51C897C9"/>
    <w:rsid w:val="51D34E36"/>
    <w:rsid w:val="51FC0B0E"/>
    <w:rsid w:val="51FF3594"/>
    <w:rsid w:val="520232FC"/>
    <w:rsid w:val="52086BE1"/>
    <w:rsid w:val="520BDC78"/>
    <w:rsid w:val="521B3EF3"/>
    <w:rsid w:val="521E1B23"/>
    <w:rsid w:val="524BE220"/>
    <w:rsid w:val="525C85A5"/>
    <w:rsid w:val="5265217D"/>
    <w:rsid w:val="52675F41"/>
    <w:rsid w:val="52695689"/>
    <w:rsid w:val="526BBFDB"/>
    <w:rsid w:val="527BBAA6"/>
    <w:rsid w:val="528A8533"/>
    <w:rsid w:val="529E1BCB"/>
    <w:rsid w:val="52A1B0D4"/>
    <w:rsid w:val="52B618C3"/>
    <w:rsid w:val="52C9CD71"/>
    <w:rsid w:val="52D20525"/>
    <w:rsid w:val="52E26C89"/>
    <w:rsid w:val="52EF3799"/>
    <w:rsid w:val="52EFC768"/>
    <w:rsid w:val="52F41BF1"/>
    <w:rsid w:val="53009CAB"/>
    <w:rsid w:val="5304BDF6"/>
    <w:rsid w:val="53051860"/>
    <w:rsid w:val="530C773A"/>
    <w:rsid w:val="532B3564"/>
    <w:rsid w:val="5331134A"/>
    <w:rsid w:val="533BDAC5"/>
    <w:rsid w:val="535355CA"/>
    <w:rsid w:val="536BA1D0"/>
    <w:rsid w:val="536F4E81"/>
    <w:rsid w:val="53757EA5"/>
    <w:rsid w:val="537B37BF"/>
    <w:rsid w:val="53895F6D"/>
    <w:rsid w:val="538EA702"/>
    <w:rsid w:val="53986662"/>
    <w:rsid w:val="53E07CCE"/>
    <w:rsid w:val="53EE72EC"/>
    <w:rsid w:val="53FF5875"/>
    <w:rsid w:val="53FFD8E8"/>
    <w:rsid w:val="5404EA6C"/>
    <w:rsid w:val="540CAC72"/>
    <w:rsid w:val="542DA81F"/>
    <w:rsid w:val="54369D25"/>
    <w:rsid w:val="543D8135"/>
    <w:rsid w:val="5441FACD"/>
    <w:rsid w:val="54510CB4"/>
    <w:rsid w:val="5456158F"/>
    <w:rsid w:val="5463D855"/>
    <w:rsid w:val="5484AEC6"/>
    <w:rsid w:val="548B07FA"/>
    <w:rsid w:val="54947F86"/>
    <w:rsid w:val="549643AC"/>
    <w:rsid w:val="54970963"/>
    <w:rsid w:val="549C6D0C"/>
    <w:rsid w:val="54A68942"/>
    <w:rsid w:val="54AA49E0"/>
    <w:rsid w:val="54ED1782"/>
    <w:rsid w:val="54F9CA65"/>
    <w:rsid w:val="550D297D"/>
    <w:rsid w:val="55269897"/>
    <w:rsid w:val="552ECBFF"/>
    <w:rsid w:val="553EC95D"/>
    <w:rsid w:val="5552DFB5"/>
    <w:rsid w:val="55659885"/>
    <w:rsid w:val="556CD77D"/>
    <w:rsid w:val="55796349"/>
    <w:rsid w:val="557C4D2F"/>
    <w:rsid w:val="558A434D"/>
    <w:rsid w:val="55A279DF"/>
    <w:rsid w:val="55A334BB"/>
    <w:rsid w:val="55B927BB"/>
    <w:rsid w:val="55D41249"/>
    <w:rsid w:val="55DA7257"/>
    <w:rsid w:val="56128AA7"/>
    <w:rsid w:val="56184DFD"/>
    <w:rsid w:val="562A2687"/>
    <w:rsid w:val="562AEC3E"/>
    <w:rsid w:val="56434EE4"/>
    <w:rsid w:val="5658C0CF"/>
    <w:rsid w:val="56632397"/>
    <w:rsid w:val="5668E60E"/>
    <w:rsid w:val="566A63F2"/>
    <w:rsid w:val="567625DA"/>
    <w:rsid w:val="567C4BF4"/>
    <w:rsid w:val="5685E049"/>
    <w:rsid w:val="56A7D56B"/>
    <w:rsid w:val="56AD664C"/>
    <w:rsid w:val="56F8FB13"/>
    <w:rsid w:val="570BCF11"/>
    <w:rsid w:val="5713B97B"/>
    <w:rsid w:val="57181D90"/>
    <w:rsid w:val="572DC314"/>
    <w:rsid w:val="572E0134"/>
    <w:rsid w:val="574E1A3D"/>
    <w:rsid w:val="575088DC"/>
    <w:rsid w:val="5755158A"/>
    <w:rsid w:val="578D36E1"/>
    <w:rsid w:val="57C2A8BC"/>
    <w:rsid w:val="57C8C245"/>
    <w:rsid w:val="57E9E206"/>
    <w:rsid w:val="57F5A058"/>
    <w:rsid w:val="5804B66F"/>
    <w:rsid w:val="58116903"/>
    <w:rsid w:val="585A1354"/>
    <w:rsid w:val="58610ECA"/>
    <w:rsid w:val="586476DF"/>
    <w:rsid w:val="5867D1E7"/>
    <w:rsid w:val="586D94FE"/>
    <w:rsid w:val="587764C9"/>
    <w:rsid w:val="5880F9AE"/>
    <w:rsid w:val="5887B6DF"/>
    <w:rsid w:val="58CF8C96"/>
    <w:rsid w:val="58D90B98"/>
    <w:rsid w:val="58EB056B"/>
    <w:rsid w:val="5913778C"/>
    <w:rsid w:val="5916AA77"/>
    <w:rsid w:val="591D333F"/>
    <w:rsid w:val="592BDA81"/>
    <w:rsid w:val="595E791D"/>
    <w:rsid w:val="595ED052"/>
    <w:rsid w:val="597AEFA6"/>
    <w:rsid w:val="597FE262"/>
    <w:rsid w:val="599D9058"/>
    <w:rsid w:val="59A086D0"/>
    <w:rsid w:val="59DAB3FB"/>
    <w:rsid w:val="5A2B5A19"/>
    <w:rsid w:val="5A2F8DD8"/>
    <w:rsid w:val="5A423F3A"/>
    <w:rsid w:val="5A44450D"/>
    <w:rsid w:val="5A448276"/>
    <w:rsid w:val="5A4FBE52"/>
    <w:rsid w:val="5A6B5CF7"/>
    <w:rsid w:val="5A7ECE70"/>
    <w:rsid w:val="5A9F54A3"/>
    <w:rsid w:val="5AAABA9F"/>
    <w:rsid w:val="5AB49D32"/>
    <w:rsid w:val="5AD7CB80"/>
    <w:rsid w:val="5AE23469"/>
    <w:rsid w:val="5B0BAE90"/>
    <w:rsid w:val="5B344F0E"/>
    <w:rsid w:val="5B47FCC7"/>
    <w:rsid w:val="5B5C8B37"/>
    <w:rsid w:val="5B7A307C"/>
    <w:rsid w:val="5B7A9E31"/>
    <w:rsid w:val="5B897C8A"/>
    <w:rsid w:val="5BB4AE41"/>
    <w:rsid w:val="5BC2E75B"/>
    <w:rsid w:val="5BC4FD69"/>
    <w:rsid w:val="5BD2D3A9"/>
    <w:rsid w:val="5BD2E4C4"/>
    <w:rsid w:val="5BDDAFD9"/>
    <w:rsid w:val="5BE92C03"/>
    <w:rsid w:val="5BEBC046"/>
    <w:rsid w:val="5BF03780"/>
    <w:rsid w:val="5C230833"/>
    <w:rsid w:val="5C44114A"/>
    <w:rsid w:val="5C9277DF"/>
    <w:rsid w:val="5C9928FE"/>
    <w:rsid w:val="5CABA03C"/>
    <w:rsid w:val="5CAE8E1E"/>
    <w:rsid w:val="5CB0BCAB"/>
    <w:rsid w:val="5CB547DF"/>
    <w:rsid w:val="5CC3D853"/>
    <w:rsid w:val="5CEA9248"/>
    <w:rsid w:val="5D001C52"/>
    <w:rsid w:val="5D01FBCB"/>
    <w:rsid w:val="5D032143"/>
    <w:rsid w:val="5D28EF75"/>
    <w:rsid w:val="5D2A185F"/>
    <w:rsid w:val="5D2E22C8"/>
    <w:rsid w:val="5D60CDCA"/>
    <w:rsid w:val="5D61C471"/>
    <w:rsid w:val="5D892FD1"/>
    <w:rsid w:val="5D9ACAD6"/>
    <w:rsid w:val="5D9B3E3F"/>
    <w:rsid w:val="5DA9E3D3"/>
    <w:rsid w:val="5DABB48D"/>
    <w:rsid w:val="5DAD993B"/>
    <w:rsid w:val="5DDA751F"/>
    <w:rsid w:val="5DEDFB03"/>
    <w:rsid w:val="5DF35861"/>
    <w:rsid w:val="5E0DA87D"/>
    <w:rsid w:val="5E199CEB"/>
    <w:rsid w:val="5E1D988D"/>
    <w:rsid w:val="5E3BF6BD"/>
    <w:rsid w:val="5E547A92"/>
    <w:rsid w:val="5E5B2D25"/>
    <w:rsid w:val="5E67F8A5"/>
    <w:rsid w:val="5E7F2ADE"/>
    <w:rsid w:val="5E84A805"/>
    <w:rsid w:val="5E913CFF"/>
    <w:rsid w:val="5EBCFF28"/>
    <w:rsid w:val="5EDA5F0B"/>
    <w:rsid w:val="5EF7F627"/>
    <w:rsid w:val="5EFECB3C"/>
    <w:rsid w:val="5F0027E5"/>
    <w:rsid w:val="5F0A746B"/>
    <w:rsid w:val="5F0C26BC"/>
    <w:rsid w:val="5F35F9C4"/>
    <w:rsid w:val="5F369B37"/>
    <w:rsid w:val="5F36D0BA"/>
    <w:rsid w:val="5F391319"/>
    <w:rsid w:val="5F43AE8B"/>
    <w:rsid w:val="5F4784EE"/>
    <w:rsid w:val="5F6AC003"/>
    <w:rsid w:val="5F6F792C"/>
    <w:rsid w:val="5F758CD0"/>
    <w:rsid w:val="5F78F6D9"/>
    <w:rsid w:val="5F7B20CC"/>
    <w:rsid w:val="5F8033DC"/>
    <w:rsid w:val="5F97F94B"/>
    <w:rsid w:val="5FB1A76A"/>
    <w:rsid w:val="5FB37316"/>
    <w:rsid w:val="5FB506E8"/>
    <w:rsid w:val="5FCA18A1"/>
    <w:rsid w:val="5FF04AF3"/>
    <w:rsid w:val="5FF2D0BD"/>
    <w:rsid w:val="60019FF9"/>
    <w:rsid w:val="60025902"/>
    <w:rsid w:val="601380AC"/>
    <w:rsid w:val="601AB10A"/>
    <w:rsid w:val="601C5F80"/>
    <w:rsid w:val="6022C2CA"/>
    <w:rsid w:val="6055D4A7"/>
    <w:rsid w:val="606B477F"/>
    <w:rsid w:val="6076B324"/>
    <w:rsid w:val="60BEFFD6"/>
    <w:rsid w:val="60C76CE4"/>
    <w:rsid w:val="60D26B98"/>
    <w:rsid w:val="60DFD3DA"/>
    <w:rsid w:val="60E16376"/>
    <w:rsid w:val="60FF1135"/>
    <w:rsid w:val="610767B4"/>
    <w:rsid w:val="61079C24"/>
    <w:rsid w:val="6113C431"/>
    <w:rsid w:val="612DE4A7"/>
    <w:rsid w:val="6140B206"/>
    <w:rsid w:val="614B2937"/>
    <w:rsid w:val="615243B1"/>
    <w:rsid w:val="6157AE01"/>
    <w:rsid w:val="616FA48B"/>
    <w:rsid w:val="6177BA3C"/>
    <w:rsid w:val="61891E59"/>
    <w:rsid w:val="61BC48C7"/>
    <w:rsid w:val="61BD6BA4"/>
    <w:rsid w:val="61C9A14D"/>
    <w:rsid w:val="61CFDA55"/>
    <w:rsid w:val="61D81B11"/>
    <w:rsid w:val="61FE6FF3"/>
    <w:rsid w:val="621B44A5"/>
    <w:rsid w:val="621FA6AE"/>
    <w:rsid w:val="62385561"/>
    <w:rsid w:val="624BCA0D"/>
    <w:rsid w:val="625C7B5C"/>
    <w:rsid w:val="6263677E"/>
    <w:rsid w:val="626DB633"/>
    <w:rsid w:val="627B0967"/>
    <w:rsid w:val="629FB7C5"/>
    <w:rsid w:val="62A9065A"/>
    <w:rsid w:val="62C11EFB"/>
    <w:rsid w:val="62C9B508"/>
    <w:rsid w:val="62DB0E5A"/>
    <w:rsid w:val="62F8346F"/>
    <w:rsid w:val="62FFB634"/>
    <w:rsid w:val="63020971"/>
    <w:rsid w:val="631DF23F"/>
    <w:rsid w:val="632D7D47"/>
    <w:rsid w:val="632F26DF"/>
    <w:rsid w:val="6330384D"/>
    <w:rsid w:val="63581928"/>
    <w:rsid w:val="635FA3A8"/>
    <w:rsid w:val="637C6A23"/>
    <w:rsid w:val="638D2FE7"/>
    <w:rsid w:val="63AB9791"/>
    <w:rsid w:val="63E0E643"/>
    <w:rsid w:val="63E34425"/>
    <w:rsid w:val="6406C508"/>
    <w:rsid w:val="641BB880"/>
    <w:rsid w:val="641E5AFF"/>
    <w:rsid w:val="642C99A7"/>
    <w:rsid w:val="642D36C5"/>
    <w:rsid w:val="642ED296"/>
    <w:rsid w:val="6436F0E4"/>
    <w:rsid w:val="643E60BE"/>
    <w:rsid w:val="6440E362"/>
    <w:rsid w:val="647572ED"/>
    <w:rsid w:val="648AC677"/>
    <w:rsid w:val="64AAA9E4"/>
    <w:rsid w:val="64AE899C"/>
    <w:rsid w:val="64B100FE"/>
    <w:rsid w:val="64CED98D"/>
    <w:rsid w:val="64EE8AFE"/>
    <w:rsid w:val="65097C53"/>
    <w:rsid w:val="651713F4"/>
    <w:rsid w:val="653174DE"/>
    <w:rsid w:val="65532958"/>
    <w:rsid w:val="655A6918"/>
    <w:rsid w:val="656632EA"/>
    <w:rsid w:val="6566BE49"/>
    <w:rsid w:val="65A29569"/>
    <w:rsid w:val="65AF1238"/>
    <w:rsid w:val="65B50780"/>
    <w:rsid w:val="65C2B8CA"/>
    <w:rsid w:val="65C606CF"/>
    <w:rsid w:val="65D47F86"/>
    <w:rsid w:val="65D8272B"/>
    <w:rsid w:val="65EF6713"/>
    <w:rsid w:val="65F762E6"/>
    <w:rsid w:val="660B8673"/>
    <w:rsid w:val="6612AF1C"/>
    <w:rsid w:val="6615D945"/>
    <w:rsid w:val="6618EBCC"/>
    <w:rsid w:val="661CE853"/>
    <w:rsid w:val="6627221F"/>
    <w:rsid w:val="662A75B8"/>
    <w:rsid w:val="6648FD8E"/>
    <w:rsid w:val="664E6137"/>
    <w:rsid w:val="66521C3C"/>
    <w:rsid w:val="666EBA8E"/>
    <w:rsid w:val="6671A6C7"/>
    <w:rsid w:val="66772D79"/>
    <w:rsid w:val="66A2EC5F"/>
    <w:rsid w:val="66A4877D"/>
    <w:rsid w:val="66ACA6DF"/>
    <w:rsid w:val="66C426E0"/>
    <w:rsid w:val="66CFC815"/>
    <w:rsid w:val="66D25FFA"/>
    <w:rsid w:val="67024702"/>
    <w:rsid w:val="671796BB"/>
    <w:rsid w:val="671DB044"/>
    <w:rsid w:val="6727B643"/>
    <w:rsid w:val="672AFCA1"/>
    <w:rsid w:val="672FEC7F"/>
    <w:rsid w:val="6732EA27"/>
    <w:rsid w:val="674C304A"/>
    <w:rsid w:val="67C64619"/>
    <w:rsid w:val="67CEBBC6"/>
    <w:rsid w:val="67EF3F98"/>
    <w:rsid w:val="67FABD2D"/>
    <w:rsid w:val="67FC547E"/>
    <w:rsid w:val="6811D984"/>
    <w:rsid w:val="681405EA"/>
    <w:rsid w:val="682B9F56"/>
    <w:rsid w:val="683037B1"/>
    <w:rsid w:val="6852F208"/>
    <w:rsid w:val="6860A10A"/>
    <w:rsid w:val="688FE78D"/>
    <w:rsid w:val="689EEBC5"/>
    <w:rsid w:val="68A34E37"/>
    <w:rsid w:val="68B4AA7D"/>
    <w:rsid w:val="68B980A5"/>
    <w:rsid w:val="68C995C3"/>
    <w:rsid w:val="68CEBA88"/>
    <w:rsid w:val="68EE6734"/>
    <w:rsid w:val="68F23574"/>
    <w:rsid w:val="69059DB8"/>
    <w:rsid w:val="69107E80"/>
    <w:rsid w:val="69128DA8"/>
    <w:rsid w:val="6931AB4A"/>
    <w:rsid w:val="6989AD18"/>
    <w:rsid w:val="69951E0B"/>
    <w:rsid w:val="699824DF"/>
    <w:rsid w:val="699E6863"/>
    <w:rsid w:val="69AFA2BC"/>
    <w:rsid w:val="69B02E10"/>
    <w:rsid w:val="69E359CF"/>
    <w:rsid w:val="69EA8517"/>
    <w:rsid w:val="69EB7159"/>
    <w:rsid w:val="6A07C77C"/>
    <w:rsid w:val="6A3F50D2"/>
    <w:rsid w:val="6A609C8F"/>
    <w:rsid w:val="6A68CBE1"/>
    <w:rsid w:val="6A6F7AC7"/>
    <w:rsid w:val="6A82835B"/>
    <w:rsid w:val="6A867145"/>
    <w:rsid w:val="6A9E141A"/>
    <w:rsid w:val="6AAE5E09"/>
    <w:rsid w:val="6AB3443C"/>
    <w:rsid w:val="6AB355AE"/>
    <w:rsid w:val="6AB6B38E"/>
    <w:rsid w:val="6AE6ADF8"/>
    <w:rsid w:val="6AEB6024"/>
    <w:rsid w:val="6AF80F1E"/>
    <w:rsid w:val="6B034654"/>
    <w:rsid w:val="6B06B3A2"/>
    <w:rsid w:val="6B257D79"/>
    <w:rsid w:val="6B33F540"/>
    <w:rsid w:val="6B8741BA"/>
    <w:rsid w:val="6B90F751"/>
    <w:rsid w:val="6BB51B9D"/>
    <w:rsid w:val="6BCB9662"/>
    <w:rsid w:val="6BCC03FD"/>
    <w:rsid w:val="6BE28770"/>
    <w:rsid w:val="6BE4AEAA"/>
    <w:rsid w:val="6BF1C9A2"/>
    <w:rsid w:val="6C065B4A"/>
    <w:rsid w:val="6C0CA81A"/>
    <w:rsid w:val="6C11A897"/>
    <w:rsid w:val="6C1ACF33"/>
    <w:rsid w:val="6C2607F6"/>
    <w:rsid w:val="6C4F62E4"/>
    <w:rsid w:val="6C5D0C8A"/>
    <w:rsid w:val="6C64A048"/>
    <w:rsid w:val="6C6A2498"/>
    <w:rsid w:val="6C70974E"/>
    <w:rsid w:val="6C7C10A9"/>
    <w:rsid w:val="6C8A4505"/>
    <w:rsid w:val="6C8DDBDE"/>
    <w:rsid w:val="6C8E9E6B"/>
    <w:rsid w:val="6CAC67E4"/>
    <w:rsid w:val="6CBCBBD9"/>
    <w:rsid w:val="6CC0C315"/>
    <w:rsid w:val="6CCECDFB"/>
    <w:rsid w:val="6CCFC5A1"/>
    <w:rsid w:val="6CD74E0E"/>
    <w:rsid w:val="6CE26EF0"/>
    <w:rsid w:val="6CEBF4CC"/>
    <w:rsid w:val="6CF7EBB8"/>
    <w:rsid w:val="6D0945C3"/>
    <w:rsid w:val="6D123206"/>
    <w:rsid w:val="6D34122D"/>
    <w:rsid w:val="6D3F0999"/>
    <w:rsid w:val="6D53BCE5"/>
    <w:rsid w:val="6D5A5D68"/>
    <w:rsid w:val="6D65E89A"/>
    <w:rsid w:val="6D6B9887"/>
    <w:rsid w:val="6D8A266B"/>
    <w:rsid w:val="6DA33F40"/>
    <w:rsid w:val="6DA5A1F7"/>
    <w:rsid w:val="6DBD8239"/>
    <w:rsid w:val="6DBF30FF"/>
    <w:rsid w:val="6DEAF670"/>
    <w:rsid w:val="6E03C59B"/>
    <w:rsid w:val="6E145535"/>
    <w:rsid w:val="6E35879D"/>
    <w:rsid w:val="6E483845"/>
    <w:rsid w:val="6E4E2793"/>
    <w:rsid w:val="6E6B9602"/>
    <w:rsid w:val="6E82E89B"/>
    <w:rsid w:val="6E89F221"/>
    <w:rsid w:val="6E964DAB"/>
    <w:rsid w:val="6EB91532"/>
    <w:rsid w:val="6EBC4880"/>
    <w:rsid w:val="6ED93634"/>
    <w:rsid w:val="6EE14A42"/>
    <w:rsid w:val="6EF0CC3C"/>
    <w:rsid w:val="6F00705B"/>
    <w:rsid w:val="6F140F8C"/>
    <w:rsid w:val="6F36DBA6"/>
    <w:rsid w:val="6F3DFC0C"/>
    <w:rsid w:val="6F42EBEA"/>
    <w:rsid w:val="6F789265"/>
    <w:rsid w:val="6F84B828"/>
    <w:rsid w:val="6FA8A4A0"/>
    <w:rsid w:val="6FAA8613"/>
    <w:rsid w:val="6FB268B9"/>
    <w:rsid w:val="6FBA1338"/>
    <w:rsid w:val="6FCE3D70"/>
    <w:rsid w:val="6FDFC63F"/>
    <w:rsid w:val="6FF7A530"/>
    <w:rsid w:val="700EEED0"/>
    <w:rsid w:val="7018645A"/>
    <w:rsid w:val="701F6F94"/>
    <w:rsid w:val="702F8C7A"/>
    <w:rsid w:val="704081F4"/>
    <w:rsid w:val="704D22F2"/>
    <w:rsid w:val="706DAB4D"/>
    <w:rsid w:val="706FB63F"/>
    <w:rsid w:val="709C40BC"/>
    <w:rsid w:val="70ABBC48"/>
    <w:rsid w:val="70C1C72D"/>
    <w:rsid w:val="70D6CEC5"/>
    <w:rsid w:val="70DDFFC6"/>
    <w:rsid w:val="7139196E"/>
    <w:rsid w:val="71465674"/>
    <w:rsid w:val="714E2B30"/>
    <w:rsid w:val="714E391A"/>
    <w:rsid w:val="717B24C9"/>
    <w:rsid w:val="7189F015"/>
    <w:rsid w:val="718D8236"/>
    <w:rsid w:val="7196983A"/>
    <w:rsid w:val="7197032C"/>
    <w:rsid w:val="71AF1740"/>
    <w:rsid w:val="71B79FF2"/>
    <w:rsid w:val="71BBB7C6"/>
    <w:rsid w:val="71CA9A08"/>
    <w:rsid w:val="71DA5A17"/>
    <w:rsid w:val="71E65C2C"/>
    <w:rsid w:val="71E661C4"/>
    <w:rsid w:val="71EACEA2"/>
    <w:rsid w:val="71EFE9F1"/>
    <w:rsid w:val="71FF5487"/>
    <w:rsid w:val="7205DE8D"/>
    <w:rsid w:val="720DE35E"/>
    <w:rsid w:val="720E9116"/>
    <w:rsid w:val="7216E4C0"/>
    <w:rsid w:val="7217A2BE"/>
    <w:rsid w:val="721A26BA"/>
    <w:rsid w:val="723D65A4"/>
    <w:rsid w:val="7266C66F"/>
    <w:rsid w:val="72707CE9"/>
    <w:rsid w:val="72729F26"/>
    <w:rsid w:val="727A8CAC"/>
    <w:rsid w:val="72A7AC27"/>
    <w:rsid w:val="72AA674E"/>
    <w:rsid w:val="72EB0F7F"/>
    <w:rsid w:val="7312F6D4"/>
    <w:rsid w:val="7314E255"/>
    <w:rsid w:val="731645BF"/>
    <w:rsid w:val="731DF061"/>
    <w:rsid w:val="7322B0BE"/>
    <w:rsid w:val="73302A2E"/>
    <w:rsid w:val="7332D38D"/>
    <w:rsid w:val="73642F47"/>
    <w:rsid w:val="737038B3"/>
    <w:rsid w:val="737E7324"/>
    <w:rsid w:val="73971DFB"/>
    <w:rsid w:val="739DD98A"/>
    <w:rsid w:val="73C1BB5B"/>
    <w:rsid w:val="73C4032C"/>
    <w:rsid w:val="73CDAF88"/>
    <w:rsid w:val="73E35D0A"/>
    <w:rsid w:val="73E9682C"/>
    <w:rsid w:val="73F8DCD3"/>
    <w:rsid w:val="740AC63F"/>
    <w:rsid w:val="74116D2F"/>
    <w:rsid w:val="74118AF5"/>
    <w:rsid w:val="74437C88"/>
    <w:rsid w:val="74594DE3"/>
    <w:rsid w:val="745A634F"/>
    <w:rsid w:val="745DF4DD"/>
    <w:rsid w:val="7461BBBC"/>
    <w:rsid w:val="747A59D5"/>
    <w:rsid w:val="747D3813"/>
    <w:rsid w:val="74824F3B"/>
    <w:rsid w:val="749C9761"/>
    <w:rsid w:val="74ACB6A7"/>
    <w:rsid w:val="74ACE5DC"/>
    <w:rsid w:val="74B0B2B6"/>
    <w:rsid w:val="74C611A1"/>
    <w:rsid w:val="74D53FD3"/>
    <w:rsid w:val="74EDC8ED"/>
    <w:rsid w:val="74F673CE"/>
    <w:rsid w:val="7501A7AF"/>
    <w:rsid w:val="7502FD9D"/>
    <w:rsid w:val="7506533F"/>
    <w:rsid w:val="750B76A7"/>
    <w:rsid w:val="7511FAD9"/>
    <w:rsid w:val="75150FDA"/>
    <w:rsid w:val="7524890E"/>
    <w:rsid w:val="754A1B7E"/>
    <w:rsid w:val="754F4380"/>
    <w:rsid w:val="75848EAB"/>
    <w:rsid w:val="75875BC9"/>
    <w:rsid w:val="75887BB7"/>
    <w:rsid w:val="75AE60AD"/>
    <w:rsid w:val="75CEAB8C"/>
    <w:rsid w:val="75D15F0E"/>
    <w:rsid w:val="75D4AB70"/>
    <w:rsid w:val="75E51017"/>
    <w:rsid w:val="75E6403C"/>
    <w:rsid w:val="75E78432"/>
    <w:rsid w:val="75F1504A"/>
    <w:rsid w:val="75F290D6"/>
    <w:rsid w:val="7617CA13"/>
    <w:rsid w:val="764A84AD"/>
    <w:rsid w:val="764C8317"/>
    <w:rsid w:val="764DCD72"/>
    <w:rsid w:val="764DE681"/>
    <w:rsid w:val="767464AE"/>
    <w:rsid w:val="7677F37D"/>
    <w:rsid w:val="768360EC"/>
    <w:rsid w:val="76C599CA"/>
    <w:rsid w:val="76C82C24"/>
    <w:rsid w:val="76CB36C5"/>
    <w:rsid w:val="76D31185"/>
    <w:rsid w:val="76E79003"/>
    <w:rsid w:val="76F2280D"/>
    <w:rsid w:val="76F6B4F3"/>
    <w:rsid w:val="76F8ADA3"/>
    <w:rsid w:val="770A67F5"/>
    <w:rsid w:val="771406F1"/>
    <w:rsid w:val="7725B1BC"/>
    <w:rsid w:val="772A4E30"/>
    <w:rsid w:val="77357968"/>
    <w:rsid w:val="7743A57C"/>
    <w:rsid w:val="7752E44B"/>
    <w:rsid w:val="77710F62"/>
    <w:rsid w:val="777538DA"/>
    <w:rsid w:val="778F17D0"/>
    <w:rsid w:val="77A24A58"/>
    <w:rsid w:val="77A2B380"/>
    <w:rsid w:val="77AAD55F"/>
    <w:rsid w:val="77D994F4"/>
    <w:rsid w:val="77DA0FDA"/>
    <w:rsid w:val="77DC69E3"/>
    <w:rsid w:val="7813C3DE"/>
    <w:rsid w:val="7826E5A2"/>
    <w:rsid w:val="7839DB8C"/>
    <w:rsid w:val="78440D7F"/>
    <w:rsid w:val="78549F80"/>
    <w:rsid w:val="7858B7E7"/>
    <w:rsid w:val="785C7D90"/>
    <w:rsid w:val="785F2E65"/>
    <w:rsid w:val="7862D89A"/>
    <w:rsid w:val="7886499E"/>
    <w:rsid w:val="78926F05"/>
    <w:rsid w:val="7895EC16"/>
    <w:rsid w:val="78DCFDEB"/>
    <w:rsid w:val="78E1E0AA"/>
    <w:rsid w:val="78F7DF7A"/>
    <w:rsid w:val="78FDB13D"/>
    <w:rsid w:val="7911093B"/>
    <w:rsid w:val="797FC3E3"/>
    <w:rsid w:val="798027CA"/>
    <w:rsid w:val="79806F56"/>
    <w:rsid w:val="798423D9"/>
    <w:rsid w:val="798C8240"/>
    <w:rsid w:val="79B7DB30"/>
    <w:rsid w:val="79B90092"/>
    <w:rsid w:val="79C03DCA"/>
    <w:rsid w:val="79CA955F"/>
    <w:rsid w:val="79CF5465"/>
    <w:rsid w:val="79D0B3BF"/>
    <w:rsid w:val="79D0B7DC"/>
    <w:rsid w:val="79D356FD"/>
    <w:rsid w:val="79D39D6E"/>
    <w:rsid w:val="79D5A39D"/>
    <w:rsid w:val="79E4FF07"/>
    <w:rsid w:val="7A53E5D2"/>
    <w:rsid w:val="7A61B947"/>
    <w:rsid w:val="7A681E57"/>
    <w:rsid w:val="7A6ED967"/>
    <w:rsid w:val="7A81D1D0"/>
    <w:rsid w:val="7A97F0CA"/>
    <w:rsid w:val="7AAB8DDB"/>
    <w:rsid w:val="7AB256B5"/>
    <w:rsid w:val="7AB2BE0C"/>
    <w:rsid w:val="7AB9B15F"/>
    <w:rsid w:val="7AD166FE"/>
    <w:rsid w:val="7B140AA5"/>
    <w:rsid w:val="7B16206E"/>
    <w:rsid w:val="7B205AB9"/>
    <w:rsid w:val="7B323C43"/>
    <w:rsid w:val="7B336B4B"/>
    <w:rsid w:val="7B459988"/>
    <w:rsid w:val="7B517B51"/>
    <w:rsid w:val="7B5C4652"/>
    <w:rsid w:val="7B62223B"/>
    <w:rsid w:val="7B6C883D"/>
    <w:rsid w:val="7B85AC7D"/>
    <w:rsid w:val="7B8F073F"/>
    <w:rsid w:val="7BB1CF3F"/>
    <w:rsid w:val="7BB4C42D"/>
    <w:rsid w:val="7BDD4961"/>
    <w:rsid w:val="7BF739CE"/>
    <w:rsid w:val="7C0479D4"/>
    <w:rsid w:val="7C0D59C1"/>
    <w:rsid w:val="7C2ED971"/>
    <w:rsid w:val="7C3C650C"/>
    <w:rsid w:val="7C3F7CBF"/>
    <w:rsid w:val="7C45C144"/>
    <w:rsid w:val="7C48A9FD"/>
    <w:rsid w:val="7C57F5CB"/>
    <w:rsid w:val="7C61D25A"/>
    <w:rsid w:val="7CA23F8D"/>
    <w:rsid w:val="7CB1F0CF"/>
    <w:rsid w:val="7CB247F7"/>
    <w:rsid w:val="7CF55F5E"/>
    <w:rsid w:val="7CFA559B"/>
    <w:rsid w:val="7CFB830A"/>
    <w:rsid w:val="7CFDFF25"/>
    <w:rsid w:val="7D121DBD"/>
    <w:rsid w:val="7D12AA0D"/>
    <w:rsid w:val="7D193D3E"/>
    <w:rsid w:val="7D334999"/>
    <w:rsid w:val="7D37B0B1"/>
    <w:rsid w:val="7D6155AE"/>
    <w:rsid w:val="7D7165BA"/>
    <w:rsid w:val="7D7919C2"/>
    <w:rsid w:val="7D79FE7A"/>
    <w:rsid w:val="7D83B7C4"/>
    <w:rsid w:val="7DA2BFDD"/>
    <w:rsid w:val="7DA33063"/>
    <w:rsid w:val="7DA4218C"/>
    <w:rsid w:val="7DC6C785"/>
    <w:rsid w:val="7DD73A54"/>
    <w:rsid w:val="7DD8356D"/>
    <w:rsid w:val="7DDB9389"/>
    <w:rsid w:val="7DED4155"/>
    <w:rsid w:val="7DF3967E"/>
    <w:rsid w:val="7DF9B0CC"/>
    <w:rsid w:val="7E021209"/>
    <w:rsid w:val="7E048026"/>
    <w:rsid w:val="7E1B661C"/>
    <w:rsid w:val="7E31DBDB"/>
    <w:rsid w:val="7E4BAB67"/>
    <w:rsid w:val="7E4DC130"/>
    <w:rsid w:val="7E4F791E"/>
    <w:rsid w:val="7E56738D"/>
    <w:rsid w:val="7E5D8F6B"/>
    <w:rsid w:val="7E79C1AE"/>
    <w:rsid w:val="7E79EF66"/>
    <w:rsid w:val="7E912FBF"/>
    <w:rsid w:val="7EA7D4E3"/>
    <w:rsid w:val="7EAE7A6E"/>
    <w:rsid w:val="7EB9FE61"/>
    <w:rsid w:val="7EC67CFA"/>
    <w:rsid w:val="7EC9CD3B"/>
    <w:rsid w:val="7ECD6A42"/>
    <w:rsid w:val="7F16FA85"/>
    <w:rsid w:val="7F35458B"/>
    <w:rsid w:val="7F3730E5"/>
    <w:rsid w:val="7F40B9F0"/>
    <w:rsid w:val="7F44081C"/>
    <w:rsid w:val="7F590FB4"/>
    <w:rsid w:val="7F6CCE7B"/>
    <w:rsid w:val="7F6D8E23"/>
    <w:rsid w:val="7F7EDDDC"/>
    <w:rsid w:val="7F8B7E93"/>
    <w:rsid w:val="7F8D2282"/>
    <w:rsid w:val="7FA3CA8A"/>
    <w:rsid w:val="7FAD59CE"/>
    <w:rsid w:val="7FAFA0DC"/>
    <w:rsid w:val="7FB3B170"/>
    <w:rsid w:val="7FCE9563"/>
    <w:rsid w:val="7FE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133F2"/>
  <w15:chartTrackingRefBased/>
  <w15:docId w15:val="{081C9281-A916-414B-9FA1-DA093199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520B4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microsoft.com/office/2020/10/relationships/intelligence" Target="intelligence2.xml" Id="rId1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2.jpg" Id="R1e09998e8d6a4877" /><Relationship Type="http://schemas.openxmlformats.org/officeDocument/2006/relationships/numbering" Target="numbering.xml" Id="R28ea66cdf7034fd3" /><Relationship Type="http://schemas.openxmlformats.org/officeDocument/2006/relationships/image" Target="/media/image5.jpg" Id="R56d18abb62484d12" /><Relationship Type="http://schemas.openxmlformats.org/officeDocument/2006/relationships/hyperlink" Target="mailto:peter@taeh.ca" TargetMode="External" Id="R4647ca84de4741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4.jpg" Id="Rd16fec17b5f04e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Martin</dc:creator>
  <keywords/>
  <dc:description/>
  <lastModifiedBy>Peter Martin</lastModifiedBy>
  <revision>8</revision>
  <dcterms:created xsi:type="dcterms:W3CDTF">2023-10-04T18:43:00.0000000Z</dcterms:created>
  <dcterms:modified xsi:type="dcterms:W3CDTF">2023-10-29T03:29:55.7357598Z</dcterms:modified>
</coreProperties>
</file>