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74EE" w14:textId="5ACCA693" w:rsidR="007C2A3F" w:rsidRDefault="00281AA5" w:rsidP="007C2A3F">
      <w:r w:rsidRPr="00281AA5">
        <w:rPr>
          <w:b/>
          <w:bCs/>
        </w:rPr>
        <w:t xml:space="preserve">Comments on </w:t>
      </w:r>
      <w:r w:rsidR="007C2A3F" w:rsidRPr="00281AA5">
        <w:rPr>
          <w:b/>
          <w:bCs/>
        </w:rPr>
        <w:t>ERO posting</w:t>
      </w:r>
      <w:r w:rsidRPr="00281AA5">
        <w:rPr>
          <w:b/>
          <w:bCs/>
        </w:rPr>
        <w:t>:</w:t>
      </w:r>
      <w:r>
        <w:t xml:space="preserve"> </w:t>
      </w:r>
      <w:r w:rsidR="007C2A3F">
        <w:t>019-7378</w:t>
      </w:r>
    </w:p>
    <w:p w14:paraId="2F996B18" w14:textId="781F33EC" w:rsidR="007C2A3F" w:rsidRPr="00281AA5" w:rsidRDefault="00281AA5" w:rsidP="007C2A3F">
      <w:pPr>
        <w:rPr>
          <w:b/>
          <w:bCs/>
        </w:rPr>
      </w:pPr>
      <w:r w:rsidRPr="00281AA5">
        <w:rPr>
          <w:b/>
          <w:bCs/>
        </w:rPr>
        <w:t>Title:</w:t>
      </w:r>
      <w:r>
        <w:t xml:space="preserve"> </w:t>
      </w:r>
      <w:r w:rsidR="007C2A3F">
        <w:t>Protecting Black Ash and its habitat under the Endangered Species Act, 2007</w:t>
      </w:r>
    </w:p>
    <w:p w14:paraId="3F0993AD" w14:textId="1F08ABA4" w:rsidR="007C2A3F" w:rsidRDefault="00281AA5" w:rsidP="007C2A3F">
      <w:r w:rsidRPr="00281AA5">
        <w:rPr>
          <w:b/>
          <w:bCs/>
        </w:rPr>
        <w:t>Comments prepared by:</w:t>
      </w:r>
      <w:r>
        <w:t xml:space="preserve"> Laura Timms, Senior Specialist, Natural Heritage Man</w:t>
      </w:r>
      <w:r w:rsidR="00BF271E">
        <w:t>a</w:t>
      </w:r>
      <w:r>
        <w:t>gemen</w:t>
      </w:r>
      <w:r w:rsidR="00BF271E">
        <w:t>t; Aaron Day, Program Manager, Forestry</w:t>
      </w:r>
    </w:p>
    <w:p w14:paraId="0DA2D4F0" w14:textId="1E25B8C8" w:rsidR="00281AA5" w:rsidRDefault="00281AA5" w:rsidP="007C2A3F">
      <w:r w:rsidRPr="00281AA5">
        <w:rPr>
          <w:b/>
          <w:bCs/>
        </w:rPr>
        <w:t>Prepared on:</w:t>
      </w:r>
      <w:r>
        <w:t xml:space="preserve"> October 31, 2023</w:t>
      </w:r>
    </w:p>
    <w:p w14:paraId="23584142" w14:textId="77777777" w:rsidR="004D77D1" w:rsidRPr="00925331" w:rsidRDefault="004D77D1" w:rsidP="004D77D1">
      <w:pPr>
        <w:pStyle w:val="ListParagraph"/>
        <w:numPr>
          <w:ilvl w:val="0"/>
          <w:numId w:val="1"/>
        </w:numPr>
      </w:pPr>
      <w:r w:rsidRPr="004D77D1">
        <w:rPr>
          <w:b/>
          <w:bCs/>
        </w:rPr>
        <w:t xml:space="preserve">We </w:t>
      </w:r>
      <w:r>
        <w:rPr>
          <w:b/>
          <w:bCs/>
        </w:rPr>
        <w:t xml:space="preserve">recommend </w:t>
      </w:r>
      <w:r w:rsidRPr="004D77D1">
        <w:rPr>
          <w:b/>
          <w:bCs/>
        </w:rPr>
        <w:t>reversing the condition of protection, where individual Black Ash trees / Black Ash swamps are automatically protected unless they are assessed as dead.</w:t>
      </w:r>
      <w:r w:rsidRPr="00925331">
        <w:t xml:space="preserve"> This approach is in keeping with the ESA’s stated focus on the precautionary principle.</w:t>
      </w:r>
    </w:p>
    <w:p w14:paraId="1D6F4725" w14:textId="047E9C5D" w:rsidR="00925331" w:rsidRDefault="00925331" w:rsidP="007C2A3F">
      <w:pPr>
        <w:pStyle w:val="ListParagraph"/>
        <w:numPr>
          <w:ilvl w:val="0"/>
          <w:numId w:val="1"/>
        </w:numPr>
      </w:pPr>
      <w:r w:rsidRPr="004D77D1">
        <w:rPr>
          <w:b/>
          <w:bCs/>
        </w:rPr>
        <w:t>We recommend that the habitat regulation include the entire ELC ecosite of wetland containing Black Ash, as well as a radial area of 30 m around individual trees where the radius extends beyond the ecosite boundaries.</w:t>
      </w:r>
      <w:r w:rsidRPr="00925331">
        <w:t xml:space="preserve"> This is the habitat regulation recommended in the </w:t>
      </w:r>
      <w:r w:rsidR="002C70FD">
        <w:t xml:space="preserve">Ontario </w:t>
      </w:r>
      <w:r w:rsidRPr="00925331">
        <w:t xml:space="preserve">Black Ash recovery strategy. It acknowledges that the </w:t>
      </w:r>
      <w:r>
        <w:t xml:space="preserve">alteration of the wetland ecosite will have impacts on the hydrology of the site, </w:t>
      </w:r>
      <w:r w:rsidR="000D6B21">
        <w:t xml:space="preserve">changing conditions for </w:t>
      </w:r>
      <w:r>
        <w:t>all other plants and animals living there – including any healthy Black Ash</w:t>
      </w:r>
      <w:r w:rsidR="004D77D1">
        <w:t xml:space="preserve"> – and impede their ability to survive.</w:t>
      </w:r>
      <w:r w:rsidR="00243C76">
        <w:t xml:space="preserve"> In addition, it recognizes that Black Ash swamps are wetlands that are deserving of protection for the critical ecosystem services they provide.</w:t>
      </w:r>
    </w:p>
    <w:p w14:paraId="61CB8911" w14:textId="7A05A51E" w:rsidR="00281AA5" w:rsidRDefault="00281AA5" w:rsidP="007C2A3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We support the proposal to exempt </w:t>
      </w:r>
      <w:r w:rsidRPr="00281AA5">
        <w:rPr>
          <w:b/>
          <w:bCs/>
        </w:rPr>
        <w:t xml:space="preserve">forest management activities </w:t>
      </w:r>
      <w:r>
        <w:rPr>
          <w:b/>
          <w:bCs/>
        </w:rPr>
        <w:t xml:space="preserve">intended </w:t>
      </w:r>
      <w:r w:rsidRPr="00281AA5">
        <w:rPr>
          <w:b/>
          <w:bCs/>
        </w:rPr>
        <w:t>to mitigate the threat of EAB on forest ecosystems</w:t>
      </w:r>
      <w:r>
        <w:rPr>
          <w:b/>
          <w:bCs/>
        </w:rPr>
        <w:t>.</w:t>
      </w:r>
      <w:r>
        <w:t xml:space="preserve"> This will permit activities necessary to build resilience in forests currently dominated by Black Ash.</w:t>
      </w:r>
    </w:p>
    <w:p w14:paraId="43B7AFE3" w14:textId="02341F1B" w:rsidR="004D77D1" w:rsidRDefault="004D77D1" w:rsidP="007C2A3F">
      <w:pPr>
        <w:pStyle w:val="ListParagraph"/>
        <w:numPr>
          <w:ilvl w:val="0"/>
          <w:numId w:val="1"/>
        </w:numPr>
      </w:pPr>
      <w:r w:rsidRPr="004D77D1">
        <w:rPr>
          <w:b/>
          <w:bCs/>
        </w:rPr>
        <w:t>We recommend extending the habitat regulation to all areas within the predicted climatic suitability zone of Emerald Ash Borer.</w:t>
      </w:r>
      <w:r>
        <w:t xml:space="preserve"> This supports the call in the Black Ash recovery strategy to </w:t>
      </w:r>
      <w:r w:rsidRPr="004D77D1">
        <w:t>maintain or increas</w:t>
      </w:r>
      <w:r>
        <w:t>e</w:t>
      </w:r>
      <w:r w:rsidRPr="004D77D1">
        <w:t xml:space="preserve"> the population abundance </w:t>
      </w:r>
      <w:r>
        <w:t>of Black Ash in areas beyond those currently facing E</w:t>
      </w:r>
      <w:r w:rsidR="00B5033B">
        <w:t>AB</w:t>
      </w:r>
      <w:r>
        <w:t>.</w:t>
      </w:r>
    </w:p>
    <w:p w14:paraId="4E7598E0" w14:textId="0CBD89CB" w:rsidR="00B5033B" w:rsidRDefault="004D77D1" w:rsidP="00B5033B">
      <w:pPr>
        <w:pStyle w:val="ListParagraph"/>
        <w:numPr>
          <w:ilvl w:val="0"/>
          <w:numId w:val="1"/>
        </w:numPr>
      </w:pPr>
      <w:r w:rsidRPr="004D77D1">
        <w:rPr>
          <w:b/>
          <w:bCs/>
        </w:rPr>
        <w:t xml:space="preserve">We recommend providing clear definitions of healthy and unhealthy/dead Black Ash, along with the specific methods to be used to </w:t>
      </w:r>
      <w:r w:rsidR="00D718BC">
        <w:rPr>
          <w:b/>
          <w:bCs/>
        </w:rPr>
        <w:t xml:space="preserve">determine </w:t>
      </w:r>
      <w:r w:rsidRPr="004D77D1">
        <w:rPr>
          <w:b/>
          <w:bCs/>
        </w:rPr>
        <w:t>health status.</w:t>
      </w:r>
      <w:r w:rsidRPr="00925331">
        <w:t xml:space="preserve"> </w:t>
      </w:r>
      <w:r w:rsidR="00B5033B">
        <w:t xml:space="preserve">This will ensure consistency of application across the province. We also recommend </w:t>
      </w:r>
      <w:r w:rsidR="00243C76">
        <w:t>ensuring these definitions and methods apply the precautionary principle and are evidence based (e.g. when it comes to DBH thresholds)</w:t>
      </w:r>
      <w:r w:rsidR="00B5033B">
        <w:t>.</w:t>
      </w:r>
    </w:p>
    <w:p w14:paraId="4A134B97" w14:textId="08414586" w:rsidR="00B5033B" w:rsidRDefault="00B5033B" w:rsidP="00B5033B">
      <w:pPr>
        <w:pStyle w:val="ListParagraph"/>
        <w:numPr>
          <w:ilvl w:val="0"/>
          <w:numId w:val="1"/>
        </w:numPr>
      </w:pPr>
      <w:r>
        <w:rPr>
          <w:b/>
          <w:bCs/>
        </w:rPr>
        <w:t>We recommend that the threshold for allowing removal of a Black Ash tree be death or near death</w:t>
      </w:r>
      <w:r w:rsidR="00243C76">
        <w:rPr>
          <w:b/>
          <w:bCs/>
        </w:rPr>
        <w:t xml:space="preserve"> of the tree</w:t>
      </w:r>
      <w:r>
        <w:rPr>
          <w:b/>
          <w:bCs/>
        </w:rPr>
        <w:t>, not just the presence of Emerald Ash Borer.</w:t>
      </w:r>
      <w:r>
        <w:t xml:space="preserve"> </w:t>
      </w:r>
      <w:r w:rsidR="004D77D1" w:rsidRPr="00925331">
        <w:t>Individual Black Ash trees may continue living</w:t>
      </w:r>
      <w:r>
        <w:t xml:space="preserve">, sprouting, </w:t>
      </w:r>
      <w:r w:rsidR="004D77D1" w:rsidRPr="00925331">
        <w:t xml:space="preserve">and producing seed for years after they have been first attacked by </w:t>
      </w:r>
      <w:r>
        <w:t>EAB</w:t>
      </w:r>
      <w:r w:rsidR="004D77D1" w:rsidRPr="00925331">
        <w:t xml:space="preserve">. </w:t>
      </w:r>
      <w:r>
        <w:t>Seedlings</w:t>
      </w:r>
      <w:r w:rsidR="004D77D1" w:rsidRPr="00925331">
        <w:t xml:space="preserve"> produced by these trees allow the </w:t>
      </w:r>
      <w:r>
        <w:t xml:space="preserve">regeneration and </w:t>
      </w:r>
      <w:r w:rsidR="004D77D1" w:rsidRPr="00925331">
        <w:t>continuation of local Black Ash communit</w:t>
      </w:r>
      <w:r w:rsidR="004D77D1">
        <w:t>ies</w:t>
      </w:r>
      <w:r w:rsidR="004D77D1" w:rsidRPr="00925331">
        <w:t xml:space="preserve"> and contain the genetic potential for </w:t>
      </w:r>
      <w:r>
        <w:t xml:space="preserve">EAB </w:t>
      </w:r>
      <w:r w:rsidR="004D77D1" w:rsidRPr="00925331">
        <w:t>resistance.</w:t>
      </w:r>
      <w:r>
        <w:t xml:space="preserve"> </w:t>
      </w:r>
      <w:r w:rsidRPr="00925331">
        <w:t xml:space="preserve">Removing Black Ash trees that are </w:t>
      </w:r>
      <w:r>
        <w:t xml:space="preserve">affected by EAB but </w:t>
      </w:r>
      <w:r w:rsidRPr="00925331">
        <w:t xml:space="preserve">still alive will have </w:t>
      </w:r>
      <w:r>
        <w:t xml:space="preserve">therefore have </w:t>
      </w:r>
      <w:r w:rsidRPr="00925331">
        <w:t>a negative impact on the persistence of the species.</w:t>
      </w:r>
    </w:p>
    <w:p w14:paraId="7AD60110" w14:textId="7C6D6530" w:rsidR="004D77D1" w:rsidRPr="00925331" w:rsidRDefault="00B5033B" w:rsidP="004D77D1">
      <w:pPr>
        <w:pStyle w:val="ListParagraph"/>
        <w:numPr>
          <w:ilvl w:val="0"/>
          <w:numId w:val="1"/>
        </w:numPr>
      </w:pPr>
      <w:r w:rsidRPr="00B5033B">
        <w:rPr>
          <w:b/>
          <w:bCs/>
        </w:rPr>
        <w:t>We recommend implementing protection of Black Ash as soon as possible</w:t>
      </w:r>
      <w:r>
        <w:t xml:space="preserve">, as it has already been delayed by </w:t>
      </w:r>
      <w:r w:rsidR="00D718BC">
        <w:t>three</w:t>
      </w:r>
      <w:r>
        <w:t xml:space="preserve"> years</w:t>
      </w:r>
      <w:r w:rsidR="00D718BC">
        <w:t xml:space="preserve"> since the species was first assessed as Endangered by COSSARO in October 2020</w:t>
      </w:r>
      <w:r>
        <w:t>.</w:t>
      </w:r>
    </w:p>
    <w:sectPr w:rsidR="004D77D1" w:rsidRPr="00925331" w:rsidSect="002D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97CAD"/>
    <w:multiLevelType w:val="hybridMultilevel"/>
    <w:tmpl w:val="B4E405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68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3F"/>
    <w:rsid w:val="000D6B21"/>
    <w:rsid w:val="00243C76"/>
    <w:rsid w:val="00281AA5"/>
    <w:rsid w:val="002C70FD"/>
    <w:rsid w:val="002D06BC"/>
    <w:rsid w:val="004D77D1"/>
    <w:rsid w:val="007C2A3F"/>
    <w:rsid w:val="00925331"/>
    <w:rsid w:val="00B059D4"/>
    <w:rsid w:val="00B5033B"/>
    <w:rsid w:val="00BF271E"/>
    <w:rsid w:val="00C22A39"/>
    <w:rsid w:val="00D718BC"/>
    <w:rsid w:val="00D80B11"/>
    <w:rsid w:val="00E707A3"/>
    <w:rsid w:val="00F8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7FD1"/>
  <w15:chartTrackingRefBased/>
  <w15:docId w15:val="{0670288E-52B9-47B3-AA9E-478F033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4D4D4D"/>
        <w:kern w:val="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uraHeading2">
    <w:name w:val="Laura Heading 2"/>
    <w:basedOn w:val="Normal"/>
    <w:link w:val="LauraHeading2Char"/>
    <w:autoRedefine/>
    <w:qFormat/>
    <w:rsid w:val="00F8173D"/>
    <w:pPr>
      <w:framePr w:wrap="around" w:vAnchor="text" w:hAnchor="text" w:y="1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9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auraTitle">
    <w:name w:val="Laura Title"/>
    <w:basedOn w:val="Title"/>
    <w:autoRedefine/>
    <w:qFormat/>
    <w:rsid w:val="00B059D4"/>
    <w:pPr>
      <w:spacing w:after="120"/>
    </w:pPr>
    <w:rPr>
      <w:rFonts w:ascii="Verdana" w:hAnsi="Verdana"/>
      <w:b/>
      <w:bCs/>
      <w:color w:val="008BB3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59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9D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aliases w:val="Laura TOC Heading"/>
    <w:basedOn w:val="Heading1"/>
    <w:next w:val="Normal"/>
    <w:autoRedefine/>
    <w:uiPriority w:val="39"/>
    <w:unhideWhenUsed/>
    <w:qFormat/>
    <w:rsid w:val="00E707A3"/>
    <w:pPr>
      <w:spacing w:before="120" w:after="120"/>
      <w:outlineLvl w:val="9"/>
    </w:pPr>
    <w:rPr>
      <w:rFonts w:ascii="Verdana" w:hAnsi="Verdana"/>
      <w:b/>
      <w:color w:val="4D4D4D"/>
      <w:sz w:val="22"/>
      <w:lang w:val="en-US"/>
    </w:rPr>
  </w:style>
  <w:style w:type="paragraph" w:customStyle="1" w:styleId="LauraHeading3">
    <w:name w:val="Laura Heading 3"/>
    <w:basedOn w:val="Normal"/>
    <w:link w:val="LauraHeading3Char"/>
    <w:autoRedefine/>
    <w:qFormat/>
    <w:rsid w:val="00C22A39"/>
    <w:rPr>
      <w:b/>
      <w:bCs/>
      <w:i/>
      <w:iCs/>
    </w:rPr>
  </w:style>
  <w:style w:type="character" w:customStyle="1" w:styleId="LauraHeading3Char">
    <w:name w:val="Laura Heading 3 Char"/>
    <w:basedOn w:val="DefaultParagraphFont"/>
    <w:link w:val="LauraHeading3"/>
    <w:rsid w:val="00C22A39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9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auraHeading2Char">
    <w:name w:val="Laura Heading 2 Char"/>
    <w:basedOn w:val="DefaultParagraphFont"/>
    <w:link w:val="LauraHeading2"/>
    <w:rsid w:val="00F8173D"/>
    <w:rPr>
      <w:b/>
      <w:bCs/>
    </w:rPr>
  </w:style>
  <w:style w:type="paragraph" w:customStyle="1" w:styleId="LauraHeading1">
    <w:name w:val="Laura Heading 1"/>
    <w:basedOn w:val="Heading1"/>
    <w:link w:val="LauraHeading1Char"/>
    <w:autoRedefine/>
    <w:qFormat/>
    <w:rsid w:val="00C22A39"/>
    <w:pPr>
      <w:spacing w:after="120"/>
    </w:pPr>
    <w:rPr>
      <w:b/>
      <w:bCs/>
      <w:sz w:val="22"/>
    </w:rPr>
  </w:style>
  <w:style w:type="character" w:customStyle="1" w:styleId="LauraHeading1Char">
    <w:name w:val="Laura Heading 1 Char"/>
    <w:basedOn w:val="Heading1Char"/>
    <w:link w:val="LauraHeading1"/>
    <w:rsid w:val="00C22A39"/>
    <w:rPr>
      <w:rFonts w:asciiTheme="majorHAnsi" w:eastAsiaTheme="majorEastAsia" w:hAnsiTheme="majorHAnsi" w:cstheme="majorBidi"/>
      <w:b/>
      <w:bCs/>
      <w:color w:val="2F5496" w:themeColor="accent1" w:themeShade="BF"/>
      <w:sz w:val="22"/>
      <w:szCs w:val="32"/>
    </w:rPr>
  </w:style>
  <w:style w:type="paragraph" w:styleId="TOC1">
    <w:name w:val="toc 1"/>
    <w:aliases w:val="TOC Laura"/>
    <w:basedOn w:val="Normal"/>
    <w:next w:val="Normal"/>
    <w:autoRedefine/>
    <w:uiPriority w:val="39"/>
    <w:unhideWhenUsed/>
    <w:qFormat/>
    <w:rsid w:val="00E707A3"/>
    <w:pPr>
      <w:tabs>
        <w:tab w:val="right" w:leader="dot" w:pos="9350"/>
      </w:tabs>
      <w:spacing w:before="120" w:after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7C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Timms, Laura</dc:creator>
  <cp:keywords/>
  <dc:description/>
  <cp:lastModifiedBy>Timms, Laura</cp:lastModifiedBy>
  <cp:revision>7</cp:revision>
  <dcterms:created xsi:type="dcterms:W3CDTF">2023-10-31T18:26:00Z</dcterms:created>
  <dcterms:modified xsi:type="dcterms:W3CDTF">2023-11-01T15:45:00Z</dcterms:modified>
</cp:coreProperties>
</file>