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5A" w:rsidRDefault="00A51D5A">
      <w:pPr>
        <w:pStyle w:val="Body"/>
        <w:rPr>
          <w:b/>
          <w:bCs/>
          <w:sz w:val="32"/>
          <w:szCs w:val="32"/>
        </w:rPr>
      </w:pPr>
      <w:r w:rsidRPr="00A51D5A">
        <w:rPr>
          <w:b/>
          <w:bCs/>
          <w:noProof/>
          <w:sz w:val="32"/>
          <w:szCs w:val="32"/>
        </w:rPr>
        <w:drawing>
          <wp:inline distT="0" distB="0" distL="0" distR="0">
            <wp:extent cx="1724025" cy="2438400"/>
            <wp:effectExtent l="0" t="0" r="9525" b="0"/>
            <wp:docPr id="1" name="Picture 1" descr="C:\Users\Diane\Desktop\ACO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Desktop\ACO 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2438400"/>
                    </a:xfrm>
                    <a:prstGeom prst="rect">
                      <a:avLst/>
                    </a:prstGeom>
                    <a:noFill/>
                    <a:ln>
                      <a:noFill/>
                    </a:ln>
                  </pic:spPr>
                </pic:pic>
              </a:graphicData>
            </a:graphic>
          </wp:inline>
        </w:drawing>
      </w:r>
    </w:p>
    <w:p w:rsidR="00A51D5A" w:rsidRDefault="00A51D5A">
      <w:pPr>
        <w:pStyle w:val="Body"/>
        <w:rPr>
          <w:b/>
          <w:bCs/>
          <w:sz w:val="32"/>
          <w:szCs w:val="32"/>
        </w:rPr>
      </w:pPr>
      <w:bookmarkStart w:id="0" w:name="_GoBack"/>
      <w:bookmarkEnd w:id="0"/>
    </w:p>
    <w:p w:rsidR="00A51D5A" w:rsidRDefault="00D96F8E">
      <w:pPr>
        <w:pStyle w:val="Body"/>
        <w:rPr>
          <w:b/>
          <w:bCs/>
          <w:sz w:val="32"/>
          <w:szCs w:val="32"/>
        </w:rPr>
      </w:pPr>
      <w:r>
        <w:rPr>
          <w:b/>
          <w:bCs/>
          <w:sz w:val="32"/>
          <w:szCs w:val="32"/>
        </w:rPr>
        <w:t>Architectural Conservancy Ontario</w:t>
      </w:r>
    </w:p>
    <w:p w:rsidR="001219DF" w:rsidRDefault="001219DF">
      <w:pPr>
        <w:pStyle w:val="Body"/>
        <w:rPr>
          <w:b/>
          <w:bCs/>
          <w:sz w:val="32"/>
          <w:szCs w:val="32"/>
        </w:rPr>
      </w:pPr>
    </w:p>
    <w:p w:rsidR="001219DF" w:rsidRDefault="00D96F8E">
      <w:pPr>
        <w:pStyle w:val="Body"/>
        <w:rPr>
          <w:b/>
          <w:bCs/>
          <w:sz w:val="32"/>
          <w:szCs w:val="32"/>
        </w:rPr>
      </w:pPr>
      <w:r>
        <w:rPr>
          <w:b/>
          <w:bCs/>
          <w:sz w:val="32"/>
          <w:szCs w:val="32"/>
        </w:rPr>
        <w:t>Comments on Proposed Planning Act, City of Toronto Act, 2006, and Municipal Act, 2001 Changes (Schedules 4, 9, and 12 of Bill 185 - the proposed Bill 185, Cutting Red Tape to Build More Homes Act, 2024) ERO 019-8369</w:t>
      </w:r>
    </w:p>
    <w:p w:rsidR="001219DF" w:rsidRDefault="001219DF">
      <w:pPr>
        <w:pStyle w:val="Body"/>
        <w:rPr>
          <w:sz w:val="32"/>
          <w:szCs w:val="32"/>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Architectural Conservancy Ontario (ACO), Ontario's lead non-governmental organization on built heritage and cultural heritage places, is very concerned about four changes proposed in Bill 185.</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 xml:space="preserve">1) </w:t>
      </w:r>
      <w:r>
        <w:rPr>
          <w:rFonts w:ascii="Helvetica Neue" w:hAnsi="Helvetica Neue"/>
          <w:sz w:val="24"/>
          <w:szCs w:val="24"/>
          <w:u w:val="single"/>
        </w:rPr>
        <w:t>Limit third party appeals</w:t>
      </w:r>
      <w:r>
        <w:rPr>
          <w:rFonts w:ascii="Helvetica Neue" w:eastAsia="Helvetica Neue" w:hAnsi="Helvetica Neue" w:cs="Helvetica Neue"/>
          <w:sz w:val="24"/>
          <w:szCs w:val="24"/>
          <w:u w:val="single"/>
        </w:rPr>
        <w:br/>
      </w:r>
      <w:r>
        <w:rPr>
          <w:rFonts w:ascii="Helvetica Neue" w:hAnsi="Helvetica Neue"/>
          <w:sz w:val="24"/>
          <w:szCs w:val="24"/>
        </w:rPr>
        <w:t xml:space="preserve">Along with developers, planners, </w:t>
      </w:r>
      <w:r>
        <w:rPr>
          <w:rFonts w:ascii="Helvetica Neue" w:hAnsi="Helvetica Neue"/>
          <w:sz w:val="24"/>
          <w:szCs w:val="24"/>
        </w:rPr>
        <w:t>environmentalists and a host of Ontario citizens, ACO deplores the proposals to limit third-party appeals for official plans, official plan amendments, zoning by-laws, and zoning by-law amendments.</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It is local citizens who are most aware of and best under</w:t>
      </w:r>
      <w:r>
        <w:rPr>
          <w:rFonts w:ascii="Helvetica Neue" w:hAnsi="Helvetica Neue"/>
          <w:sz w:val="24"/>
          <w:szCs w:val="24"/>
        </w:rPr>
        <w:t>stand what is important about their community. Recognizing the importance of understanding and reflecting local values, since 1975 the province has wisely mandated that heritage conservation, preservation and protection be delivered by local municipalities</w:t>
      </w:r>
      <w:r>
        <w:rPr>
          <w:rFonts w:ascii="Helvetica Neue" w:hAnsi="Helvetica Neue"/>
          <w:sz w:val="24"/>
          <w:szCs w:val="24"/>
        </w:rPr>
        <w:t>. This is increasingly important, given the experience of recent years. Events like Black Lives Matter, Red Dress Day, the proclamation of National Day for Truth and Reconciliation, etc. show that ideas of what should be</w:t>
      </w:r>
      <w:r>
        <w:rPr>
          <w:rFonts w:ascii="Helvetica Neue" w:hAnsi="Helvetica Neue"/>
          <w:sz w:val="24"/>
          <w:szCs w:val="24"/>
          <w:lang w:val="pt-PT"/>
        </w:rPr>
        <w:t xml:space="preserve"> conserve</w:t>
      </w:r>
      <w:r>
        <w:rPr>
          <w:rFonts w:ascii="Helvetica Neue" w:hAnsi="Helvetica Neue"/>
          <w:sz w:val="24"/>
          <w:szCs w:val="24"/>
        </w:rPr>
        <w:t>d</w:t>
      </w:r>
      <w:r>
        <w:rPr>
          <w:rFonts w:ascii="Helvetica Neue" w:hAnsi="Helvetica Neue"/>
          <w:sz w:val="24"/>
          <w:szCs w:val="24"/>
          <w:lang w:val="pt-PT"/>
        </w:rPr>
        <w:t>, preserve</w:t>
      </w:r>
      <w:r>
        <w:rPr>
          <w:rFonts w:ascii="Helvetica Neue" w:hAnsi="Helvetica Neue"/>
          <w:sz w:val="24"/>
          <w:szCs w:val="24"/>
        </w:rPr>
        <w:t xml:space="preserve">d and protected </w:t>
      </w:r>
      <w:r>
        <w:rPr>
          <w:rFonts w:ascii="Helvetica Neue" w:hAnsi="Helvetica Neue"/>
          <w:sz w:val="24"/>
          <w:szCs w:val="24"/>
        </w:rPr>
        <w:t>are constantly changing, and will vary from place to place as the composition of our communities changes.</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So local involvement in development planning is essential. Citizens need a strong voice in ensuring that proposed housing and other projects do not u</w:t>
      </w:r>
      <w:r>
        <w:rPr>
          <w:rFonts w:ascii="Helvetica Neue" w:hAnsi="Helvetica Neue"/>
          <w:sz w:val="24"/>
          <w:szCs w:val="24"/>
        </w:rPr>
        <w:t xml:space="preserve">nintentionally threaten other </w:t>
      </w:r>
      <w:r>
        <w:rPr>
          <w:rFonts w:ascii="Helvetica Neue" w:hAnsi="Helvetica Neue"/>
          <w:sz w:val="24"/>
          <w:szCs w:val="24"/>
        </w:rPr>
        <w:lastRenderedPageBreak/>
        <w:t xml:space="preserve">provincial policy goals. Citizens need the safety net of launching an Ontario </w:t>
      </w:r>
      <w:r>
        <w:rPr>
          <w:rFonts w:ascii="Helvetica Neue" w:hAnsi="Helvetica Neue"/>
          <w:sz w:val="24"/>
          <w:szCs w:val="24"/>
        </w:rPr>
        <w:t>L</w:t>
      </w:r>
      <w:r>
        <w:rPr>
          <w:rFonts w:ascii="Helvetica Neue" w:hAnsi="Helvetica Neue"/>
          <w:sz w:val="24"/>
          <w:szCs w:val="24"/>
        </w:rPr>
        <w:t xml:space="preserve">and </w:t>
      </w:r>
      <w:r>
        <w:rPr>
          <w:rFonts w:ascii="Helvetica Neue" w:hAnsi="Helvetica Neue"/>
          <w:sz w:val="24"/>
          <w:szCs w:val="24"/>
        </w:rPr>
        <w:t>T</w:t>
      </w:r>
      <w:r>
        <w:rPr>
          <w:rFonts w:ascii="Helvetica Neue" w:hAnsi="Helvetica Neue"/>
          <w:sz w:val="24"/>
          <w:szCs w:val="24"/>
        </w:rPr>
        <w:t>ribunal appeal should efforts to offer helpful advice to development proponents fail.</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rPr>
      </w:pPr>
      <w:r>
        <w:rPr>
          <w:rFonts w:ascii="Helvetica Neue" w:hAnsi="Helvetica Neue"/>
          <w:sz w:val="24"/>
          <w:szCs w:val="24"/>
        </w:rPr>
        <w:t xml:space="preserve">2) </w:t>
      </w:r>
      <w:r>
        <w:rPr>
          <w:rFonts w:ascii="Helvetica Neue" w:hAnsi="Helvetica Neue"/>
          <w:sz w:val="24"/>
          <w:szCs w:val="24"/>
          <w:u w:val="single"/>
        </w:rPr>
        <w:t>Limit ability of municipalities to require pre-appli</w:t>
      </w:r>
      <w:r>
        <w:rPr>
          <w:rFonts w:ascii="Helvetica Neue" w:hAnsi="Helvetica Neue"/>
          <w:sz w:val="24"/>
          <w:szCs w:val="24"/>
          <w:u w:val="single"/>
        </w:rPr>
        <w:t>cation consultations</w:t>
      </w: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lang w:val="fr-FR"/>
        </w:rPr>
        <w:t xml:space="preserve">Pre-application </w:t>
      </w:r>
      <w:r>
        <w:rPr>
          <w:rFonts w:ascii="Helvetica Neue" w:hAnsi="Helvetica Neue"/>
          <w:sz w:val="24"/>
          <w:szCs w:val="24"/>
        </w:rPr>
        <w:t xml:space="preserve">consultations are essential for the early </w:t>
      </w:r>
      <w:r>
        <w:rPr>
          <w:rFonts w:ascii="Helvetica Neue" w:hAnsi="Helvetica Neue"/>
          <w:sz w:val="24"/>
          <w:szCs w:val="24"/>
        </w:rPr>
        <w:t>“</w:t>
      </w:r>
      <w:r>
        <w:rPr>
          <w:rFonts w:ascii="Helvetica Neue" w:hAnsi="Helvetica Neue"/>
          <w:sz w:val="24"/>
          <w:szCs w:val="24"/>
        </w:rPr>
        <w:t>heads up</w:t>
      </w:r>
      <w:r>
        <w:rPr>
          <w:rFonts w:ascii="Helvetica Neue" w:hAnsi="Helvetica Neue"/>
          <w:sz w:val="24"/>
          <w:szCs w:val="24"/>
        </w:rPr>
        <w:t xml:space="preserve">” </w:t>
      </w:r>
      <w:r>
        <w:rPr>
          <w:rFonts w:ascii="Helvetica Neue" w:hAnsi="Helvetica Neue"/>
          <w:sz w:val="24"/>
          <w:szCs w:val="24"/>
        </w:rPr>
        <w:t>identification of heritage resources. Despite the availability of information on heritage properties in most municipalities, citizens are often unaware of the need to</w:t>
      </w:r>
      <w:r>
        <w:rPr>
          <w:rFonts w:ascii="Helvetica Neue" w:hAnsi="Helvetica Neue"/>
          <w:sz w:val="24"/>
          <w:szCs w:val="24"/>
        </w:rPr>
        <w:t xml:space="preserve"> consider the heritage aspects of the property they may wish to develop and what options are available to them. This means consultation</w:t>
      </w:r>
      <w:r>
        <w:rPr>
          <w:rFonts w:ascii="Helvetica Neue" w:hAnsi="Helvetica Neue"/>
          <w:sz w:val="24"/>
          <w:szCs w:val="24"/>
        </w:rPr>
        <w:t xml:space="preserve"> </w:t>
      </w:r>
      <w:r>
        <w:rPr>
          <w:rFonts w:ascii="Helvetica Neue" w:hAnsi="Helvetica Neue"/>
          <w:sz w:val="24"/>
          <w:szCs w:val="24"/>
        </w:rPr>
        <w:t>with knowledgeable municipal staff is essential. The earlier applicants become aware of heritage concerns, the better an</w:t>
      </w:r>
      <w:r>
        <w:rPr>
          <w:rFonts w:ascii="Helvetica Neue" w:hAnsi="Helvetica Neue"/>
          <w:sz w:val="24"/>
          <w:szCs w:val="24"/>
        </w:rPr>
        <w:t>d more likely it will be that applicants can make informed and profitable decisions while respecting the community</w:t>
      </w:r>
      <w:r>
        <w:rPr>
          <w:rFonts w:ascii="Helvetica Neue" w:hAnsi="Helvetica Neue"/>
          <w:sz w:val="24"/>
          <w:szCs w:val="24"/>
        </w:rPr>
        <w:t>’</w:t>
      </w:r>
      <w:r>
        <w:rPr>
          <w:rFonts w:ascii="Helvetica Neue" w:hAnsi="Helvetica Neue"/>
          <w:sz w:val="24"/>
          <w:szCs w:val="24"/>
        </w:rPr>
        <w:t>s heritage concerns.</w:t>
      </w:r>
    </w:p>
    <w:p w:rsidR="001219DF" w:rsidRDefault="001219DF">
      <w:pPr>
        <w:pStyle w:val="Body"/>
        <w:rPr>
          <w:rFonts w:ascii="Helvetica Neue" w:eastAsia="Helvetica Neue" w:hAnsi="Helvetica Neue" w:cs="Helvetica Neue"/>
          <w:sz w:val="24"/>
          <w:szCs w:val="24"/>
        </w:rPr>
      </w:pPr>
    </w:p>
    <w:p w:rsidR="001219DF" w:rsidRDefault="001219DF">
      <w:pPr>
        <w:pStyle w:val="Body"/>
        <w:rPr>
          <w:rFonts w:ascii="Helvetica Neue" w:eastAsia="Helvetica Neue" w:hAnsi="Helvetica Neue" w:cs="Helvetica Neue"/>
        </w:rPr>
      </w:pPr>
    </w:p>
    <w:p w:rsidR="001219DF" w:rsidRDefault="001219DF">
      <w:pPr>
        <w:pStyle w:val="Body"/>
        <w:rPr>
          <w:rFonts w:ascii="Helvetica Neue" w:eastAsia="Helvetica Neue" w:hAnsi="Helvetica Neue" w:cs="Helvetica Neue"/>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 xml:space="preserve">3) </w:t>
      </w:r>
      <w:r>
        <w:rPr>
          <w:rFonts w:ascii="Helvetica Neue" w:hAnsi="Helvetica Neue"/>
          <w:sz w:val="24"/>
          <w:szCs w:val="24"/>
          <w:u w:val="single"/>
        </w:rPr>
        <w:t>Remove planning responsibilities from upper-tier municipalities</w:t>
      </w: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 xml:space="preserve">Abruptly removing upper-tier responsibility for </w:t>
      </w:r>
      <w:r>
        <w:rPr>
          <w:rFonts w:ascii="Helvetica Neue" w:hAnsi="Helvetica Neue"/>
          <w:sz w:val="24"/>
          <w:szCs w:val="24"/>
        </w:rPr>
        <w:t>cultural heritage planning creates a huge knowledge and guidance gap that in many cases lower-tier municipalities cannot possibly replace without additional funding and guidance from the province</w:t>
      </w:r>
      <w:r>
        <w:rPr>
          <w:rFonts w:ascii="Helvetica Neue" w:hAnsi="Helvetica Neue"/>
          <w:sz w:val="24"/>
          <w:szCs w:val="24"/>
        </w:rPr>
        <w:t xml:space="preserve">. </w:t>
      </w:r>
      <w:r>
        <w:rPr>
          <w:rFonts w:ascii="Helvetica Neue" w:hAnsi="Helvetica Neue"/>
          <w:sz w:val="24"/>
          <w:szCs w:val="24"/>
        </w:rPr>
        <w:t>The proposal makes no mention of such measures</w:t>
      </w:r>
      <w:r>
        <w:rPr>
          <w:rFonts w:ascii="Helvetica Neue" w:hAnsi="Helvetica Neue"/>
          <w:sz w:val="24"/>
          <w:szCs w:val="24"/>
        </w:rPr>
        <w:t>.</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4)</w:t>
      </w:r>
      <w:r>
        <w:rPr>
          <w:rFonts w:ascii="Helvetica Neue" w:hAnsi="Helvetica Neue"/>
          <w:sz w:val="24"/>
          <w:szCs w:val="24"/>
          <w:u w:val="single"/>
        </w:rPr>
        <w:t xml:space="preserve"> Exempt </w:t>
      </w:r>
      <w:r>
        <w:rPr>
          <w:rFonts w:ascii="Helvetica Neue" w:hAnsi="Helvetica Neue"/>
          <w:sz w:val="24"/>
          <w:szCs w:val="24"/>
          <w:u w:val="single"/>
        </w:rPr>
        <w:t>publicly-funded universities from the Planning Act and planning provisions of the City of Toronto Act, 2006 for university-led projects</w:t>
      </w: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Exempting universities from their communities</w:t>
      </w:r>
      <w:r>
        <w:rPr>
          <w:rFonts w:ascii="Helvetica Neue" w:hAnsi="Helvetica Neue"/>
          <w:sz w:val="24"/>
          <w:szCs w:val="24"/>
        </w:rPr>
        <w:t xml:space="preserve">’ </w:t>
      </w:r>
      <w:r>
        <w:rPr>
          <w:rFonts w:ascii="Helvetica Neue" w:hAnsi="Helvetica Neue"/>
          <w:sz w:val="24"/>
          <w:szCs w:val="24"/>
        </w:rPr>
        <w:t>land use planning policies and plans represents a flagrant breach of Onta</w:t>
      </w:r>
      <w:r>
        <w:rPr>
          <w:rFonts w:ascii="Helvetica Neue" w:hAnsi="Helvetica Neue"/>
          <w:sz w:val="24"/>
          <w:szCs w:val="24"/>
        </w:rPr>
        <w:t>rio</w:t>
      </w:r>
      <w:r>
        <w:rPr>
          <w:rFonts w:ascii="Helvetica Neue" w:hAnsi="Helvetica Neue"/>
          <w:sz w:val="24"/>
          <w:szCs w:val="24"/>
        </w:rPr>
        <w:t>’</w:t>
      </w:r>
      <w:r>
        <w:rPr>
          <w:rFonts w:ascii="Helvetica Neue" w:hAnsi="Helvetica Neue"/>
          <w:sz w:val="24"/>
          <w:szCs w:val="24"/>
        </w:rPr>
        <w:t xml:space="preserve">s policy-led planning system. Further, most Ontario university grounds contain archaeological sites and cultural heritage resources (e.g. Lakehead University has eleven </w:t>
      </w:r>
      <w:r>
        <w:rPr>
          <w:rFonts w:ascii="Helvetica Neue" w:hAnsi="Helvetica Neue"/>
          <w:i/>
          <w:iCs/>
          <w:sz w:val="24"/>
          <w:szCs w:val="24"/>
        </w:rPr>
        <w:t>known</w:t>
      </w:r>
      <w:r>
        <w:rPr>
          <w:rFonts w:ascii="Helvetica Neue" w:hAnsi="Helvetica Neue"/>
          <w:sz w:val="24"/>
          <w:szCs w:val="24"/>
        </w:rPr>
        <w:t xml:space="preserve"> archaeological sites, many universities have hosted archaeological field scho</w:t>
      </w:r>
      <w:r>
        <w:rPr>
          <w:rFonts w:ascii="Helvetica Neue" w:hAnsi="Helvetica Neue"/>
          <w:sz w:val="24"/>
          <w:szCs w:val="24"/>
        </w:rPr>
        <w:t>ol digs on their grounds). Ontario</w:t>
      </w:r>
      <w:r>
        <w:rPr>
          <w:rFonts w:ascii="Helvetica Neue" w:hAnsi="Helvetica Neue"/>
          <w:sz w:val="24"/>
          <w:szCs w:val="24"/>
        </w:rPr>
        <w:t>’</w:t>
      </w:r>
      <w:r>
        <w:rPr>
          <w:rFonts w:ascii="Helvetica Neue" w:hAnsi="Helvetica Neue"/>
          <w:sz w:val="24"/>
          <w:szCs w:val="24"/>
        </w:rPr>
        <w:t>s Education Act states: "A strong public education system is the foundation of a prosperous, caring and civil society." Surely, respect for the culture and heritage of others is an important component of the caring and ci</w:t>
      </w:r>
      <w:r>
        <w:rPr>
          <w:rFonts w:ascii="Helvetica Neue" w:hAnsi="Helvetica Neue"/>
          <w:sz w:val="24"/>
          <w:szCs w:val="24"/>
        </w:rPr>
        <w:t>vil society we are trying to create in Ontario. Universities should be modelling good and respectful behaviour for all of us.</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ACO acknowledges the housing crisis is real, but ACO wants to ensure that the new housing Ontario is creating will endure. We wan</w:t>
      </w:r>
      <w:r>
        <w:rPr>
          <w:rFonts w:ascii="Helvetica Neue" w:hAnsi="Helvetica Neue"/>
          <w:sz w:val="24"/>
          <w:szCs w:val="24"/>
        </w:rPr>
        <w:t>t housing and communities that last.</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The government</w:t>
      </w:r>
      <w:r>
        <w:rPr>
          <w:rFonts w:ascii="Helvetica Neue" w:hAnsi="Helvetica Neue"/>
          <w:sz w:val="24"/>
          <w:szCs w:val="24"/>
        </w:rPr>
        <w:t>’</w:t>
      </w:r>
      <w:r>
        <w:rPr>
          <w:rFonts w:ascii="Helvetica Neue" w:hAnsi="Helvetica Neue"/>
          <w:sz w:val="24"/>
          <w:szCs w:val="24"/>
        </w:rPr>
        <w:t>s moves, reflected in the proposals above, to shut-out or short-cut the consideration and approval of complex housing projects will unfortunately result in poorer quality applications, poorer quality hou</w:t>
      </w:r>
      <w:r>
        <w:rPr>
          <w:rFonts w:ascii="Helvetica Neue" w:hAnsi="Helvetica Neue"/>
          <w:sz w:val="24"/>
          <w:szCs w:val="24"/>
        </w:rPr>
        <w:t xml:space="preserve">sing, and poorer quality communities across Ontario. Not only will democratic decision-making suffer; all of us who live in Ontario risk a </w:t>
      </w:r>
      <w:r>
        <w:rPr>
          <w:rFonts w:ascii="Helvetica Neue" w:hAnsi="Helvetica Neue"/>
          <w:sz w:val="24"/>
          <w:szCs w:val="24"/>
          <w:lang w:val="fr-FR"/>
        </w:rPr>
        <w:t>poorer qualit</w:t>
      </w:r>
      <w:r>
        <w:rPr>
          <w:rFonts w:ascii="Helvetica Neue" w:hAnsi="Helvetica Neue"/>
          <w:sz w:val="24"/>
          <w:szCs w:val="24"/>
        </w:rPr>
        <w:t>y built environment</w:t>
      </w:r>
      <w:r>
        <w:rPr>
          <w:rFonts w:ascii="Helvetica Neue" w:hAnsi="Helvetica Neue"/>
          <w:sz w:val="24"/>
          <w:szCs w:val="24"/>
        </w:rPr>
        <w:t>.</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b/>
          <w:bCs/>
          <w:sz w:val="24"/>
          <w:szCs w:val="24"/>
          <w:u w:val="single"/>
        </w:rPr>
      </w:pPr>
      <w:r>
        <w:rPr>
          <w:rFonts w:ascii="Helvetica Neue" w:hAnsi="Helvetica Neue"/>
          <w:b/>
          <w:bCs/>
          <w:sz w:val="24"/>
          <w:szCs w:val="24"/>
          <w:u w:val="single"/>
        </w:rPr>
        <w:t>ACO therefore recommends that the proposed changes in 1) - 4) above be removed fro</w:t>
      </w:r>
      <w:r>
        <w:rPr>
          <w:rFonts w:ascii="Helvetica Neue" w:hAnsi="Helvetica Neue"/>
          <w:b/>
          <w:bCs/>
          <w:sz w:val="24"/>
          <w:szCs w:val="24"/>
          <w:u w:val="single"/>
        </w:rPr>
        <w:t>m Bill 185.</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 xml:space="preserve">ACO is the largest heritage advocacy organization in Ontario with 16 branches across the province. Our objective is to promote the identification, conservation and reuse of buildings, structures, districts and landscapes of cultural heritage </w:t>
      </w:r>
      <w:r>
        <w:rPr>
          <w:rFonts w:ascii="Helvetica Neue" w:hAnsi="Helvetica Neue"/>
          <w:sz w:val="24"/>
          <w:szCs w:val="24"/>
        </w:rPr>
        <w:t xml:space="preserve">significance. Under our Keep, Fix and </w:t>
      </w:r>
      <w:r>
        <w:rPr>
          <w:rFonts w:ascii="Helvetica Neue" w:hAnsi="Helvetica Neue"/>
          <w:sz w:val="24"/>
          <w:szCs w:val="24"/>
        </w:rPr>
        <w:lastRenderedPageBreak/>
        <w:t>Reuse slogan, we advocate for socially and environmentally sustainable solutions for Ontario</w:t>
      </w:r>
      <w:r>
        <w:rPr>
          <w:rFonts w:ascii="Helvetica Neue" w:hAnsi="Helvetica Neue"/>
          <w:sz w:val="24"/>
          <w:szCs w:val="24"/>
          <w:rtl/>
        </w:rPr>
        <w:t>’</w:t>
      </w:r>
      <w:r>
        <w:rPr>
          <w:rFonts w:ascii="Helvetica Neue" w:hAnsi="Helvetica Neue"/>
          <w:sz w:val="24"/>
          <w:szCs w:val="24"/>
        </w:rPr>
        <w:t>s older building stock.</w:t>
      </w:r>
    </w:p>
    <w:p w:rsidR="001219DF" w:rsidRDefault="001219DF">
      <w:pPr>
        <w:pStyle w:val="Body"/>
        <w:rPr>
          <w:rFonts w:ascii="Helvetica Neue" w:eastAsia="Helvetica Neue" w:hAnsi="Helvetica Neue" w:cs="Helvetica Neue"/>
          <w:sz w:val="24"/>
          <w:szCs w:val="24"/>
        </w:rPr>
      </w:pPr>
    </w:p>
    <w:p w:rsidR="001219DF" w:rsidRDefault="00D96F8E">
      <w:pPr>
        <w:pStyle w:val="Body"/>
        <w:rPr>
          <w:rFonts w:ascii="Helvetica Neue" w:eastAsia="Helvetica Neue" w:hAnsi="Helvetica Neue" w:cs="Helvetica Neue"/>
          <w:sz w:val="24"/>
          <w:szCs w:val="24"/>
        </w:rPr>
      </w:pPr>
      <w:r>
        <w:rPr>
          <w:rFonts w:ascii="Helvetica Neue" w:hAnsi="Helvetica Neue"/>
          <w:sz w:val="24"/>
          <w:szCs w:val="24"/>
        </w:rPr>
        <w:t>Thank you for the opportunity to comment on this proposal.</w:t>
      </w:r>
      <w:r>
        <w:rPr>
          <w:rFonts w:ascii="Helvetica Neue" w:eastAsia="Helvetica Neue" w:hAnsi="Helvetica Neue" w:cs="Helvetica Neue"/>
          <w:sz w:val="24"/>
          <w:szCs w:val="24"/>
        </w:rPr>
        <w:br/>
      </w:r>
    </w:p>
    <w:p w:rsidR="001219DF" w:rsidRDefault="001219DF">
      <w:pPr>
        <w:pStyle w:val="Body"/>
        <w:rPr>
          <w:rFonts w:ascii="Helvetica Neue" w:eastAsia="Helvetica Neue" w:hAnsi="Helvetica Neue" w:cs="Helvetica Neue"/>
          <w:sz w:val="24"/>
          <w:szCs w:val="24"/>
        </w:rPr>
      </w:pPr>
    </w:p>
    <w:p w:rsidR="001219DF" w:rsidRDefault="001219DF">
      <w:pPr>
        <w:pStyle w:val="Body"/>
        <w:rPr>
          <w:rFonts w:ascii="Helvetica Neue" w:eastAsia="Helvetica Neue" w:hAnsi="Helvetica Neue" w:cs="Helvetica Neue"/>
          <w:sz w:val="24"/>
          <w:szCs w:val="24"/>
        </w:rPr>
      </w:pPr>
    </w:p>
    <w:p w:rsidR="001219DF" w:rsidRDefault="00D96F8E">
      <w:pPr>
        <w:pStyle w:val="Body"/>
      </w:pPr>
      <w:r>
        <w:rPr>
          <w:rFonts w:ascii="Helvetica Neue" w:hAnsi="Helvetica Neue"/>
          <w:sz w:val="24"/>
          <w:szCs w:val="24"/>
        </w:rPr>
        <w:t>May 10, 2024</w:t>
      </w:r>
    </w:p>
    <w:sectPr w:rsidR="001219DF">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8E" w:rsidRDefault="00D96F8E">
      <w:r>
        <w:separator/>
      </w:r>
    </w:p>
  </w:endnote>
  <w:endnote w:type="continuationSeparator" w:id="0">
    <w:p w:rsidR="00D96F8E" w:rsidRDefault="00D9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DF" w:rsidRDefault="00D96F8E">
    <w:pPr>
      <w:pStyle w:val="HeaderFooter"/>
      <w:jc w:val="center"/>
    </w:pPr>
    <w:r>
      <w:fldChar w:fldCharType="begin"/>
    </w:r>
    <w:r>
      <w:instrText xml:space="preserve"> PAGE </w:instrText>
    </w:r>
    <w:r w:rsidR="00A51D5A">
      <w:rPr>
        <w:rFonts w:hint="eastAsia"/>
      </w:rPr>
      <w:fldChar w:fldCharType="separate"/>
    </w:r>
    <w:r w:rsidR="00A51D5A">
      <w:rPr>
        <w:rFonts w:hint="eastAsia"/>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8E" w:rsidRDefault="00D96F8E">
      <w:r>
        <w:separator/>
      </w:r>
    </w:p>
  </w:footnote>
  <w:footnote w:type="continuationSeparator" w:id="0">
    <w:p w:rsidR="00D96F8E" w:rsidRDefault="00D96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DF" w:rsidRDefault="001219D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DF"/>
    <w:rsid w:val="001219DF"/>
    <w:rsid w:val="00A51D5A"/>
    <w:rsid w:val="00D9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DF1BF-0312-4256-94BD-C4695C6F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404040"/>
      <w:u w:color="40404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 Chin</cp:lastModifiedBy>
  <cp:revision>2</cp:revision>
  <dcterms:created xsi:type="dcterms:W3CDTF">2024-05-10T13:56:00Z</dcterms:created>
  <dcterms:modified xsi:type="dcterms:W3CDTF">2024-05-10T14:00:00Z</dcterms:modified>
</cp:coreProperties>
</file>